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Calibri" w:hAnsi="Calibri"/>
          <w:b/>
          <w:color w:val="087A5B"/>
          <w:sz w:val="22"/>
        </w:rPr>
        <w:t>PROPOSTA MUNICIPAL</w:t>
      </w:r>
    </w:p>
    <w:p>
      <w:pPr>
        <w:pStyle w:val="Title"/>
        <w:jc w:val="center"/>
      </w:pPr>
      <w:r>
        <w:t>Saúde Perto de Você</w:t>
      </w:r>
    </w:p>
    <w:p>
      <w:pPr>
        <w:spacing w:after="560"/>
        <w:jc w:val="center"/>
      </w:pPr>
      <w:r>
        <w:rPr>
          <w:rFonts w:ascii="Calibri" w:hAnsi="Calibri"/>
          <w:color w:val="637381"/>
          <w:sz w:val="28"/>
        </w:rPr>
        <w:t>Medicamentos e consultas mais perto do cidadão — gestão orientada por demanda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17324D"/>
            <w:tcMar>
              <w:top w:w="240" w:type="dxa"/>
              <w:start w:w="260" w:type="dxa"/>
              <w:bottom w:w="240" w:type="dxa"/>
              <w:end w:w="260" w:type="dxa"/>
            </w:tcMar>
          </w:tcPr>
          <w:p>
            <w:pPr>
              <w:spacing w:after="100"/>
            </w:pPr>
            <w:r>
              <w:rPr>
                <w:rFonts w:ascii="Calibri" w:hAnsi="Calibri"/>
                <w:b/>
                <w:color w:val="FFFFFF"/>
                <w:sz w:val="34"/>
              </w:rPr>
              <w:t>Cuidado simples para quem precisa. Gestão clara para quem atende.</w:t>
            </w:r>
          </w:p>
          <w:p>
            <w:pPr>
              <w:spacing w:after="0"/>
            </w:pPr>
            <w:r>
              <w:rPr>
                <w:rFonts w:ascii="Calibri" w:hAnsi="Calibri"/>
                <w:color w:val="CDE2DA"/>
                <w:sz w:val="20"/>
              </w:rPr>
              <w:t>Medicamentos, agendamentos, especialidades e comunicação em uma experiência inclusiva e rastreável.</w:t>
            </w:r>
          </w:p>
        </w:tc>
      </w:tr>
    </w:tbl>
    <w:p>
      <w:pPr>
        <w:jc w:val="center"/>
      </w:pPr>
      <w:r>
        <w:rPr>
          <w:rFonts w:ascii="Calibri" w:hAnsi="Calibri"/>
          <w:color w:val="637381"/>
          <w:sz w:val="18"/>
        </w:rPr>
        <w:t>Versão demonstrativa • Prefeitura de Altair/SP</w:t>
      </w:r>
    </w:p>
    <w:p>
      <w:r>
        <w:br w:type="page"/>
      </w:r>
    </w:p>
    <w:p>
      <w:pPr>
        <w:pStyle w:val="Heading1"/>
      </w:pPr>
      <w:r>
        <w:t>A ideia central</w:t>
      </w:r>
    </w:p>
    <w:p>
      <w:r>
        <w:rPr>
          <w:rFonts w:ascii="Calibri" w:hAnsi="Calibri"/>
          <w:b/>
          <w:color w:val="17324D"/>
          <w:sz w:val="30"/>
        </w:rPr>
        <w:t>A prefeitura deixa de organizar a saúde apenas pela fila e passa a organizar pelo que a população realmente precisa.</w:t>
      </w:r>
    </w:p>
    <w:p>
      <w:r>
        <w:t>O cidadão consulta estoque, agenda retirada ou entrega, registra necessidade de especialista e recebe informações claras. A equipe ganha previsibilidade, rastreabilidade e indicadores para planejar atendimento, compras e escalas.</w:t>
      </w:r>
    </w:p>
    <w:p>
      <w:pPr>
        <w:pStyle w:val="Heading1"/>
      </w:pPr>
      <w:r>
        <w:t>O problema que resolvemos</w:t>
      </w:r>
    </w:p>
    <w:p>
      <w:pPr>
        <w:pStyle w:val="ListBullet"/>
      </w:pPr>
      <w:r>
        <w:t>Deslocamentos sem garantia de que o medicamento está disponível.</w:t>
      </w:r>
    </w:p>
    <w:p>
      <w:pPr>
        <w:pStyle w:val="ListBullet"/>
      </w:pPr>
      <w:r>
        <w:t>Filas concentradas e pouca previsibilidade de retirada.</w:t>
      </w:r>
    </w:p>
    <w:p>
      <w:pPr>
        <w:pStyle w:val="ListBullet"/>
      </w:pPr>
      <w:r>
        <w:t>Estoque, lotes e validades dispersos em controles manuais.</w:t>
      </w:r>
    </w:p>
    <w:p>
      <w:pPr>
        <w:pStyle w:val="ListBullet"/>
      </w:pPr>
      <w:r>
        <w:t>Demanda por especialistas conhecida tarde demais ou apenas por relatos.</w:t>
      </w:r>
    </w:p>
    <w:p>
      <w:pPr>
        <w:pStyle w:val="ListBullet"/>
      </w:pPr>
      <w:r>
        <w:t>Comunicação fragmentada entre cidadão e farmácia.</w:t>
      </w:r>
    </w:p>
    <w:p>
      <w:pPr>
        <w:pStyle w:val="ListBullet"/>
      </w:pPr>
      <w:r>
        <w:t>Dificuldade para cumprir e comprovar a transparência do estoque público.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7F4EF"/>
            <w:tcMar>
              <w:top w:w="170" w:type="dxa"/>
              <w:start w:w="210" w:type="dxa"/>
              <w:bottom w:w="170" w:type="dxa"/>
              <w:end w:w="21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087A5B"/>
                <w:sz w:val="20"/>
              </w:rPr>
              <w:t>Obrigação transformada em serviço</w:t>
            </w:r>
          </w:p>
          <w:p>
            <w:pPr>
              <w:spacing w:after="0"/>
            </w:pPr>
            <w:r>
              <w:rPr>
                <w:rFonts w:ascii="Calibri" w:hAnsi="Calibri"/>
                <w:color w:val="17324D"/>
                <w:sz w:val="20"/>
              </w:rPr>
              <w:t>A Lei nº 14.654/2023 exige publicação eletrônica dos estoques das farmácias públicas do SUS, com atualização ao menos quinzenal. A proposta entrega uma visão operacional mais frequente e útil ao cidadão.</w:t>
            </w:r>
          </w:p>
        </w:tc>
      </w:tr>
    </w:tbl>
    <w:p>
      <w:pPr>
        <w:pStyle w:val="Heading1"/>
      </w:pPr>
      <w:r>
        <w:t>A solução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Frente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Entrega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Transparência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Portal público de estoque, pesquisa simples e data da atualização.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Acesso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PWA mobile-first, ativação segura e primeira validação presencial.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Medicamentos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Solicitação, retirada ou entrega, agenda, lotes, validade e FEFO.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Especialidades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Intenção de consulta, mapa de demanda, escalas e confirmações.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Gestão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KPIs, painéis, usuários controlados, importações e auditoria.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Comunicação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Chat e notificações no próprio portal, sem integração externa inicial.</w:t>
            </w:r>
          </w:p>
        </w:tc>
      </w:tr>
    </w:tbl>
    <w:p>
      <w:pPr>
        <w:pStyle w:val="Heading1"/>
      </w:pPr>
      <w:r>
        <w:t>Valor para cada público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Público</w:t>
            </w:r>
          </w:p>
        </w:tc>
        <w:tc>
          <w:tcPr>
            <w:tcW w:type="dxa" w:w="7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Valor percebido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Cidadão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Menos viagens perdidas, menos fila e informação simples no celular.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Farmácia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Fila organizada, lote correto, comunicação e trabalho rastreável.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Secretaria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Demanda real por medicamento, bairro, modalidade e especialidade.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Gestão municipal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Decisões com dados, transparência legal e visão de capacidade.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Controle interno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Histórico de acessos, reservas, saídas e alterações.</w:t>
            </w:r>
          </w:p>
        </w:tc>
      </w:tr>
    </w:tbl>
    <w:p>
      <w:pPr>
        <w:pStyle w:val="Heading1"/>
      </w:pPr>
      <w:r>
        <w:t>Por que começar agora</w:t>
      </w:r>
    </w:p>
    <w:p>
      <w:r>
        <w:t>O MVP concentra os fluxos de maior impacto sem exigir aplicativo em lojas, WhatsApp ou integrações complexas. A PWA reduz atrito de adoção e permite validar rapidamente linguagem, capacidade operacional, logística de entrega e regras de atendimento.</w:t>
      </w:r>
    </w:p>
    <w:p>
      <w:pPr>
        <w:pStyle w:val="Heading2"/>
      </w:pPr>
      <w:r>
        <w:t>Escopo recomendado do piloto</w:t>
      </w:r>
    </w:p>
    <w:p>
      <w:pPr>
        <w:pStyle w:val="ListBullet"/>
      </w:pPr>
      <w:r>
        <w:t>Uma farmácia municipal e locais de saúde previamente cadastrados.</w:t>
      </w:r>
    </w:p>
    <w:p>
      <w:pPr>
        <w:pStyle w:val="ListBullet"/>
      </w:pPr>
      <w:r>
        <w:t>Carga inicial de cidadãos, produtos, lotes, validades e saldos.</w:t>
      </w:r>
    </w:p>
    <w:p>
      <w:pPr>
        <w:pStyle w:val="ListBullet"/>
      </w:pPr>
      <w:r>
        <w:t>Retirada em blocos de 15 minutos e entrega em faixas de uma hora.</w:t>
      </w:r>
    </w:p>
    <w:p>
      <w:pPr>
        <w:pStyle w:val="ListBullet"/>
      </w:pPr>
      <w:r>
        <w:t>Quatro especialidades prioritárias com mapa de demanda.</w:t>
      </w:r>
    </w:p>
    <w:p>
      <w:pPr>
        <w:pStyle w:val="ListBullet"/>
      </w:pPr>
      <w:r>
        <w:t>Treinamento da equipe, acompanhamento de adoção e reunião semanal de ajustes.</w:t>
      </w:r>
    </w:p>
    <w:p>
      <w:pPr>
        <w:pStyle w:val="Heading1"/>
      </w:pPr>
      <w:r>
        <w:t>Indicadores do piloto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400"/>
        <w:gridCol w:w="5960"/>
      </w:tblGrid>
      <w:tr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Indicador</w:t>
            </w:r>
          </w:p>
        </w:tc>
        <w:tc>
          <w:tcPr>
            <w:tcW w:type="dxa" w:w="5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O que demonstra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Consultas públicas ao estoque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Informação chegando antes do deslocamento.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Tempo e volume por faixa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Redução de fila e equilíbrio da capacidade.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Pedidos atendidos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Efetividade da farmácia e disponibilidade real.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Alertas de reposição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Demanda reprimida e resposta ao reabastecimento.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Intenções por especialidade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Base objetiva para concentrar escalas médicas.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Confirmação de consultas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Aderência à agenda criada pelo município.</w:t>
            </w:r>
          </w:p>
        </w:tc>
      </w:tr>
    </w:tbl>
    <w:p>
      <w:pPr>
        <w:pStyle w:val="Heading1"/>
      </w:pPr>
      <w:r>
        <w:t>Evolução independente: teleconsulta</w:t>
      </w:r>
    </w:p>
    <w:p>
      <w:r>
        <w:t>Como proposta complementar, a teleconsulta pode ampliar cobertura com custo menor, especialmente enquanto a demanda local não justifica a presença frequente de determinado especialista. Ela deve ser contratada e avaliada separadamente do MVP, preservando foco e clareza de implantação.</w:t>
      </w:r>
    </w:p>
    <w:p>
      <w:pPr>
        <w:pStyle w:val="Heading1"/>
      </w:pPr>
      <w:r>
        <w:t>Próximo passo</w:t>
      </w:r>
    </w:p>
    <w:p>
      <w:r>
        <w:t>Realizar uma reunião de validação com Saúde, Farmácia, Atenção Básica, TI e Controle Interno. Em seguida, fechar dados iniciais, regras de capacidade, bairros atendidos por entrega, documentos de validação, responsáveis e indicadores dos primeiros 60 dias.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7F4EF"/>
            <w:tcMar>
              <w:top w:w="170" w:type="dxa"/>
              <w:start w:w="210" w:type="dxa"/>
              <w:bottom w:w="170" w:type="dxa"/>
              <w:end w:w="21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087A5B"/>
                <w:sz w:val="20"/>
              </w:rPr>
              <w:t>Proposta de decisão</w:t>
            </w:r>
          </w:p>
          <w:p>
            <w:pPr>
              <w:spacing w:after="0"/>
            </w:pPr>
            <w:r>
              <w:rPr>
                <w:rFonts w:ascii="Calibri" w:hAnsi="Calibri"/>
                <w:color w:val="17324D"/>
                <w:sz w:val="20"/>
              </w:rPr>
              <w:t>Aprovar um piloto assistido, medir adesão e impacto operacional e então expandir gradualmente para toda a rede municipal.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37381"/>
        <w:sz w:val="16"/>
      </w:rPr>
      <w:t>Material demonstrativo •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637381"/>
        <w:sz w:val="16"/>
      </w:rPr>
      <w:t>SAÚDE PERTO DE VOCÊ  |  ALTair/SP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87A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87A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Pitch comercial — Saúde Perto de Você para Altair/SP</dc:title>
  <dc:subject>Transformação digital da saúde pública municipal</dc:subject>
  <dc:creator>Saúde Perto de Você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