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left"/>
      </w:pPr>
      <w:r>
        <w:rPr>
          <w:rFonts w:ascii="Calibri" w:hAnsi="Calibri"/>
          <w:b/>
          <w:color w:val="087A5B"/>
          <w:sz w:val="22"/>
        </w:rPr>
        <w:t>RELATÓRIO DE REVISÃO</w:t>
      </w:r>
    </w:p>
    <w:p>
      <w:pPr>
        <w:pStyle w:val="Title"/>
        <w:jc w:val="left"/>
      </w:pPr>
      <w:r>
        <w:t>Regras de negócio e compliance</w:t>
      </w:r>
    </w:p>
    <w:p>
      <w:pPr>
        <w:spacing w:after="560"/>
        <w:jc w:val="left"/>
      </w:pPr>
      <w:r>
        <w:rPr>
          <w:rFonts w:ascii="Calibri" w:hAnsi="Calibri"/>
          <w:color w:val="637381"/>
          <w:sz w:val="28"/>
        </w:rPr>
        <w:t>Controles técnicos, lacunas organizacionais e critérios para implantação municipal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7324D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FFFFFF"/>
                <w:sz w:val="34"/>
              </w:rPr>
              <w:t>Cuidado simples para quem precisa. Gestão clara para quem atende.</w:t>
            </w:r>
          </w:p>
          <w:p>
            <w:pPr>
              <w:spacing w:after="0"/>
            </w:pPr>
            <w:r>
              <w:rPr>
                <w:rFonts w:ascii="Calibri" w:hAnsi="Calibri"/>
                <w:color w:val="CDE2DA"/>
                <w:sz w:val="20"/>
              </w:rPr>
              <w:t>Medicamentos, agendamentos, especialidades e comunicação em uma experiência inclusiva e rastreável.</w:t>
            </w:r>
          </w:p>
        </w:tc>
      </w:tr>
    </w:tbl>
    <w:p>
      <w:pPr>
        <w:jc w:val="left"/>
      </w:pPr>
      <w:r>
        <w:rPr>
          <w:rFonts w:ascii="Calibri" w:hAnsi="Calibri"/>
          <w:color w:val="637381"/>
          <w:sz w:val="18"/>
        </w:rPr>
        <w:t>Versão demonstrativa • Prefeitura de Altair/SP</w:t>
      </w:r>
    </w:p>
    <w:p>
      <w:r>
        <w:br w:type="page"/>
      </w:r>
    </w:p>
    <w:p>
      <w:pPr>
        <w:pStyle w:val="Heading1"/>
      </w:pPr>
      <w:r>
        <w:t>1. Parecer executivo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2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Conclusão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O MVP está tecnicamente mais seguro e coerente após a revisão, mas não deve ser apresentado como produto juridicamente certificado. A conformidade final exige controles técnicos e também decisões formais do Município de Altair/SP.</w:t>
            </w:r>
          </w:p>
        </w:tc>
      </w:tr>
    </w:tbl>
    <w:p>
      <w:r>
        <w:t>Foram revisados portal público, autenticação, jornada do cidadão, solicitação e dispensação de medicamentos, estoque/lotes, agendas, especialistas, usuários administrativos, documentos, privacidade, auditoria, dependências e mensagens de interface. Os dados permanecem fictícios.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Dimensão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Situação após correções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Condição para produção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Transparência de estoque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Pronto tecnicamente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Rotina municipal que garanta conferência e atualização em até 15 dias.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Regras de medicamentos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Fluxo corrigido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Validação farmacêutica, protocolos locais e responsáveis definidos.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LGPD e dados de saúde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Controles técnicos parciais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Encarregado, bases legais, inventário, retenção, RIPD e contratos.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Segurança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Controles essenciais aplicados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Pentest, monitoramento, backup, continuidade e resposta a incidentes.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Acessibilidade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Base semântica e mobile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Auditoria eMAG/WCAG, testes por teclado/leitor e com usuários.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Demonstração pública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Segura para dados fictícios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inserir dados reais no ambiente demonstrativo.</w:t>
            </w:r>
          </w:p>
        </w:tc>
      </w:tr>
    </w:tbl>
    <w:p>
      <w:pPr>
        <w:pStyle w:val="Heading1"/>
      </w:pPr>
      <w:r>
        <w:t>2. Correções implementadas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Risco encontrado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Correção aplicada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Resultado esperado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Reserva duplicada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 recebida → aprovada validada e reserva atômica.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Repetir a aprovação não duplica saldo reservado.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Lote errado na conclusão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Pedido guarda reserved_lot_id e consome exatamente esse lote.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Rastreabilidade entre cidadão, protocolo, lote e saída.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Estados pulados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Máquina de estados para pedido e consulta.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é possível concluir antes de aprovar e preparar.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Recusa sem justificativa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Motivo obrigatório, aviso ao cidadão e liberação de recursos.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Decisão explicável e fila/estoque consistentes.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Concorrência no horário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Trigger de banco valida capacidade e incrementa reserva no INSERT.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Duas solicitações simultâneas não ultrapassam a capacidade.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Entrega liberada cedo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Validação documental e primeira retirada são etapas independentes.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Entrega somente após ambas concluídas.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Upload permissivo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Allowlist PDF/JPG/PNG, limite de 5 MB e assinatura mágica.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Redução de arquivo disfarçado e carga excessiva.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Tentativas ilimitadas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Bloqueio por identidade após cinco falhas durante 15 minutos.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Mitigação de força bruta.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Perfis sem separação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RBAC: operador, gestor e administrador geral.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Privilégio mínimo por função.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Sem canal LGPD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Pedidos de acesso, correção, informação e revisão.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Demanda do titular registrada e acompanhável.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Data de estoque artificial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Portal usa a última atualização real dos lotes.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Transparência verificável.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Dependências vulneráveis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Next atualizado e auditoria de produção zerada.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0 vulnerabilidades conhecidas no npm audit --omit=dev em 15/08/2026.</w:t>
            </w:r>
          </w:p>
        </w:tc>
      </w:tr>
    </w:tbl>
    <w:p>
      <w:pPr>
        <w:pStyle w:val="Heading1"/>
      </w:pPr>
      <w:r>
        <w:t>3. Regras de negócio consolidadas</w:t>
      </w:r>
    </w:p>
    <w:p>
      <w:pPr>
        <w:pStyle w:val="Heading2"/>
      </w:pPr>
      <w:r>
        <w:t>Cadastro, ativação e entrega</w:t>
      </w:r>
    </w:p>
    <w:p>
      <w:pPr>
        <w:pStyle w:val="ListBullet"/>
      </w:pPr>
      <w:r>
        <w:t>Ativação: CPF, data de nascimento, código vigente e senha com dez ou mais caracteres, contendo letras e números.</w:t>
      </w:r>
    </w:p>
    <w:p>
      <w:pPr>
        <w:pStyle w:val="ListBullet"/>
      </w:pPr>
      <w:r>
        <w:t>CPF é usado normalizado e armazenado como hash; somente a versão mascarada aparece nas telas administrativas.</w:t>
      </w:r>
    </w:p>
    <w:p>
      <w:pPr>
        <w:pStyle w:val="ListBullet"/>
      </w:pPr>
      <w:r>
        <w:t>Código de ativação é de uso único e possui validade; um novo código revoga o anterior.</w:t>
      </w:r>
    </w:p>
    <w:p>
      <w:pPr>
        <w:pStyle w:val="ListBullet"/>
      </w:pPr>
      <w:r>
        <w:t>Validar documentos não elimina a obrigação da primeira retirada presencial.</w:t>
      </w:r>
    </w:p>
    <w:p>
      <w:pPr>
        <w:pStyle w:val="ListBullet"/>
      </w:pPr>
      <w:r>
        <w:t>Entrega domiciliar exige cadastro validado, primeira retirada concluída, produto elegível e faixa com pelo menos 24 horas de antecedência.</w:t>
      </w:r>
    </w:p>
    <w:p>
      <w:pPr>
        <w:pStyle w:val="Heading2"/>
      </w:pPr>
      <w:r>
        <w:t>Solicitação e dispensação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Estado atual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Próximos estados permitidos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Recebida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Aprovada ou não aprovada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Ocupa horário; aguarda análise.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Aprovada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Pronta/programada ou não aprovada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Reserva lote FEFO específico.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Pronta/programada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Concluída ou não aprovada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Aguarda retirada/entrega.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Concluída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Nenhum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Baixa física e reservada no lote vinculado.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aprovada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Nenhum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Registra motivo e libera horário/reserva futura.</w:t>
            </w:r>
          </w:p>
        </w:tc>
      </w:tr>
    </w:tbl>
    <w:p>
      <w:pPr>
        <w:pStyle w:val="ListBullet"/>
      </w:pPr>
      <w:r>
        <w:t>Receita é obrigatória quando o cadastro do produto assim definir.</w:t>
      </w:r>
    </w:p>
    <w:p>
      <w:pPr>
        <w:pStyle w:val="ListBullet"/>
      </w:pPr>
      <w:r>
        <w:t>O saldo público não constitui promessa de dispensação; cadastro, receita, quantidade e lote são conferidos.</w:t>
      </w:r>
    </w:p>
    <w:p>
      <w:pPr>
        <w:pStyle w:val="ListBullet"/>
      </w:pPr>
      <w:r>
        <w:t>Lotes vencidos não podem ser escolhidos na aprovação.</w:t>
      </w:r>
    </w:p>
    <w:p>
      <w:pPr>
        <w:pStyle w:val="ListBullet"/>
      </w:pPr>
      <w:r>
        <w:t>Sem saldo, o cidadão registra uma necessidade única por medicamento e recebe aviso quando uma nova entrada torna o item disponível.</w:t>
      </w:r>
    </w:p>
    <w:p>
      <w:pPr>
        <w:pStyle w:val="Heading2"/>
      </w:pPr>
      <w:r>
        <w:t>Agenda de especialistas</w:t>
      </w:r>
    </w:p>
    <w:p>
      <w:pPr>
        <w:pStyle w:val="ListBullet"/>
      </w:pPr>
      <w:r>
        <w:t>A manifestação é uma intenção para planejamento; não é encaminhamento, regulação ou consulta confirmada.</w:t>
      </w:r>
    </w:p>
    <w:p>
      <w:pPr>
        <w:pStyle w:val="ListBullet"/>
      </w:pPr>
      <w:r>
        <w:t>Uma intenção ativa por cidadão e especialidade evita contagem duplicada.</w:t>
      </w:r>
    </w:p>
    <w:p>
      <w:pPr>
        <w:pStyle w:val="ListBullet"/>
      </w:pPr>
      <w:r>
        <w:t>A agenda usa somente local cadastrado e ativo, data futura e capacidade entre 1 e 500.</w:t>
      </w:r>
    </w:p>
    <w:p>
      <w:pPr>
        <w:pStyle w:val="ListBullet"/>
      </w:pPr>
      <w:r>
        <w:t>Confirmação do cidadão é aceita somente em agenda confirmada, futura e com vaga.</w:t>
      </w:r>
    </w:p>
    <w:p>
      <w:pPr>
        <w:pStyle w:val="ListBullet"/>
      </w:pPr>
      <w:r>
        <w:t>Consulta planejada pode ser confirmada ou cancelada; confirmada pode ser concluída ou cancelada; estados finais não reabrem automaticamente.</w:t>
      </w:r>
    </w:p>
    <w:p>
      <w:pPr>
        <w:pStyle w:val="Heading1"/>
      </w:pPr>
      <w:r>
        <w:t>4. Matriz de conformidade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Referência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Exigência aplicada ao produto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Avaliação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Lei 14.654/2023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Estoque das farmácias públicas em página eletrônica, acessível ao cidadão comum e atualizado ao menos quinzenalmente.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Atendido tecnicamente; governança da atualização é municipal.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LGPD, arts. 5º, 7º, 11 e 23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Saúde é dado sensível; tratamento público requer finalidade, base legal, transparência e necessidade.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Parcial: minimização e canal implementados; atos e inventário pendentes.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LGPD, arts. 37, 41, 46, 48 e 50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Registros, encarregado, segurança, incidentes e governança.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Parcial: auditoria e segurança aplicadas; programa formal pendente.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Resolução CD/ANPD 15/2024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Processo para avaliar e comunicar incidentes de segurança.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Pendente organizacional: plano, responsáveis e simulado.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Lei 13.146/2015, art. 63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Acessibilidade obrigatória em sítios de órgãos de governo.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Parcial: semântica e responsividade; homologação assistiva pendente.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eMAG 3.1 / WCAG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Padrões Web, teclado, labels, instruções, contraste e avaliação.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Parcial: vários fundamentos presentes; auditoria completa pendente.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2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Sem certificação automática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Nenhum teste de software substitui parecer jurídico, farmacêutico, de segurança ou acessibilidade. Este relatório classifica prontidão técnica e tarefas de implantação.</w:t>
            </w:r>
          </w:p>
        </w:tc>
      </w:tr>
    </w:tbl>
    <w:p>
      <w:pPr>
        <w:pStyle w:val="Heading1"/>
      </w:pPr>
      <w:r>
        <w:t>5. LGPD: mapa de dados e finalidades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Dados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Finalidade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Proteção/observação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 e nascimento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Identificar e ativar o cidadão.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 com hash e máscara; restringir consulta bruta.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Endereço/bairro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Cadastro e entrega domiciliar.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Usar somente quando necessário; definir retenção.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Receitas/documentos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Validar direito à dispensação e identidade.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Armazenamento privado, allowlist e acesso restrito.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Medicamentos e pedidos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Atender política pública de assistência farmacêutica.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Dado de saúde sensível; auditoria e mínimo acesso.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Interesse em especialista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Planejar oferta municipal.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expor demanda individual no portal público.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Mensagens e avisos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Comunicação operacional.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Orientar equipe a evitar dados desnecessários.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Logs de auditoria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Segurança, responsabilização e controle.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Definir retenção, acesso e proteção contra alteração.</w:t>
            </w:r>
          </w:p>
        </w:tc>
      </w:tr>
    </w:tbl>
    <w:p>
      <w:pPr>
        <w:pStyle w:val="Heading1"/>
      </w:pPr>
      <w:r>
        <w:t>6. Ações obrigatórias antes do go-live</w:t>
      </w:r>
    </w:p>
    <w:p>
      <w:pPr>
        <w:pStyle w:val="ListNumber"/>
      </w:pPr>
      <w:r>
        <w:t>Nomear/publicar controlador e contato do encarregado; definir canal alternativo presencial/telefônico.</w:t>
      </w:r>
    </w:p>
    <w:p>
      <w:pPr>
        <w:pStyle w:val="ListNumber"/>
      </w:pPr>
      <w:r>
        <w:t>Registrar operações, finalidades, categorias, bases legais, compartilhamentos e prazos de retenção.</w:t>
      </w:r>
    </w:p>
    <w:p>
      <w:pPr>
        <w:pStyle w:val="ListNumber"/>
      </w:pPr>
      <w:r>
        <w:t>Elaborar RIPD para o tratamento de dados sensíveis e riscos de entrega/integração, quando indicado.</w:t>
      </w:r>
    </w:p>
    <w:p>
      <w:pPr>
        <w:pStyle w:val="ListNumber"/>
      </w:pPr>
      <w:r>
        <w:t>Formalizar contrato de operador/suboperadores, hospedagem, localização dos dados, descarte e auditoria.</w:t>
      </w:r>
    </w:p>
    <w:p>
      <w:pPr>
        <w:pStyle w:val="ListNumber"/>
      </w:pPr>
      <w:r>
        <w:t>Configurar domínio oficial, TLS, segredos, banco/R2 de produção e ambientes separados de teste.</w:t>
      </w:r>
    </w:p>
    <w:p>
      <w:pPr>
        <w:pStyle w:val="ListNumber"/>
      </w:pPr>
      <w:r>
        <w:t>Testar backup/restauração, continuidade, monitoramento, alertas e resposta a incidentes conforme RCIS.</w:t>
      </w:r>
    </w:p>
    <w:p>
      <w:pPr>
        <w:pStyle w:val="ListNumber"/>
      </w:pPr>
      <w:r>
        <w:t>Executar pentest independente e corrigir achados críticos/altos antes de dados reais.</w:t>
      </w:r>
    </w:p>
    <w:p>
      <w:pPr>
        <w:pStyle w:val="ListNumber"/>
      </w:pPr>
      <w:r>
        <w:t>Realizar auditoria eMAG/WCAG, navegação por teclado, leitor de tela, contraste, zoom e teste com cidadãos idosos e com deficiência.</w:t>
      </w:r>
    </w:p>
    <w:p>
      <w:pPr>
        <w:pStyle w:val="ListNumber"/>
      </w:pPr>
      <w:r>
        <w:t>Definir protocolo farmacêutico: receita, quantidade, substituição, controlados, cadeia fria, entrega e comprovação.</w:t>
      </w:r>
    </w:p>
    <w:p>
      <w:pPr>
        <w:pStyle w:val="ListNumber"/>
      </w:pPr>
      <w:r>
        <w:t>Treinar operadores e gestores em LGPD, engenharia social, arquivos, atendimento e contingência.</w:t>
      </w:r>
    </w:p>
    <w:p>
      <w:pPr>
        <w:pStyle w:val="Heading1"/>
      </w:pPr>
      <w:r>
        <w:t>7. Critérios de aceite do piloto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Teste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Critério de aprovação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Estoque público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Data real, escopo da unidade e atualização monitorada em até 15 dias.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Concorrência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Capacidade nunca excedida em solicitações simultâneas.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Lote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Reserva e baixa usam o mesmo lote; saldo físico/reservado permanece não negativo.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Privacidade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Operador não acessa auditoria/fila LGPD; cidadão vê somente os próprios dados.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Arquivos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Formato disfarçado, arquivo &gt;5 MB e extensão não permitida são bloqueados.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Acessibilidade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Fluxos críticos completos por teclado e leitor de tela, sem perda a 200% de zoom.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Incidente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Equipe executa simulado, classifica risco e aciona responsáveis dentro do procedimento.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Continuidade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Restauração comprovada com RPO/RTO aprovados pelo município.</w:t>
            </w:r>
          </w:p>
        </w:tc>
      </w:tr>
    </w:tbl>
    <w:p>
      <w:pPr>
        <w:pStyle w:val="Heading1"/>
      </w:pPr>
      <w:r>
        <w:t>8. Referências oficiais</w:t>
      </w:r>
    </w:p>
    <w:p>
      <w:pPr>
        <w:pStyle w:val="ListBullet"/>
      </w:pPr>
      <w:r>
        <w:t>Lei nº 14.654/2023: https://www.planalto.gov.br/ccivil_03/_ato2023-2026/2023/lei/l14654.htm</w:t>
      </w:r>
    </w:p>
    <w:p>
      <w:pPr>
        <w:pStyle w:val="ListBullet"/>
      </w:pPr>
      <w:r>
        <w:t>Lei Geral de Proteção de Dados (Lei nº 13.709/2018): https://www.planalto.gov.br/ccivil_03/_ato2015-2018/2018/lei/l13709compilado.htm</w:t>
      </w:r>
    </w:p>
    <w:p>
      <w:pPr>
        <w:pStyle w:val="ListBullet"/>
      </w:pPr>
      <w:r>
        <w:t>Guia ANPD - Tratamento de dados pessoais pelo Poder Público: https://www.gov.br/anpd/pt-br/centrais-de-conteudo/materiais-educativos-e-publicacoes/guia_tratamento_de_dados_pessoais_pelo_poder_publico___defeso_eleitoral.pdf</w:t>
      </w:r>
    </w:p>
    <w:p>
      <w:pPr>
        <w:pStyle w:val="ListBullet"/>
      </w:pPr>
      <w:r>
        <w:t>Resolução CD/ANPD nº 15/2024: https://www.gov.br/anpd/pt-br/assuntos/noticias/anpd-aprova-o-regulamento-de-comunicacao-de-incidente-de-seguranca</w:t>
      </w:r>
    </w:p>
    <w:p>
      <w:pPr>
        <w:pStyle w:val="ListBullet"/>
      </w:pPr>
      <w:r>
        <w:t>Lei Brasileira de Inclusão (Lei nº 13.146/2015): https://www.planalto.gov.br/ccivil_03/_ato2015-2018/2015/lei/l13146.htm</w:t>
      </w:r>
    </w:p>
    <w:p>
      <w:pPr>
        <w:pStyle w:val="ListBullet"/>
      </w:pPr>
      <w:r>
        <w:t>Modelo de Acessibilidade em Governo Eletrônico (eMAG): https://www.gov.br/governodigital/pt-br/acessibilidade-e-usuario/acessibilidade-digital/modelo-de-acessibilidade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37381"/>
        <w:sz w:val="16"/>
      </w:rPr>
      <w:t>Material demonstrativo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37381"/>
        <w:sz w:val="16"/>
      </w:rPr>
      <w:t>SAÚDE PERTO DE VOCÊ  |  ALTAIR/SP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de regras de negócio e compliance — Saúde Perto de Você</dc:title>
  <dc:subject>Transformação digital da saúde pública municipal</dc:subject>
  <dc:creator>Saúde Perto de Você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