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VOLKSWAGEN AG</w:t>
      </w:r>
    </w:p>
    <w:p>
      <w:pPr>
        <w:jc w:val="center"/>
      </w:pPr>
      <w:r>
        <w:rPr>
          <w:b/>
        </w:rPr>
        <w:t>Equity Research Report</w:t>
        <w:br/>
      </w:r>
      <w:r>
        <w:t>21 October 2026</w:t>
      </w:r>
    </w:p>
    <w:p>
      <w:pPr>
        <w:jc w:val="center"/>
      </w:pPr>
      <w:r>
        <w:rPr>
          <w:b/>
        </w:rPr>
        <w:br/>
        <w:t>Rating: BUY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Executive Summary</w:t>
      </w:r>
    </w:p>
    <w:p>
      <w:r>
        <w:t>Investment Opinion</w:t>
      </w:r>
    </w:p>
    <w:p>
      <w:r>
        <w:t>Key Valuation Metrics</w:t>
      </w:r>
    </w:p>
    <w:p>
      <w:r>
        <w:t>Investment Thesis</w:t>
      </w:r>
    </w:p>
    <w:p>
      <w:r>
        <w:t>Potential Upside</w:t>
      </w:r>
    </w:p>
    <w:p>
      <w:r>
        <w:t>DCF Valuation</w:t>
      </w:r>
    </w:p>
    <w:p>
      <w:r>
        <w:t>Sum-of-the-Parts Valuation</w:t>
      </w:r>
    </w:p>
    <w:p>
      <w:r>
        <w:t>Automotive Division</w:t>
      </w:r>
    </w:p>
    <w:p>
      <w:r>
        <w:t>China JV</w:t>
      </w:r>
    </w:p>
    <w:p>
      <w:r>
        <w:t>Financial Services</w:t>
      </w:r>
    </w:p>
    <w:p>
      <w:r>
        <w:t>Sensitivity Analysis</w:t>
      </w:r>
    </w:p>
    <w:p>
      <w:r>
        <w:t>Key Risks</w:t>
      </w:r>
    </w:p>
    <w:p>
      <w:r>
        <w:t>Disclaimer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Volkswagen currently trades at €67 per share versus an estimated intrinsic value of €103. Our analysis indicates upside potential of 53.2% and results in a BUY recommendation.</w:t>
      </w:r>
    </w:p>
    <w:p>
      <w:pPr>
        <w:pStyle w:val="Heading1"/>
      </w:pPr>
      <w:r>
        <w:t>Investment Opinion</w:t>
      </w:r>
    </w:p>
    <w:p>
      <w:r>
        <w:t>Volkswagen appears materially undervalued. The estimated upside of 53.2% suggests an attractive risk-reward profile.</w:t>
      </w:r>
    </w:p>
    <w:p>
      <w:pPr>
        <w:pStyle w:val="Heading1"/>
      </w:pPr>
      <w:r>
        <w:t>Key Valuation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Market Price</w:t>
            </w:r>
          </w:p>
        </w:tc>
        <w:tc>
          <w:tcPr>
            <w:tcW w:type="dxa" w:w="4320"/>
          </w:tcPr>
          <w:p>
            <w:r>
              <w:t>€67</w:t>
            </w:r>
          </w:p>
        </w:tc>
      </w:tr>
      <w:tr>
        <w:tc>
          <w:tcPr>
            <w:tcW w:type="dxa" w:w="4320"/>
          </w:tcPr>
          <w:p>
            <w:r>
              <w:t>DCF Fair Value</w:t>
            </w:r>
          </w:p>
        </w:tc>
        <w:tc>
          <w:tcPr>
            <w:tcW w:type="dxa" w:w="4320"/>
          </w:tcPr>
          <w:p>
            <w:r>
              <w:t>€103</w:t>
            </w:r>
          </w:p>
        </w:tc>
      </w:tr>
      <w:tr>
        <w:tc>
          <w:tcPr>
            <w:tcW w:type="dxa" w:w="4320"/>
          </w:tcPr>
          <w:p>
            <w:r>
              <w:t>Conservative Value</w:t>
            </w:r>
          </w:p>
        </w:tc>
        <w:tc>
          <w:tcPr>
            <w:tcW w:type="dxa" w:w="4320"/>
          </w:tcPr>
          <w:p>
            <w:r>
              <w:t>€85</w:t>
            </w:r>
          </w:p>
        </w:tc>
      </w:tr>
      <w:tr>
        <w:tc>
          <w:tcPr>
            <w:tcW w:type="dxa" w:w="4320"/>
          </w:tcPr>
          <w:p>
            <w:r>
              <w:t>SOTP Equity Value</w:t>
            </w:r>
          </w:p>
        </w:tc>
        <w:tc>
          <w:tcPr>
            <w:tcW w:type="dxa" w:w="4320"/>
          </w:tcPr>
          <w:p>
            <w:r>
              <w:t>€110</w:t>
            </w:r>
          </w:p>
        </w:tc>
      </w:tr>
      <w:tr>
        <w:tc>
          <w:tcPr>
            <w:tcW w:type="dxa" w:w="4320"/>
          </w:tcPr>
          <w:p>
            <w:r>
              <w:t>Upside</w:t>
            </w:r>
          </w:p>
        </w:tc>
        <w:tc>
          <w:tcPr>
            <w:tcW w:type="dxa" w:w="4320"/>
          </w:tcPr>
          <w:p>
            <w:r>
              <w:t>53.2%</w:t>
            </w:r>
          </w:p>
        </w:tc>
      </w:tr>
    </w:tbl>
    <w:p>
      <w:pPr>
        <w:pStyle w:val="Heading1"/>
      </w:pPr>
      <w:r>
        <w:t>Investment Thesis</w:t>
      </w:r>
    </w:p>
    <w:p>
      <w:pPr>
        <w:pStyle w:val="ListBullet"/>
      </w:pPr>
      <w:r>
        <w:t>Shares trade 53.2% below estimated intrinsic value.</w:t>
      </w:r>
    </w:p>
    <w:p>
      <w:pPr>
        <w:pStyle w:val="ListBullet"/>
      </w:pPr>
      <w:r>
        <w:t>Strong balance sheet provides financial flexibility.</w:t>
      </w:r>
    </w:p>
    <w:p>
      <w:pPr>
        <w:pStyle w:val="ListBullet"/>
      </w:pPr>
      <w:r>
        <w:t>Porsche participation remains a significant hidden asset.</w:t>
      </w:r>
    </w:p>
    <w:p>
      <w:pPr>
        <w:pStyle w:val="ListBullet"/>
      </w:pPr>
      <w:r>
        <w:t>Financial Services provides recurring earnings support.</w:t>
      </w:r>
    </w:p>
    <w:p>
      <w:pPr>
        <w:pStyle w:val="ListBullet"/>
      </w:pPr>
      <w:r>
        <w:t>China JV recovery could unlock additional value.</w:t>
      </w:r>
    </w:p>
    <w:p>
      <w:r>
        <w:br w:type="page"/>
      </w:r>
    </w:p>
    <w:p>
      <w:pPr>
        <w:pStyle w:val="Heading1"/>
      </w:pPr>
      <w:r>
        <w:t>Key Risks</w:t>
      </w:r>
    </w:p>
    <w:p>
      <w:pPr>
        <w:pStyle w:val="ListBullet"/>
      </w:pPr>
      <w:r>
        <w:t>High exposure to the Chinese market.</w:t>
      </w:r>
    </w:p>
    <w:p>
      <w:pPr>
        <w:pStyle w:val="ListBullet"/>
      </w:pPr>
      <w:r>
        <w:t>EV transition execution risk.</w:t>
      </w:r>
    </w:p>
    <w:p>
      <w:pPr>
        <w:pStyle w:val="ListBullet"/>
      </w:pPr>
      <w:r>
        <w:t>Automotive cycle downturn.</w:t>
      </w:r>
    </w:p>
    <w:p>
      <w:pPr>
        <w:pStyle w:val="ListBullet"/>
      </w:pPr>
      <w:r>
        <w:t>European demand weakness.</w:t>
      </w:r>
    </w:p>
    <w:p>
      <w:pPr>
        <w:pStyle w:val="ListBullet"/>
      </w:pPr>
      <w:r>
        <w:t>Regulatory and environmental pressures.</w:t>
      </w:r>
    </w:p>
    <w:p>
      <w:r>
        <w:br w:type="page"/>
      </w:r>
    </w:p>
    <w:p>
      <w:pPr>
        <w:pStyle w:val="Heading1"/>
      </w:pPr>
      <w:r>
        <w:t>Disclaimer</w:t>
      </w:r>
    </w:p>
    <w:p>
      <w:r>
        <w:t>This report has been generated automatically for educational and research purposes only. It does not constitute investment advice, a recommendation to buy or sell securities, or financial advice of any kind. All figures and assumptions should be independently verified before making investment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Volkswagen AG Equity Research Report</dc:title>
  <dc:subject>Volkswagen Valuation</dc:subject>
  <dc:creator>Carlos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