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365D"/>
          <w:sz w:val="44"/>
          <w:szCs w:val="44"/>
        </w:rPr>
        <w:t xml:space="preserve">FLUXOGRAMA COMPLETO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SamurAI — Processo NR-01</w:t>
      </w:r>
    </w:p>
    <w:p>
      <w:pPr>
        <w:pBdr>
          <w:bottom w:val="single" w:color="1B365D" w:sz="8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Fluxo completo desde o primeiro contato até a entrega final dos PDFs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Black Belt Consultoria SST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contato@blackbeltconsultoria.com</w:t>
      </w:r>
    </w:p>
    <w:p>
      <w:r>
        <w:br w:type="page"/>
      </w:r>
    </w:p>
    <w:p>
      <w:pPr>
        <w:pStyle w:val="Heading1"/>
      </w:pPr>
      <w:r>
        <w:t xml:space="preserve">1. Fluxo Completo em 15 Etapas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Visão geral de todas as etapas do processo NR-01 conduzido pelo agente SamurAI.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506"/>
        <w:gridCol w:w="16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 digita CNPJ + número de funcionários + email da empresa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Receita Federal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automática de dados da empresa (CNPJ, CNAE, porte, endereço)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da Empresa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tenant, 18 itens checklist NR-01, 11 milestones com prazos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Pré-Proposta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 preço por porte/setor, aplica descontos, gera documento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da Pré-Proposta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HTML profissional com botões Aprovar/Recusar via API Brevo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 + Conta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clica Aprovar no email. Sistema cria conta e envia credenciais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Dados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faz login, cadastra setores e colaboradores (manual ou planilha XLSX/CSV)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COPSOQ-II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questionário por email para todos os colaboradores (tokens únicos, prazo 7 dias)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COPSOQ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 perguntas, 12 dimensões psicossociais, respostas anônimas. Parcial aceito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Colaboradores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+ Inventário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Médias das 12 dimensões, inventário de riscos, plano de ação com prazos, PCMSO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de Treinamento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módulos (8 horas total): NR-01, fatores de risco, prevenção, liderança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Certificação NR-01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conforme, milestones completos, certificado BB-CERT válido por 1 ano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Final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Baseada nos serviços executados. ROI estimado. Pagamento em 3 parcelas (40/30/30)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SamurAI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com dados bancários/PIX. Consultoria confirma cada parcela. PDFs bloqueados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PDFs liberados após pagamento 100% confirmado. Processo finalizado!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Automático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Fluxo Visual Detalhado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Entrada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Consultor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Manual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Consultor digita CNPJ + número de funcionários + email da empresa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Consulta Receita Federal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SamurAI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Busca automática de dados da empresa (CNPJ, CNAE, porte, endereço)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Cadastro da Empresa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SamurAI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Cria tenant, 18 itens checklist NR-01, 11 milestones com prazos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Pré-Proposta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SamurAI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Calcula preço por porte/setor, aplica descontos, gera documento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Envio da Pré-Proposta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SamurAI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Email HTML profissional com botões Aprovar/Recusar via API Brevo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Aprovação + Conta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Empresa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Empresa clica Aprovar no email. Sistema cria conta e envia credenciais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Cadastro de Dados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Empresa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Manual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Empresa faz login, cadastra setores e colaboradores (manual ou planilha XLSX/CSV)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Envio COPSOQ-II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SamurAI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Envia questionário por email para todos os colaboradores (tokens únicos, prazo 7 dias)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Respostas COPSOQ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Colaboradores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Manual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76 perguntas, 12 dimensões psicossociais, respostas anônimas. Parcial aceito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10: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Relatório + Inventário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SamurAI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Médias das 12 dimensões, inventário de riscos, plano de ação com prazos, PCMSO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11: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Programa de Treinamento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SamurAI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6 módulos (8 horas total): NR-01, fatores de risco, prevenção, liderança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12: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Certificação NR-01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SamurAI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Checklist conforme, milestones completos, certificado BB-CERT válido por 1 ano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13: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Proposta Final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SamurAI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Baseada nos serviços executados. ROI estimado. Pagamento em 3 parcelas (40/30/30)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14: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Pagamento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Consultoria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Manual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Email com dados bancários/PIX. Consultoria confirma cada parcela. PDFs bloqueados</w:t>
      </w:r>
    </w:p>
    <w:p>
      <w:pPr>
        <w:spacing w:after="0"/>
        <w:jc w:val="center"/>
      </w:pPr>
      <w:r>
        <w:rPr>
          <w:rFonts w:ascii="Arial" w:cs="Arial" w:eastAsia="Arial" w:hAnsi="Arial"/>
          <w:color w:val="1B365D"/>
          <w:sz w:val="28"/>
          <w:szCs w:val="28"/>
        </w:rPr>
        <w:t xml:space="preserve">▼</w:t>
      </w:r>
    </w:p>
    <w:p>
      <w:pPr>
        <w:pBdr>
          <w:bottom w:val="single" w:color="1B365D" w:sz="2" w:space="4"/>
        </w:pBdr>
        <w:spacing w:after="80" w:before="20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Etapa 15: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Entrega Final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Ator: </w:t>
      </w:r>
      <w:r>
        <w:rPr>
          <w:rFonts w:ascii="Arial" w:cs="Arial" w:eastAsia="Arial" w:hAnsi="Arial"/>
          <w:sz w:val="20"/>
          <w:szCs w:val="20"/>
        </w:rPr>
        <w:t xml:space="preserve">Sistema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Execução: </w:t>
      </w:r>
      <w:r>
        <w:rPr>
          <w:rFonts w:ascii="Arial" w:cs="Arial" w:eastAsia="Arial" w:hAnsi="Arial"/>
          <w:sz w:val="20"/>
          <w:szCs w:val="20"/>
        </w:rPr>
        <w:t xml:space="preserve">Automático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Descrição: </w:t>
      </w:r>
      <w:r>
        <w:rPr>
          <w:rFonts w:ascii="Arial" w:cs="Arial" w:eastAsia="Arial" w:hAnsi="Arial"/>
          <w:sz w:val="20"/>
          <w:szCs w:val="20"/>
        </w:rPr>
        <w:t xml:space="preserve">7 PDFs liberados após pagamento 100% confirmado. Processo finalizado!</w:t>
      </w:r>
    </w:p>
    <w:p>
      <w:r>
        <w:br w:type="page"/>
      </w:r>
    </w:p>
    <w:p>
      <w:pPr>
        <w:pStyle w:val="Heading1"/>
      </w:pPr>
      <w:r>
        <w:t xml:space="preserve">3. Dimensões COPSOQ-II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O questionário COPSOQ-II avalia 12 dimensões psicossociais com 76 perguntas.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50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de trabalho, ritmo, exigências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Autonomia, participação nas decisões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Apoio Social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de colegas e gestores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Liderança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da gestão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Comunidade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Relações interpessoais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Sentido no trabalho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Confiança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Confiança na organização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Justiça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Equidade nos processos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Insegurança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Medo de perder emprego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Saúde Mental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psicológico geral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Burnout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Exaustão emocional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Violência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Assédio e conflitos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4. Documentos Gerados (7 PDFs)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Todos os documentos são gerados automaticamente e liberados após confirmação de pagamento.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Proposta Comercial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Serviços + valores + condições de pagamento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COPSOQ-II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Resultados das 12 dimensões psicossociais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 de Riscos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Riscos identificados e classificados por nível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de Ação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Ações corretivas com prazos 30/60/90 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Programa de Treinamento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módulos + cronograma (8 horas)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Checklist de Conformidade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itens NR-01 verificados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NR-01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Certificação válida por 1 ano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5. Recuperação de Chat por CNPJ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Quando o consultor digita um CNPJ de empresa já cadastrada, o SamurAI: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NÃO pede número de funcionários ou email novamente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Mostra o STATUS ATUAL do processo (em andamento, aguardando, completo)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Oferece a próxima ação pendente com botão contextual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 tudo completo: exibe links dos PDFs para download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Black Belt Consultoria SST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contato@blackbeltconsultoria.com | blackbeltconsultoria.com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Confidencial | Black Belt Consultoria SST | </w:t>
    </w: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 w:space="4"/>
      </w:pBdr>
    </w:pPr>
    <w:r>
      <w:rPr>
        <w:rFonts w:ascii="Arial" w:cs="Arial" w:eastAsia="Arial" w:hAnsi="Arial"/>
        <w:b/>
        <w:bCs/>
        <w:color w:val="1B365D"/>
        <w:sz w:val="18"/>
        <w:szCs w:val="18"/>
      </w:rPr>
      <w:t xml:space="preserve">Black Belt Consultoria</w:t>
    </w:r>
    <w:r>
      <w:rPr>
        <w:rFonts w:ascii="Arial" w:cs="Arial" w:eastAsia="Arial" w:hAnsi="Arial"/>
        <w:color w:val="666666"/>
        <w:sz w:val="18"/>
        <w:szCs w:val="18"/>
      </w:rPr>
      <w:t xml:space="preserve">    |    Fluxograma SamurAI NR-01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2026-03-26T13:04:51.955Z</dcterms:created>
  <dcterms:modified xsi:type="dcterms:W3CDTF">2026-03-26T13:04:51.958Z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