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719C6" w14:textId="05BA21CC" w:rsidR="00271E1F" w:rsidRPr="00271E1F" w:rsidRDefault="00647841" w:rsidP="00271E1F">
      <w:pPr>
        <w:pStyle w:val="Default"/>
        <w:jc w:val="both"/>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4384" behindDoc="0" locked="0" layoutInCell="1" allowOverlap="1" wp14:anchorId="50AF4116" wp14:editId="07D24D2E">
                <wp:simplePos x="0" y="0"/>
                <wp:positionH relativeFrom="column">
                  <wp:posOffset>-595631</wp:posOffset>
                </wp:positionH>
                <wp:positionV relativeFrom="paragraph">
                  <wp:posOffset>-230505</wp:posOffset>
                </wp:positionV>
                <wp:extent cx="7153275"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7153275" cy="0"/>
                        </a:xfrm>
                        <a:prstGeom prst="line">
                          <a:avLst/>
                        </a:prstGeom>
                        <a:ln w="19050" cmpd="dbl">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6B89A" id="Conector recto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6.9pt,-18.15pt" to="516.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" strokecolor="#4472c4 [3204]" strokeweight="1.5pt">
                <v:stroke linestyle="thinThin" joinstyle="miter"/>
              </v:line>
            </w:pict>
          </mc:Fallback>
        </mc:AlternateContent>
      </w:r>
    </w:p>
    <w:p w14:paraId="3E54BE23" w14:textId="35E5DB72" w:rsidR="00271E1F" w:rsidRDefault="00271E1F" w:rsidP="00271E1F">
      <w:pPr>
        <w:pStyle w:val="Default"/>
        <w:jc w:val="center"/>
        <w:rPr>
          <w:rFonts w:asciiTheme="minorHAnsi" w:hAnsiTheme="minorHAnsi" w:cstheme="minorHAnsi"/>
          <w:b/>
          <w:bCs/>
          <w:color w:val="1F3863"/>
          <w:sz w:val="28"/>
          <w:szCs w:val="28"/>
        </w:rPr>
      </w:pPr>
      <w:r w:rsidRPr="00271E1F">
        <w:rPr>
          <w:rFonts w:asciiTheme="minorHAnsi" w:hAnsiTheme="minorHAnsi" w:cstheme="minorHAnsi"/>
          <w:b/>
          <w:bCs/>
          <w:color w:val="1F3863"/>
          <w:sz w:val="28"/>
          <w:szCs w:val="28"/>
        </w:rPr>
        <w:t>HACER UNA CONTRAOFERTA DE ACUERDO DE CONCILIACIÓN</w:t>
      </w:r>
    </w:p>
    <w:p w14:paraId="4E206381" w14:textId="4B962374" w:rsidR="00271E1F" w:rsidRDefault="00271E1F" w:rsidP="00271E1F">
      <w:pPr>
        <w:pStyle w:val="Default"/>
        <w:jc w:val="both"/>
        <w:rPr>
          <w:rFonts w:asciiTheme="minorHAnsi" w:hAnsiTheme="minorHAnsi" w:cstheme="minorHAnsi"/>
          <w:b/>
          <w:bCs/>
          <w:color w:val="1F3863"/>
          <w:sz w:val="28"/>
          <w:szCs w:val="28"/>
        </w:rPr>
      </w:pPr>
    </w:p>
    <w:p w14:paraId="59DAFFF1" w14:textId="4E9796DF" w:rsidR="00271E1F" w:rsidRDefault="00271E1F" w:rsidP="00271E1F">
      <w:pPr>
        <w:pStyle w:val="Default"/>
        <w:jc w:val="center"/>
        <w:rPr>
          <w:rFonts w:asciiTheme="minorHAnsi" w:hAnsiTheme="minorHAnsi" w:cstheme="minorHAnsi"/>
          <w:color w:val="1F3863"/>
          <w:sz w:val="28"/>
          <w:szCs w:val="28"/>
        </w:rPr>
      </w:pPr>
      <w:r w:rsidRPr="00271E1F">
        <w:rPr>
          <w:rFonts w:asciiTheme="minorHAnsi" w:hAnsiTheme="minorHAnsi" w:cstheme="minorHAnsi"/>
          <w:noProof/>
          <w:color w:val="1F3863"/>
          <w:sz w:val="28"/>
          <w:szCs w:val="28"/>
        </w:rPr>
        <w:drawing>
          <wp:inline distT="0" distB="0" distL="0" distR="0" wp14:anchorId="73693573" wp14:editId="6884ED7C">
            <wp:extent cx="5415915" cy="25239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9161" cy="2530116"/>
                    </a:xfrm>
                    <a:prstGeom prst="rect">
                      <a:avLst/>
                    </a:prstGeom>
                    <a:noFill/>
                    <a:ln>
                      <a:noFill/>
                    </a:ln>
                  </pic:spPr>
                </pic:pic>
              </a:graphicData>
            </a:graphic>
          </wp:inline>
        </w:drawing>
      </w:r>
    </w:p>
    <w:p w14:paraId="2883D2BD" w14:textId="77777777" w:rsidR="00271E1F" w:rsidRPr="00271E1F" w:rsidRDefault="00271E1F" w:rsidP="00271E1F">
      <w:pPr>
        <w:pStyle w:val="Default"/>
        <w:jc w:val="both"/>
        <w:rPr>
          <w:rFonts w:asciiTheme="minorHAnsi" w:hAnsiTheme="minorHAnsi" w:cstheme="minorHAnsi"/>
          <w:color w:val="1F3863"/>
          <w:sz w:val="28"/>
          <w:szCs w:val="28"/>
        </w:rPr>
      </w:pPr>
    </w:p>
    <w:p w14:paraId="540F0C45" w14:textId="6CBE72E6"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Si está involucrado en una disputa laboral, se alentará a ambas partes durante todo el proceso a llegar a un acuerdo. Una vez concluido, el acuerdo será legalmente vinculante. </w:t>
      </w:r>
    </w:p>
    <w:p w14:paraId="614AD8FD" w14:textId="77777777" w:rsidR="00271E1F" w:rsidRPr="00271E1F" w:rsidRDefault="00271E1F" w:rsidP="00271E1F">
      <w:pPr>
        <w:pStyle w:val="Default"/>
        <w:jc w:val="both"/>
        <w:rPr>
          <w:rFonts w:asciiTheme="minorHAnsi" w:hAnsiTheme="minorHAnsi" w:cstheme="minorHAnsi"/>
          <w:sz w:val="28"/>
          <w:szCs w:val="28"/>
        </w:rPr>
      </w:pPr>
    </w:p>
    <w:p w14:paraId="60569ED0" w14:textId="0F73506F"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Es esencial que los términos del acuerdo sean correctos. Esto puede requerir la presentación de una contraoferta de acuerdo de conciliación. </w:t>
      </w:r>
    </w:p>
    <w:p w14:paraId="55E162BA" w14:textId="77777777" w:rsidR="00271E1F" w:rsidRPr="00271E1F" w:rsidRDefault="00271E1F" w:rsidP="00271E1F">
      <w:pPr>
        <w:pStyle w:val="Default"/>
        <w:jc w:val="both"/>
        <w:rPr>
          <w:rFonts w:asciiTheme="minorHAnsi" w:hAnsiTheme="minorHAnsi" w:cstheme="minorHAnsi"/>
          <w:sz w:val="28"/>
          <w:szCs w:val="28"/>
        </w:rPr>
      </w:pPr>
    </w:p>
    <w:p w14:paraId="7617730B" w14:textId="77777777" w:rsidR="00271E1F" w:rsidRPr="00271E1F" w:rsidRDefault="00271E1F" w:rsidP="00271E1F">
      <w:pPr>
        <w:pStyle w:val="Default"/>
        <w:jc w:val="both"/>
        <w:rPr>
          <w:rFonts w:asciiTheme="minorHAnsi" w:hAnsiTheme="minorHAnsi" w:cstheme="minorHAnsi"/>
          <w:color w:val="1F3863"/>
          <w:sz w:val="28"/>
          <w:szCs w:val="28"/>
        </w:rPr>
      </w:pPr>
      <w:r w:rsidRPr="00271E1F">
        <w:rPr>
          <w:rFonts w:asciiTheme="minorHAnsi" w:hAnsiTheme="minorHAnsi" w:cstheme="minorHAnsi"/>
          <w:b/>
          <w:bCs/>
          <w:color w:val="1F3863"/>
          <w:sz w:val="28"/>
          <w:szCs w:val="28"/>
        </w:rPr>
        <w:t xml:space="preserve">¿Qué es un acuerdo de conciliación? </w:t>
      </w:r>
    </w:p>
    <w:p w14:paraId="77A1DE50" w14:textId="77777777" w:rsidR="00271E1F" w:rsidRDefault="00271E1F" w:rsidP="00271E1F">
      <w:pPr>
        <w:pStyle w:val="Default"/>
        <w:jc w:val="both"/>
        <w:rPr>
          <w:rFonts w:asciiTheme="minorHAnsi" w:hAnsiTheme="minorHAnsi" w:cstheme="minorHAnsi"/>
          <w:sz w:val="28"/>
          <w:szCs w:val="28"/>
        </w:rPr>
      </w:pPr>
    </w:p>
    <w:p w14:paraId="7CA552E5" w14:textId="1B06E716"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Los acuerdos de conciliación se utilizan para resolver disputas en el lugar de trabajo o cuando el empleo de alguien llega a su fin. Pueden celebrarse en cualquier etapa del procedimiento (antes o en el momento del despido, hasta e incluso durante cualquier audiencia del tribunal). </w:t>
      </w:r>
    </w:p>
    <w:p w14:paraId="72DC0597" w14:textId="77777777" w:rsidR="00271E1F" w:rsidRPr="00271E1F" w:rsidRDefault="00271E1F" w:rsidP="00271E1F">
      <w:pPr>
        <w:pStyle w:val="Default"/>
        <w:jc w:val="both"/>
        <w:rPr>
          <w:rFonts w:asciiTheme="minorHAnsi" w:hAnsiTheme="minorHAnsi" w:cstheme="minorHAnsi"/>
          <w:sz w:val="28"/>
          <w:szCs w:val="28"/>
        </w:rPr>
      </w:pPr>
    </w:p>
    <w:p w14:paraId="6D6A1C97" w14:textId="77777777" w:rsidR="00271E1F" w:rsidRP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El acuerdo debe ser por escrito para ser legalmente vinculante. Una vez finalizado el acuerdo, no será posible ninguna otra acción relacionada con la queja. </w:t>
      </w:r>
    </w:p>
    <w:p w14:paraId="62221E5E" w14:textId="47657A05" w:rsidR="00271E1F" w:rsidRP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Se requiere que un empleado obtenga asesoramiento por separado sobre los términos de cualquier acuerdo de conciliación propuesto, ya sea de un abogado, un funcionario autorizado o un representante sindical. </w:t>
      </w:r>
    </w:p>
    <w:p w14:paraId="51F3F994" w14:textId="77777777" w:rsidR="00271E1F" w:rsidRPr="00271E1F" w:rsidRDefault="00271E1F" w:rsidP="00271E1F">
      <w:pPr>
        <w:pStyle w:val="Default"/>
        <w:jc w:val="both"/>
        <w:rPr>
          <w:rFonts w:asciiTheme="minorHAnsi" w:hAnsiTheme="minorHAnsi" w:cstheme="minorHAnsi"/>
          <w:color w:val="auto"/>
          <w:sz w:val="28"/>
          <w:szCs w:val="28"/>
        </w:rPr>
      </w:pPr>
    </w:p>
    <w:p w14:paraId="17BA7F28" w14:textId="7DCF6072" w:rsidR="00271E1F" w:rsidRPr="00271E1F" w:rsidRDefault="00271E1F" w:rsidP="00271E1F">
      <w:pPr>
        <w:pStyle w:val="Default"/>
        <w:pageBreakBefore/>
        <w:jc w:val="both"/>
        <w:rPr>
          <w:rFonts w:asciiTheme="minorHAnsi" w:hAnsiTheme="minorHAnsi" w:cstheme="minorHAnsi"/>
          <w:sz w:val="28"/>
          <w:szCs w:val="28"/>
        </w:rPr>
      </w:pPr>
      <w:r w:rsidRPr="00271E1F">
        <w:rPr>
          <w:rFonts w:asciiTheme="minorHAnsi" w:hAnsiTheme="minorHAnsi" w:cstheme="minorHAnsi"/>
          <w:b/>
          <w:bCs/>
          <w:color w:val="1F3862"/>
          <w:sz w:val="28"/>
          <w:szCs w:val="28"/>
        </w:rPr>
        <w:lastRenderedPageBreak/>
        <w:t xml:space="preserve">Comprender a qué puede detener derecho un empleado </w:t>
      </w:r>
    </w:p>
    <w:p w14:paraId="0BA86E1E" w14:textId="77777777" w:rsidR="00271E1F" w:rsidRDefault="00271E1F" w:rsidP="00271E1F">
      <w:pPr>
        <w:pStyle w:val="Default"/>
        <w:jc w:val="both"/>
        <w:rPr>
          <w:rFonts w:asciiTheme="minorHAnsi" w:hAnsiTheme="minorHAnsi" w:cstheme="minorHAnsi"/>
          <w:sz w:val="28"/>
          <w:szCs w:val="28"/>
        </w:rPr>
      </w:pPr>
    </w:p>
    <w:p w14:paraId="68ACD395" w14:textId="5E04174D"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Al negociar un acuerdo y considerar una contraoferta, comience por calcular lo que se puede otorgar en caso de que el asunto no se resuelva, lo que resulta en una decisión de un tribunal. </w:t>
      </w:r>
    </w:p>
    <w:p w14:paraId="10D035D3" w14:textId="22B316D6" w:rsidR="00271E1F" w:rsidRPr="00271E1F" w:rsidRDefault="00271E1F" w:rsidP="00271E1F">
      <w:pPr>
        <w:pStyle w:val="Default"/>
        <w:jc w:val="both"/>
        <w:rPr>
          <w:rFonts w:asciiTheme="minorHAnsi" w:hAnsiTheme="minorHAnsi" w:cstheme="minorHAnsi"/>
          <w:sz w:val="28"/>
          <w:szCs w:val="28"/>
        </w:rPr>
      </w:pPr>
    </w:p>
    <w:p w14:paraId="493DE1DB" w14:textId="5374E6A5"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Normalmente no es posible saber exactamente lo que ordenará un tribunal; Siempre habrá diferentes factores a tener en cuenta: </w:t>
      </w:r>
    </w:p>
    <w:p w14:paraId="06425006" w14:textId="46C12E38" w:rsidR="00271E1F" w:rsidRPr="00271E1F" w:rsidRDefault="00177456" w:rsidP="00271E1F">
      <w:pPr>
        <w:pStyle w:val="Default"/>
        <w:jc w:val="both"/>
        <w:rPr>
          <w:rFonts w:asciiTheme="minorHAnsi" w:hAnsiTheme="minorHAnsi" w:cstheme="minorHAnsi"/>
          <w:sz w:val="28"/>
          <w:szCs w:val="28"/>
        </w:rPr>
      </w:pPr>
      <w:r w:rsidRPr="00177456">
        <w:rPr>
          <w:rFonts w:asciiTheme="minorHAnsi" w:hAnsiTheme="minorHAnsi" w:cstheme="minorHAnsi"/>
          <w:noProof/>
          <w:sz w:val="28"/>
          <w:szCs w:val="28"/>
        </w:rPr>
        <w:drawing>
          <wp:anchor distT="0" distB="0" distL="114300" distR="114300" simplePos="0" relativeHeight="251662336" behindDoc="0" locked="0" layoutInCell="1" allowOverlap="1" wp14:anchorId="10BCDBFD" wp14:editId="5D2F1755">
            <wp:simplePos x="0" y="0"/>
            <wp:positionH relativeFrom="column">
              <wp:posOffset>4445</wp:posOffset>
            </wp:positionH>
            <wp:positionV relativeFrom="paragraph">
              <wp:posOffset>133350</wp:posOffset>
            </wp:positionV>
            <wp:extent cx="3676650" cy="1748790"/>
            <wp:effectExtent l="0" t="0" r="0" b="3810"/>
            <wp:wrapThrough wrapText="bothSides">
              <wp:wrapPolygon edited="0">
                <wp:start x="0" y="0"/>
                <wp:lineTo x="0" y="21412"/>
                <wp:lineTo x="21488" y="21412"/>
                <wp:lineTo x="2148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6650" cy="174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E6985" w14:textId="77777777" w:rsidR="00271E1F" w:rsidRPr="00271E1F" w:rsidRDefault="00271E1F" w:rsidP="00271E1F">
      <w:pPr>
        <w:pStyle w:val="Default"/>
        <w:ind w:left="1701"/>
        <w:jc w:val="both"/>
        <w:rPr>
          <w:rFonts w:asciiTheme="minorHAnsi" w:hAnsiTheme="minorHAnsi" w:cstheme="minorHAnsi"/>
          <w:sz w:val="28"/>
          <w:szCs w:val="28"/>
        </w:rPr>
      </w:pPr>
      <w:r w:rsidRPr="00271E1F">
        <w:rPr>
          <w:rFonts w:asciiTheme="minorHAnsi" w:hAnsiTheme="minorHAnsi" w:cstheme="minorHAnsi"/>
          <w:sz w:val="28"/>
          <w:szCs w:val="28"/>
        </w:rPr>
        <w:t xml:space="preserve">• el tipo de despido </w:t>
      </w:r>
    </w:p>
    <w:p w14:paraId="51F300C9" w14:textId="77777777" w:rsidR="00271E1F" w:rsidRPr="00271E1F" w:rsidRDefault="00271E1F" w:rsidP="00271E1F">
      <w:pPr>
        <w:pStyle w:val="Default"/>
        <w:ind w:left="1701"/>
        <w:jc w:val="both"/>
        <w:rPr>
          <w:rFonts w:asciiTheme="minorHAnsi" w:hAnsiTheme="minorHAnsi" w:cstheme="minorHAnsi"/>
          <w:sz w:val="28"/>
          <w:szCs w:val="28"/>
        </w:rPr>
      </w:pPr>
      <w:r w:rsidRPr="00271E1F">
        <w:rPr>
          <w:rFonts w:asciiTheme="minorHAnsi" w:hAnsiTheme="minorHAnsi" w:cstheme="minorHAnsi"/>
          <w:sz w:val="28"/>
          <w:szCs w:val="28"/>
        </w:rPr>
        <w:t xml:space="preserve">• las circunstancias circundantes </w:t>
      </w:r>
    </w:p>
    <w:p w14:paraId="72720751" w14:textId="77777777" w:rsidR="00271E1F" w:rsidRPr="00271E1F" w:rsidRDefault="00271E1F" w:rsidP="00271E1F">
      <w:pPr>
        <w:pStyle w:val="Default"/>
        <w:ind w:left="1701"/>
        <w:jc w:val="both"/>
        <w:rPr>
          <w:rFonts w:asciiTheme="minorHAnsi" w:hAnsiTheme="minorHAnsi" w:cstheme="minorHAnsi"/>
          <w:sz w:val="28"/>
          <w:szCs w:val="28"/>
        </w:rPr>
      </w:pPr>
      <w:r w:rsidRPr="00271E1F">
        <w:rPr>
          <w:rFonts w:asciiTheme="minorHAnsi" w:hAnsiTheme="minorHAnsi" w:cstheme="minorHAnsi"/>
          <w:sz w:val="28"/>
          <w:szCs w:val="28"/>
        </w:rPr>
        <w:t xml:space="preserve">• la duración del servicio </w:t>
      </w:r>
    </w:p>
    <w:p w14:paraId="1B8FA8A3" w14:textId="3904A443" w:rsidR="00271E1F" w:rsidRDefault="00271E1F" w:rsidP="00271E1F">
      <w:pPr>
        <w:pStyle w:val="Default"/>
        <w:ind w:left="1701"/>
        <w:jc w:val="both"/>
        <w:rPr>
          <w:rFonts w:asciiTheme="minorHAnsi" w:hAnsiTheme="minorHAnsi" w:cstheme="minorHAnsi"/>
          <w:sz w:val="28"/>
          <w:szCs w:val="28"/>
        </w:rPr>
      </w:pPr>
      <w:r w:rsidRPr="00271E1F">
        <w:rPr>
          <w:rFonts w:asciiTheme="minorHAnsi" w:hAnsiTheme="minorHAnsi" w:cstheme="minorHAnsi"/>
          <w:sz w:val="28"/>
          <w:szCs w:val="28"/>
        </w:rPr>
        <w:t xml:space="preserve">• la edad del empleado. </w:t>
      </w:r>
    </w:p>
    <w:p w14:paraId="021E6D05" w14:textId="729F0AF8" w:rsidR="00271E1F" w:rsidRDefault="00271E1F" w:rsidP="00271E1F">
      <w:pPr>
        <w:pStyle w:val="Default"/>
        <w:jc w:val="both"/>
        <w:rPr>
          <w:rFonts w:asciiTheme="minorHAnsi" w:hAnsiTheme="minorHAnsi" w:cstheme="minorHAnsi"/>
          <w:sz w:val="28"/>
          <w:szCs w:val="28"/>
        </w:rPr>
      </w:pPr>
    </w:p>
    <w:p w14:paraId="5A74BCEF" w14:textId="4B810BF1" w:rsidR="00177456" w:rsidRDefault="00177456" w:rsidP="00271E1F">
      <w:pPr>
        <w:pStyle w:val="Default"/>
        <w:jc w:val="both"/>
        <w:rPr>
          <w:rFonts w:asciiTheme="minorHAnsi" w:hAnsiTheme="minorHAnsi" w:cstheme="minorHAnsi"/>
          <w:sz w:val="28"/>
          <w:szCs w:val="28"/>
        </w:rPr>
      </w:pPr>
    </w:p>
    <w:p w14:paraId="30B404B4" w14:textId="0525334D" w:rsidR="00177456" w:rsidRDefault="00177456" w:rsidP="00271E1F">
      <w:pPr>
        <w:pStyle w:val="Default"/>
        <w:jc w:val="both"/>
        <w:rPr>
          <w:rFonts w:asciiTheme="minorHAnsi" w:hAnsiTheme="minorHAnsi" w:cstheme="minorHAnsi"/>
          <w:sz w:val="28"/>
          <w:szCs w:val="28"/>
        </w:rPr>
      </w:pPr>
    </w:p>
    <w:p w14:paraId="7F2DD681" w14:textId="1C8B0249" w:rsidR="00177456" w:rsidRDefault="00177456" w:rsidP="00271E1F">
      <w:pPr>
        <w:pStyle w:val="Default"/>
        <w:jc w:val="both"/>
        <w:rPr>
          <w:rFonts w:asciiTheme="minorHAnsi" w:hAnsiTheme="minorHAnsi" w:cstheme="minorHAnsi"/>
          <w:sz w:val="28"/>
          <w:szCs w:val="28"/>
        </w:rPr>
      </w:pPr>
    </w:p>
    <w:p w14:paraId="1BE361E5" w14:textId="77777777" w:rsidR="00177456" w:rsidRPr="00271E1F" w:rsidRDefault="00177456" w:rsidP="00271E1F">
      <w:pPr>
        <w:pStyle w:val="Default"/>
        <w:jc w:val="both"/>
        <w:rPr>
          <w:rFonts w:asciiTheme="minorHAnsi" w:hAnsiTheme="minorHAnsi" w:cstheme="minorHAnsi"/>
          <w:sz w:val="28"/>
          <w:szCs w:val="28"/>
        </w:rPr>
      </w:pPr>
    </w:p>
    <w:p w14:paraId="71453294" w14:textId="4131F0CC"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Conocer los conceptos básicos de cómo se puede calcular una indemnización es un buen punto de partida. </w:t>
      </w:r>
    </w:p>
    <w:p w14:paraId="33EFAB3C" w14:textId="77777777" w:rsidR="00271E1F" w:rsidRPr="00271E1F" w:rsidRDefault="00271E1F" w:rsidP="00271E1F">
      <w:pPr>
        <w:pStyle w:val="Default"/>
        <w:jc w:val="both"/>
        <w:rPr>
          <w:rFonts w:asciiTheme="minorHAnsi" w:hAnsiTheme="minorHAnsi" w:cstheme="minorHAnsi"/>
          <w:sz w:val="28"/>
          <w:szCs w:val="28"/>
        </w:rPr>
      </w:pPr>
    </w:p>
    <w:p w14:paraId="06B24EE8" w14:textId="0C88F092" w:rsidR="00271E1F" w:rsidRDefault="00271E1F" w:rsidP="00271E1F">
      <w:pPr>
        <w:pStyle w:val="Default"/>
        <w:jc w:val="both"/>
        <w:rPr>
          <w:rFonts w:asciiTheme="minorHAnsi" w:hAnsiTheme="minorHAnsi" w:cstheme="minorHAnsi"/>
          <w:b/>
          <w:bCs/>
          <w:color w:val="1F3862"/>
          <w:sz w:val="28"/>
          <w:szCs w:val="28"/>
        </w:rPr>
      </w:pPr>
      <w:r w:rsidRPr="00271E1F">
        <w:rPr>
          <w:rFonts w:asciiTheme="minorHAnsi" w:hAnsiTheme="minorHAnsi" w:cstheme="minorHAnsi"/>
          <w:b/>
          <w:bCs/>
          <w:color w:val="1F3862"/>
          <w:sz w:val="28"/>
          <w:szCs w:val="28"/>
        </w:rPr>
        <w:t xml:space="preserve">Cómo se calcula una indemnización. </w:t>
      </w:r>
    </w:p>
    <w:p w14:paraId="7C81C75C" w14:textId="77777777" w:rsidR="00271E1F" w:rsidRPr="00271E1F" w:rsidRDefault="00271E1F" w:rsidP="00271E1F">
      <w:pPr>
        <w:pStyle w:val="Default"/>
        <w:jc w:val="both"/>
        <w:rPr>
          <w:rFonts w:asciiTheme="minorHAnsi" w:hAnsiTheme="minorHAnsi" w:cstheme="minorHAnsi"/>
          <w:sz w:val="28"/>
          <w:szCs w:val="28"/>
        </w:rPr>
      </w:pPr>
    </w:p>
    <w:p w14:paraId="0189C691" w14:textId="19CA08B7"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Una indemnización en una situación de despido improcedente normal-mente consiste en una indemnización básica y una indemnización compensatoria. </w:t>
      </w:r>
    </w:p>
    <w:p w14:paraId="76BD045B" w14:textId="77777777" w:rsidR="00271E1F" w:rsidRPr="00271E1F" w:rsidRDefault="00271E1F" w:rsidP="00271E1F">
      <w:pPr>
        <w:pStyle w:val="Default"/>
        <w:jc w:val="both"/>
        <w:rPr>
          <w:rFonts w:asciiTheme="minorHAnsi" w:hAnsiTheme="minorHAnsi" w:cstheme="minorHAnsi"/>
          <w:sz w:val="28"/>
          <w:szCs w:val="28"/>
        </w:rPr>
      </w:pPr>
    </w:p>
    <w:p w14:paraId="1D936991" w14:textId="4C5D19E2"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La indemnización básica y el despido legal son una suma fija calculada mediante una fórmula establecida: </w:t>
      </w:r>
    </w:p>
    <w:p w14:paraId="2AB6D2A3" w14:textId="77777777" w:rsidR="00271E1F" w:rsidRPr="00271E1F" w:rsidRDefault="00271E1F" w:rsidP="00271E1F">
      <w:pPr>
        <w:pStyle w:val="Default"/>
        <w:jc w:val="both"/>
        <w:rPr>
          <w:rFonts w:asciiTheme="minorHAnsi" w:hAnsiTheme="minorHAnsi" w:cstheme="minorHAnsi"/>
          <w:sz w:val="28"/>
          <w:szCs w:val="28"/>
        </w:rPr>
      </w:pPr>
    </w:p>
    <w:p w14:paraId="3B459EB1" w14:textId="77777777" w:rsidR="00271E1F" w:rsidRPr="00271E1F" w:rsidRDefault="00271E1F" w:rsidP="00177456">
      <w:pPr>
        <w:pStyle w:val="Default"/>
        <w:ind w:left="1134"/>
        <w:jc w:val="both"/>
        <w:rPr>
          <w:rFonts w:asciiTheme="minorHAnsi" w:hAnsiTheme="minorHAnsi" w:cstheme="minorHAnsi"/>
          <w:sz w:val="28"/>
          <w:szCs w:val="28"/>
        </w:rPr>
      </w:pPr>
      <w:r w:rsidRPr="00271E1F">
        <w:rPr>
          <w:rFonts w:asciiTheme="minorHAnsi" w:hAnsiTheme="minorHAnsi" w:cstheme="minorHAnsi"/>
          <w:sz w:val="28"/>
          <w:szCs w:val="28"/>
        </w:rPr>
        <w:t xml:space="preserve">• Duración del tiempo que el empleado estuvo empleado </w:t>
      </w:r>
    </w:p>
    <w:p w14:paraId="78E5C86C" w14:textId="77777777" w:rsidR="00271E1F" w:rsidRPr="00271E1F" w:rsidRDefault="00271E1F" w:rsidP="00177456">
      <w:pPr>
        <w:pStyle w:val="Default"/>
        <w:ind w:left="1134"/>
        <w:jc w:val="both"/>
        <w:rPr>
          <w:rFonts w:asciiTheme="minorHAnsi" w:hAnsiTheme="minorHAnsi" w:cstheme="minorHAnsi"/>
          <w:sz w:val="28"/>
          <w:szCs w:val="28"/>
        </w:rPr>
      </w:pPr>
      <w:r w:rsidRPr="00271E1F">
        <w:rPr>
          <w:rFonts w:asciiTheme="minorHAnsi" w:hAnsiTheme="minorHAnsi" w:cstheme="minorHAnsi"/>
          <w:sz w:val="28"/>
          <w:szCs w:val="28"/>
        </w:rPr>
        <w:t xml:space="preserve">• Edad en que el empleado fue despedido </w:t>
      </w:r>
    </w:p>
    <w:p w14:paraId="2246D0C5" w14:textId="0B746C62" w:rsidR="00271E1F" w:rsidRDefault="00271E1F" w:rsidP="00177456">
      <w:pPr>
        <w:pStyle w:val="Default"/>
        <w:ind w:left="1134"/>
        <w:jc w:val="both"/>
        <w:rPr>
          <w:rFonts w:asciiTheme="minorHAnsi" w:hAnsiTheme="minorHAnsi" w:cstheme="minorHAnsi"/>
          <w:sz w:val="28"/>
          <w:szCs w:val="28"/>
        </w:rPr>
      </w:pPr>
      <w:r w:rsidRPr="00271E1F">
        <w:rPr>
          <w:rFonts w:asciiTheme="minorHAnsi" w:hAnsiTheme="minorHAnsi" w:cstheme="minorHAnsi"/>
          <w:sz w:val="28"/>
          <w:szCs w:val="28"/>
        </w:rPr>
        <w:t xml:space="preserve">• Salario semanal bruto del empleado al momento del despido. </w:t>
      </w:r>
    </w:p>
    <w:p w14:paraId="0C6EAC45" w14:textId="0CD37D2E" w:rsidR="006C2B9B" w:rsidRDefault="006C2B9B" w:rsidP="00271E1F">
      <w:pPr>
        <w:pStyle w:val="Default"/>
        <w:ind w:left="1843"/>
        <w:jc w:val="both"/>
        <w:rPr>
          <w:rFonts w:asciiTheme="minorHAnsi" w:hAnsiTheme="minorHAnsi" w:cstheme="minorHAnsi"/>
          <w:sz w:val="28"/>
          <w:szCs w:val="28"/>
        </w:rPr>
      </w:pPr>
    </w:p>
    <w:p w14:paraId="078ECA54" w14:textId="1EE20FFB" w:rsidR="00271E1F" w:rsidRDefault="00271E1F" w:rsidP="002A48C3">
      <w:pPr>
        <w:pStyle w:val="Default"/>
        <w:pageBreakBefore/>
        <w:jc w:val="both"/>
        <w:rPr>
          <w:rFonts w:asciiTheme="minorHAnsi" w:hAnsiTheme="minorHAnsi" w:cstheme="minorHAnsi"/>
          <w:color w:val="auto"/>
          <w:sz w:val="28"/>
          <w:szCs w:val="28"/>
        </w:rPr>
      </w:pPr>
      <w:r w:rsidRPr="00271E1F">
        <w:rPr>
          <w:rFonts w:asciiTheme="minorHAnsi" w:hAnsiTheme="minorHAnsi" w:cstheme="minorHAnsi"/>
          <w:color w:val="auto"/>
          <w:sz w:val="28"/>
          <w:szCs w:val="28"/>
        </w:rPr>
        <w:lastRenderedPageBreak/>
        <w:t xml:space="preserve"> La adjudicación compensatoria puede incluir un elemento para compensar el hecho de que el empleado tendrá que trabajar para cualquier empleador nuevo durante dos años antes de adquirir los derechos de la ley laboral. </w:t>
      </w:r>
    </w:p>
    <w:p w14:paraId="04B79447" w14:textId="77777777" w:rsidR="0052230A" w:rsidRPr="00271E1F" w:rsidRDefault="0052230A" w:rsidP="00271E1F">
      <w:pPr>
        <w:pStyle w:val="Default"/>
        <w:jc w:val="both"/>
        <w:rPr>
          <w:rFonts w:asciiTheme="minorHAnsi" w:hAnsiTheme="minorHAnsi" w:cstheme="minorHAnsi"/>
          <w:color w:val="auto"/>
          <w:sz w:val="28"/>
          <w:szCs w:val="28"/>
        </w:rPr>
      </w:pPr>
    </w:p>
    <w:p w14:paraId="0BF4AB9F" w14:textId="3F7CAA09" w:rsidR="00271E1F" w:rsidRDefault="00271E1F" w:rsidP="00271E1F">
      <w:pPr>
        <w:pStyle w:val="Default"/>
        <w:jc w:val="both"/>
        <w:rPr>
          <w:rFonts w:asciiTheme="minorHAnsi" w:hAnsiTheme="minorHAnsi" w:cstheme="minorHAnsi"/>
          <w:color w:val="auto"/>
          <w:sz w:val="28"/>
          <w:szCs w:val="28"/>
        </w:rPr>
      </w:pPr>
      <w:r w:rsidRPr="00271E1F">
        <w:rPr>
          <w:rFonts w:asciiTheme="minorHAnsi" w:hAnsiTheme="minorHAnsi" w:cstheme="minorHAnsi"/>
          <w:color w:val="auto"/>
          <w:sz w:val="28"/>
          <w:szCs w:val="28"/>
        </w:rPr>
        <w:t xml:space="preserve">Si se trata de una situación de despido, el tribunal puede ordenar un laudo de protección además del laudo básico. Esta es una compensación por el hecho de que un empleador no consultó con un empleado antes de despedirlo. Esto podría ser hasta un máximo de 90 días de pago. </w:t>
      </w:r>
    </w:p>
    <w:p w14:paraId="10F1829B" w14:textId="77777777" w:rsidR="0052230A" w:rsidRPr="00271E1F" w:rsidRDefault="0052230A" w:rsidP="00271E1F">
      <w:pPr>
        <w:pStyle w:val="Default"/>
        <w:jc w:val="both"/>
        <w:rPr>
          <w:rFonts w:asciiTheme="minorHAnsi" w:hAnsiTheme="minorHAnsi" w:cstheme="minorHAnsi"/>
          <w:color w:val="auto"/>
          <w:sz w:val="28"/>
          <w:szCs w:val="28"/>
        </w:rPr>
      </w:pPr>
    </w:p>
    <w:p w14:paraId="4468A198" w14:textId="4AB38D15" w:rsidR="00271E1F" w:rsidRDefault="00271E1F" w:rsidP="00271E1F">
      <w:pPr>
        <w:pStyle w:val="Default"/>
        <w:jc w:val="both"/>
        <w:rPr>
          <w:rFonts w:asciiTheme="minorHAnsi" w:hAnsiTheme="minorHAnsi" w:cstheme="minorHAnsi"/>
          <w:color w:val="auto"/>
          <w:sz w:val="28"/>
          <w:szCs w:val="28"/>
        </w:rPr>
      </w:pPr>
      <w:r w:rsidRPr="00271E1F">
        <w:rPr>
          <w:rFonts w:asciiTheme="minorHAnsi" w:hAnsiTheme="minorHAnsi" w:cstheme="minorHAnsi"/>
          <w:color w:val="auto"/>
          <w:sz w:val="28"/>
          <w:szCs w:val="28"/>
        </w:rPr>
        <w:t xml:space="preserve">El monto de la indemnización también dependerá de la fecha en que se hizo cualquier reclamo. </w:t>
      </w:r>
    </w:p>
    <w:p w14:paraId="65382AE7" w14:textId="77777777" w:rsidR="00271E1F" w:rsidRPr="00271E1F" w:rsidRDefault="00271E1F" w:rsidP="00271E1F">
      <w:pPr>
        <w:pStyle w:val="Default"/>
        <w:jc w:val="both"/>
        <w:rPr>
          <w:rFonts w:asciiTheme="minorHAnsi" w:hAnsiTheme="minorHAnsi" w:cstheme="minorHAnsi"/>
          <w:color w:val="auto"/>
          <w:sz w:val="28"/>
          <w:szCs w:val="28"/>
        </w:rPr>
      </w:pPr>
    </w:p>
    <w:p w14:paraId="7D0C0BD9" w14:textId="5EBB0249" w:rsidR="00271E1F" w:rsidRDefault="00271E1F" w:rsidP="00271E1F">
      <w:pPr>
        <w:pStyle w:val="Default"/>
        <w:jc w:val="both"/>
        <w:rPr>
          <w:rFonts w:asciiTheme="minorHAnsi" w:hAnsiTheme="minorHAnsi" w:cstheme="minorHAnsi"/>
          <w:b/>
          <w:bCs/>
          <w:color w:val="1F3862"/>
          <w:sz w:val="28"/>
          <w:szCs w:val="28"/>
        </w:rPr>
      </w:pPr>
      <w:r w:rsidRPr="00271E1F">
        <w:rPr>
          <w:rFonts w:asciiTheme="minorHAnsi" w:hAnsiTheme="minorHAnsi" w:cstheme="minorHAnsi"/>
          <w:b/>
          <w:bCs/>
          <w:color w:val="1F3862"/>
          <w:sz w:val="28"/>
          <w:szCs w:val="28"/>
        </w:rPr>
        <w:t xml:space="preserve">Otras consideraciones al negociar un acuerdo de conciliación. </w:t>
      </w:r>
    </w:p>
    <w:p w14:paraId="4753A5ED" w14:textId="77777777" w:rsidR="0052230A" w:rsidRPr="00271E1F" w:rsidRDefault="0052230A" w:rsidP="00271E1F">
      <w:pPr>
        <w:pStyle w:val="Default"/>
        <w:jc w:val="both"/>
        <w:rPr>
          <w:rFonts w:asciiTheme="minorHAnsi" w:hAnsiTheme="minorHAnsi" w:cstheme="minorHAnsi"/>
          <w:color w:val="1F3862"/>
          <w:sz w:val="28"/>
          <w:szCs w:val="28"/>
        </w:rPr>
      </w:pPr>
    </w:p>
    <w:p w14:paraId="6E009C99" w14:textId="77777777" w:rsidR="0052230A"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Un acuerdo de liquidación también debe tener en cuenta cualquier período de preaviso (ya sea para trabajar o tomarse como licencia, o como pago en lugar de ello).</w:t>
      </w:r>
    </w:p>
    <w:p w14:paraId="7A4536D1" w14:textId="4C54D873" w:rsidR="0052230A"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 </w:t>
      </w:r>
    </w:p>
    <w:p w14:paraId="522F768C" w14:textId="5C553F8E"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Los beneficios, como la atención médica o el derecho a acciones, también deben ser una consideración. </w:t>
      </w:r>
    </w:p>
    <w:p w14:paraId="4D741CB4" w14:textId="7883D221" w:rsidR="00177456" w:rsidRDefault="00177456" w:rsidP="00271E1F">
      <w:pPr>
        <w:pStyle w:val="Default"/>
        <w:jc w:val="both"/>
        <w:rPr>
          <w:rFonts w:asciiTheme="minorHAnsi" w:hAnsiTheme="minorHAnsi" w:cstheme="minorHAnsi"/>
          <w:sz w:val="28"/>
          <w:szCs w:val="28"/>
        </w:rPr>
      </w:pPr>
    </w:p>
    <w:p w14:paraId="01E3B64D" w14:textId="4019D775" w:rsidR="00271E1F" w:rsidRDefault="00177456" w:rsidP="00271E1F">
      <w:pPr>
        <w:pStyle w:val="Default"/>
        <w:jc w:val="both"/>
        <w:rPr>
          <w:rFonts w:asciiTheme="minorHAnsi" w:hAnsiTheme="minorHAnsi" w:cstheme="minorHAnsi"/>
          <w:sz w:val="28"/>
          <w:szCs w:val="28"/>
        </w:rPr>
      </w:pPr>
      <w:r w:rsidRPr="00177456">
        <w:rPr>
          <w:rFonts w:asciiTheme="minorHAnsi" w:hAnsiTheme="minorHAnsi" w:cstheme="minorHAnsi"/>
          <w:noProof/>
          <w:sz w:val="28"/>
          <w:szCs w:val="28"/>
        </w:rPr>
        <w:drawing>
          <wp:anchor distT="0" distB="0" distL="114300" distR="114300" simplePos="0" relativeHeight="251663360" behindDoc="0" locked="0" layoutInCell="1" allowOverlap="1" wp14:anchorId="71F08922" wp14:editId="79B17ED6">
            <wp:simplePos x="0" y="0"/>
            <wp:positionH relativeFrom="column">
              <wp:posOffset>1957070</wp:posOffset>
            </wp:positionH>
            <wp:positionV relativeFrom="paragraph">
              <wp:posOffset>48260</wp:posOffset>
            </wp:positionV>
            <wp:extent cx="4088130" cy="1905000"/>
            <wp:effectExtent l="0" t="0" r="7620" b="0"/>
            <wp:wrapThrough wrapText="bothSides">
              <wp:wrapPolygon edited="0">
                <wp:start x="0" y="0"/>
                <wp:lineTo x="0" y="21384"/>
                <wp:lineTo x="21540" y="21384"/>
                <wp:lineTo x="2154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813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E1F" w:rsidRPr="00271E1F">
        <w:rPr>
          <w:rFonts w:asciiTheme="minorHAnsi" w:hAnsiTheme="minorHAnsi" w:cstheme="minorHAnsi"/>
          <w:sz w:val="28"/>
          <w:szCs w:val="28"/>
        </w:rPr>
        <w:t xml:space="preserve">Al negociar, las partes pueden desear incluir algún tipo de cláusula de confidencialidad que limite lo que el empleado puede discutir sobre las razones de la terminación del empleo. </w:t>
      </w:r>
    </w:p>
    <w:p w14:paraId="3A6B8C8E" w14:textId="77777777" w:rsidR="00177456" w:rsidRDefault="00177456" w:rsidP="00271E1F">
      <w:pPr>
        <w:pStyle w:val="Default"/>
        <w:jc w:val="both"/>
        <w:rPr>
          <w:rFonts w:asciiTheme="minorHAnsi" w:hAnsiTheme="minorHAnsi" w:cstheme="minorHAnsi"/>
          <w:sz w:val="28"/>
          <w:szCs w:val="28"/>
        </w:rPr>
      </w:pPr>
    </w:p>
    <w:p w14:paraId="4228E3A9" w14:textId="77777777" w:rsidR="0052230A" w:rsidRPr="00271E1F" w:rsidRDefault="0052230A" w:rsidP="00271E1F">
      <w:pPr>
        <w:pStyle w:val="Default"/>
        <w:jc w:val="both"/>
        <w:rPr>
          <w:rFonts w:asciiTheme="minorHAnsi" w:hAnsiTheme="minorHAnsi" w:cstheme="minorHAnsi"/>
          <w:sz w:val="28"/>
          <w:szCs w:val="28"/>
        </w:rPr>
      </w:pPr>
    </w:p>
    <w:p w14:paraId="17D5487F" w14:textId="35B29AA5"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Normalmente, también se incluirá una referencia laboral dentro de un acuerdo de liquidación, al igual que los detalles de cómo y cuándo se realizará el pago. </w:t>
      </w:r>
    </w:p>
    <w:p w14:paraId="1FE37406" w14:textId="77777777" w:rsidR="0052230A" w:rsidRPr="00271E1F" w:rsidRDefault="0052230A" w:rsidP="00271E1F">
      <w:pPr>
        <w:pStyle w:val="Default"/>
        <w:jc w:val="both"/>
        <w:rPr>
          <w:rFonts w:asciiTheme="minorHAnsi" w:hAnsiTheme="minorHAnsi" w:cstheme="minorHAnsi"/>
          <w:sz w:val="28"/>
          <w:szCs w:val="28"/>
        </w:rPr>
      </w:pPr>
    </w:p>
    <w:p w14:paraId="6C4ADD2B" w14:textId="502F0112"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También se debe pensar en las implicaciones fiscales. </w:t>
      </w:r>
    </w:p>
    <w:p w14:paraId="3648E64F" w14:textId="77777777" w:rsidR="0052230A" w:rsidRPr="00271E1F" w:rsidRDefault="0052230A" w:rsidP="00271E1F">
      <w:pPr>
        <w:pStyle w:val="Default"/>
        <w:jc w:val="both"/>
        <w:rPr>
          <w:rFonts w:asciiTheme="minorHAnsi" w:hAnsiTheme="minorHAnsi" w:cstheme="minorHAnsi"/>
          <w:sz w:val="28"/>
          <w:szCs w:val="28"/>
        </w:rPr>
      </w:pPr>
    </w:p>
    <w:p w14:paraId="0F13B1D6" w14:textId="25B82537" w:rsidR="00271E1F" w:rsidRDefault="00271E1F" w:rsidP="00271E1F">
      <w:pPr>
        <w:pStyle w:val="Default"/>
        <w:jc w:val="both"/>
        <w:rPr>
          <w:rFonts w:asciiTheme="minorHAnsi" w:hAnsiTheme="minorHAnsi" w:cstheme="minorHAnsi"/>
          <w:b/>
          <w:bCs/>
          <w:color w:val="1F3862"/>
          <w:sz w:val="28"/>
          <w:szCs w:val="28"/>
        </w:rPr>
      </w:pPr>
      <w:r w:rsidRPr="00271E1F">
        <w:rPr>
          <w:rFonts w:asciiTheme="minorHAnsi" w:hAnsiTheme="minorHAnsi" w:cstheme="minorHAnsi"/>
          <w:b/>
          <w:bCs/>
          <w:color w:val="1F3862"/>
          <w:sz w:val="28"/>
          <w:szCs w:val="28"/>
        </w:rPr>
        <w:t xml:space="preserve">Comprender el proceso de liquidación </w:t>
      </w:r>
    </w:p>
    <w:p w14:paraId="24787185" w14:textId="77777777" w:rsidR="0052230A" w:rsidRPr="00271E1F" w:rsidRDefault="0052230A" w:rsidP="00271E1F">
      <w:pPr>
        <w:pStyle w:val="Default"/>
        <w:jc w:val="both"/>
        <w:rPr>
          <w:rFonts w:asciiTheme="minorHAnsi" w:hAnsiTheme="minorHAnsi" w:cstheme="minorHAnsi"/>
          <w:color w:val="1F3862"/>
          <w:sz w:val="28"/>
          <w:szCs w:val="28"/>
        </w:rPr>
      </w:pPr>
    </w:p>
    <w:p w14:paraId="019A11EC" w14:textId="3BA7BA2F"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La oferta inicial normalmente la hace el empleador. Sin embargo, este no tiene que ser el caso. </w:t>
      </w:r>
    </w:p>
    <w:p w14:paraId="2C9E5FC3" w14:textId="77777777" w:rsidR="0052230A" w:rsidRPr="00271E1F" w:rsidRDefault="0052230A" w:rsidP="00271E1F">
      <w:pPr>
        <w:pStyle w:val="Default"/>
        <w:jc w:val="both"/>
        <w:rPr>
          <w:rFonts w:asciiTheme="minorHAnsi" w:hAnsiTheme="minorHAnsi" w:cstheme="minorHAnsi"/>
          <w:sz w:val="28"/>
          <w:szCs w:val="28"/>
        </w:rPr>
      </w:pPr>
    </w:p>
    <w:p w14:paraId="013F077C" w14:textId="77777777" w:rsidR="00177456" w:rsidRDefault="00271E1F" w:rsidP="00177456">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Luego se debe permitir una cantidad de tiempo razonable para que la otra parte considere la oferta. </w:t>
      </w:r>
    </w:p>
    <w:p w14:paraId="55D2AD7B" w14:textId="77777777" w:rsidR="00177456" w:rsidRDefault="00177456" w:rsidP="00177456">
      <w:pPr>
        <w:pStyle w:val="Default"/>
        <w:jc w:val="both"/>
        <w:rPr>
          <w:rFonts w:asciiTheme="minorHAnsi" w:hAnsiTheme="minorHAnsi" w:cstheme="minorHAnsi"/>
          <w:sz w:val="28"/>
          <w:szCs w:val="28"/>
        </w:rPr>
      </w:pPr>
    </w:p>
    <w:p w14:paraId="76A7950C" w14:textId="6A0ED372" w:rsidR="00271E1F" w:rsidRDefault="00271E1F" w:rsidP="00177456">
      <w:pPr>
        <w:pStyle w:val="Default"/>
        <w:jc w:val="both"/>
        <w:rPr>
          <w:rFonts w:asciiTheme="minorHAnsi" w:hAnsiTheme="minorHAnsi" w:cstheme="minorHAnsi"/>
          <w:b/>
          <w:bCs/>
          <w:color w:val="1F3862"/>
          <w:sz w:val="28"/>
          <w:szCs w:val="28"/>
        </w:rPr>
      </w:pPr>
      <w:r w:rsidRPr="00271E1F">
        <w:rPr>
          <w:rFonts w:asciiTheme="minorHAnsi" w:hAnsiTheme="minorHAnsi" w:cstheme="minorHAnsi"/>
          <w:b/>
          <w:bCs/>
          <w:color w:val="1F3862"/>
          <w:sz w:val="28"/>
          <w:szCs w:val="28"/>
        </w:rPr>
        <w:t xml:space="preserve">Preparación de una contraoferta de acuerdo de conciliación </w:t>
      </w:r>
    </w:p>
    <w:p w14:paraId="67E11179" w14:textId="77777777" w:rsidR="002A48C3" w:rsidRDefault="002A48C3" w:rsidP="00271E1F">
      <w:pPr>
        <w:pStyle w:val="Default"/>
        <w:jc w:val="both"/>
        <w:rPr>
          <w:rFonts w:asciiTheme="minorHAnsi" w:hAnsiTheme="minorHAnsi" w:cstheme="minorHAnsi"/>
          <w:sz w:val="28"/>
          <w:szCs w:val="28"/>
        </w:rPr>
      </w:pPr>
    </w:p>
    <w:p w14:paraId="160DF582" w14:textId="1C619D6D" w:rsidR="00271E1F" w:rsidRP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Los factores anteriores deberían dar a las partes una idea de por dónde empezar con las negociaciones y, a menudo, serán parte de la lógica detrás de la oferta inicial. </w:t>
      </w:r>
    </w:p>
    <w:p w14:paraId="3090315A" w14:textId="36C85CE0"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Cuando haya recibido una oferta, puede acusar recibo, pero no tiene que responder con una contraoferta de inmediato. </w:t>
      </w:r>
    </w:p>
    <w:p w14:paraId="1B0F58A4" w14:textId="77777777" w:rsidR="0052230A" w:rsidRPr="00271E1F" w:rsidRDefault="0052230A" w:rsidP="00271E1F">
      <w:pPr>
        <w:pStyle w:val="Default"/>
        <w:jc w:val="both"/>
        <w:rPr>
          <w:rFonts w:asciiTheme="minorHAnsi" w:hAnsiTheme="minorHAnsi" w:cstheme="minorHAnsi"/>
          <w:sz w:val="28"/>
          <w:szCs w:val="28"/>
        </w:rPr>
      </w:pPr>
    </w:p>
    <w:p w14:paraId="26C21B38" w14:textId="1A881794"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Los factores a considerar al preparar una contraoferta de acuerdo conciliatorio dependerán de las circunstancias únicas del caso. Tómese el tiempo para pensar en lo que le han ofrecido y asegúrese de obtener asesoramiento profesional. </w:t>
      </w:r>
    </w:p>
    <w:p w14:paraId="71FD4023" w14:textId="77777777" w:rsidR="0052230A" w:rsidRPr="00271E1F" w:rsidRDefault="0052230A" w:rsidP="00271E1F">
      <w:pPr>
        <w:pStyle w:val="Default"/>
        <w:jc w:val="both"/>
        <w:rPr>
          <w:rFonts w:asciiTheme="minorHAnsi" w:hAnsiTheme="minorHAnsi" w:cstheme="minorHAnsi"/>
          <w:sz w:val="28"/>
          <w:szCs w:val="28"/>
        </w:rPr>
      </w:pPr>
    </w:p>
    <w:p w14:paraId="7F9AFECB" w14:textId="135CF585"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Sus asesores legales deberían poder decirle si es una oferta justa en todas las circunstancias de su caso, teniendo en cuenta cualquier debilidad en su caso o en el caso de la otra parte. </w:t>
      </w:r>
    </w:p>
    <w:p w14:paraId="7043AC01" w14:textId="77777777" w:rsidR="0052230A" w:rsidRPr="00271E1F" w:rsidRDefault="0052230A" w:rsidP="00271E1F">
      <w:pPr>
        <w:pStyle w:val="Default"/>
        <w:jc w:val="both"/>
        <w:rPr>
          <w:rFonts w:asciiTheme="minorHAnsi" w:hAnsiTheme="minorHAnsi" w:cstheme="minorHAnsi"/>
          <w:sz w:val="28"/>
          <w:szCs w:val="28"/>
        </w:rPr>
      </w:pPr>
    </w:p>
    <w:p w14:paraId="782DAE93" w14:textId="6F2AA782"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Habrá algunas áreas en las que es fácil ponerse de acuerdo, para calcular la indemnización básica en función del salario, la edad y el número de años de servicio. </w:t>
      </w:r>
    </w:p>
    <w:p w14:paraId="52691DE3" w14:textId="77777777" w:rsidR="0052230A" w:rsidRPr="00271E1F" w:rsidRDefault="0052230A" w:rsidP="00271E1F">
      <w:pPr>
        <w:pStyle w:val="Default"/>
        <w:jc w:val="both"/>
        <w:rPr>
          <w:rFonts w:asciiTheme="minorHAnsi" w:hAnsiTheme="minorHAnsi" w:cstheme="minorHAnsi"/>
          <w:sz w:val="28"/>
          <w:szCs w:val="28"/>
        </w:rPr>
      </w:pPr>
    </w:p>
    <w:p w14:paraId="0B8F2EEC" w14:textId="25AC6A74" w:rsidR="00271E1F" w:rsidRDefault="00271E1F" w:rsidP="00271E1F">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Otras áreas pueden no ser tan fáciles de acordar, como cuánto tiempo un empleado podría estar sin trabajo antes de que pueda conseguir un nuevo trabajo. </w:t>
      </w:r>
    </w:p>
    <w:p w14:paraId="627CA793" w14:textId="77777777" w:rsidR="0052230A" w:rsidRPr="00271E1F" w:rsidRDefault="0052230A" w:rsidP="00271E1F">
      <w:pPr>
        <w:pStyle w:val="Default"/>
        <w:jc w:val="both"/>
        <w:rPr>
          <w:rFonts w:asciiTheme="minorHAnsi" w:hAnsiTheme="minorHAnsi" w:cstheme="minorHAnsi"/>
          <w:sz w:val="28"/>
          <w:szCs w:val="28"/>
        </w:rPr>
      </w:pPr>
    </w:p>
    <w:p w14:paraId="6D6CD5E8" w14:textId="77777777" w:rsidR="002A48C3" w:rsidRDefault="00271E1F" w:rsidP="002A48C3">
      <w:pPr>
        <w:pStyle w:val="Default"/>
        <w:jc w:val="both"/>
        <w:rPr>
          <w:rFonts w:asciiTheme="minorHAnsi" w:hAnsiTheme="minorHAnsi" w:cstheme="minorHAnsi"/>
          <w:sz w:val="28"/>
          <w:szCs w:val="28"/>
        </w:rPr>
      </w:pPr>
      <w:r w:rsidRPr="00271E1F">
        <w:rPr>
          <w:rFonts w:asciiTheme="minorHAnsi" w:hAnsiTheme="minorHAnsi" w:cstheme="minorHAnsi"/>
          <w:sz w:val="28"/>
          <w:szCs w:val="28"/>
        </w:rPr>
        <w:t xml:space="preserve">Cuando esté listo, prepare una contraoferta por escrito que represente fielmente la situación y que estaría feliz de aceptar. </w:t>
      </w:r>
    </w:p>
    <w:p w14:paraId="3F600DBA" w14:textId="77777777" w:rsidR="002A48C3" w:rsidRDefault="002A48C3" w:rsidP="002A48C3">
      <w:pPr>
        <w:pStyle w:val="Default"/>
        <w:jc w:val="both"/>
        <w:rPr>
          <w:rFonts w:asciiTheme="minorHAnsi" w:hAnsiTheme="minorHAnsi" w:cstheme="minorHAnsi"/>
          <w:sz w:val="28"/>
          <w:szCs w:val="28"/>
        </w:rPr>
      </w:pPr>
    </w:p>
    <w:p w14:paraId="14E56F36" w14:textId="62FB5F73" w:rsidR="00271E1F" w:rsidRDefault="00271E1F" w:rsidP="002A48C3">
      <w:pPr>
        <w:pStyle w:val="Default"/>
        <w:jc w:val="both"/>
        <w:rPr>
          <w:rFonts w:asciiTheme="minorHAnsi" w:hAnsiTheme="minorHAnsi" w:cstheme="minorHAnsi"/>
          <w:color w:val="auto"/>
          <w:sz w:val="28"/>
          <w:szCs w:val="28"/>
        </w:rPr>
      </w:pPr>
      <w:r w:rsidRPr="00271E1F">
        <w:rPr>
          <w:rFonts w:asciiTheme="minorHAnsi" w:hAnsiTheme="minorHAnsi" w:cstheme="minorHAnsi"/>
          <w:color w:val="auto"/>
          <w:sz w:val="28"/>
          <w:szCs w:val="28"/>
        </w:rPr>
        <w:t xml:space="preserve">El proceso de negociación relacionado con los acuerdos de conciliación no es necesariamente sencillo. Necesitará asesoramiento legal sólido antes de aceptar una oferta y al considerar tanto el alcance de una </w:t>
      </w:r>
      <w:r w:rsidR="0052230A" w:rsidRPr="00271E1F">
        <w:rPr>
          <w:rFonts w:asciiTheme="minorHAnsi" w:hAnsiTheme="minorHAnsi" w:cstheme="minorHAnsi"/>
          <w:color w:val="auto"/>
          <w:sz w:val="28"/>
          <w:szCs w:val="28"/>
        </w:rPr>
        <w:t>contraoferta</w:t>
      </w:r>
      <w:r w:rsidRPr="00271E1F">
        <w:rPr>
          <w:rFonts w:asciiTheme="minorHAnsi" w:hAnsiTheme="minorHAnsi" w:cstheme="minorHAnsi"/>
          <w:color w:val="auto"/>
          <w:sz w:val="28"/>
          <w:szCs w:val="28"/>
        </w:rPr>
        <w:t xml:space="preserve"> de acuerdo de conciliación como lo que debe contener esa </w:t>
      </w:r>
      <w:r w:rsidR="0052230A" w:rsidRPr="00271E1F">
        <w:rPr>
          <w:rFonts w:asciiTheme="minorHAnsi" w:hAnsiTheme="minorHAnsi" w:cstheme="minorHAnsi"/>
          <w:color w:val="auto"/>
          <w:sz w:val="28"/>
          <w:szCs w:val="28"/>
        </w:rPr>
        <w:t>contraoferta</w:t>
      </w:r>
      <w:r w:rsidRPr="00271E1F">
        <w:rPr>
          <w:rFonts w:asciiTheme="minorHAnsi" w:hAnsiTheme="minorHAnsi" w:cstheme="minorHAnsi"/>
          <w:color w:val="auto"/>
          <w:sz w:val="28"/>
          <w:szCs w:val="28"/>
        </w:rPr>
        <w:t xml:space="preserve">. </w:t>
      </w:r>
    </w:p>
    <w:p w14:paraId="6089B889" w14:textId="1E793FFB" w:rsidR="002A48C3" w:rsidRDefault="002A48C3" w:rsidP="002A48C3">
      <w:pPr>
        <w:pStyle w:val="Default"/>
        <w:jc w:val="both"/>
        <w:rPr>
          <w:rFonts w:asciiTheme="minorHAnsi" w:hAnsiTheme="minorHAnsi" w:cstheme="minorHAnsi"/>
          <w:color w:val="auto"/>
          <w:sz w:val="28"/>
          <w:szCs w:val="28"/>
        </w:rPr>
      </w:pPr>
    </w:p>
    <w:p w14:paraId="40E82104" w14:textId="26B864A2" w:rsidR="00271E1F" w:rsidRDefault="00271E1F" w:rsidP="00271E1F">
      <w:pPr>
        <w:pStyle w:val="Default"/>
        <w:jc w:val="both"/>
        <w:rPr>
          <w:rFonts w:asciiTheme="minorHAnsi" w:hAnsiTheme="minorHAnsi" w:cstheme="minorHAnsi"/>
          <w:color w:val="auto"/>
          <w:sz w:val="28"/>
          <w:szCs w:val="28"/>
        </w:rPr>
      </w:pPr>
      <w:r w:rsidRPr="00271E1F">
        <w:rPr>
          <w:rFonts w:asciiTheme="minorHAnsi" w:hAnsiTheme="minorHAnsi" w:cstheme="minorHAnsi"/>
          <w:color w:val="auto"/>
          <w:sz w:val="28"/>
          <w:szCs w:val="28"/>
        </w:rPr>
        <w:lastRenderedPageBreak/>
        <w:t xml:space="preserve">Como especialista en derecho laboral tengo la experiencia y el conocimiento para ayudar a los empleados con las negociaciones del acuerdo de conciliación, llevando su caso a una conclusión justa que cumpla con las expectativas. </w:t>
      </w:r>
    </w:p>
    <w:p w14:paraId="77D0F79E" w14:textId="77777777" w:rsidR="0052230A" w:rsidRPr="00271E1F" w:rsidRDefault="0052230A" w:rsidP="00271E1F">
      <w:pPr>
        <w:pStyle w:val="Default"/>
        <w:jc w:val="both"/>
        <w:rPr>
          <w:rFonts w:asciiTheme="minorHAnsi" w:hAnsiTheme="minorHAnsi" w:cstheme="minorHAnsi"/>
          <w:color w:val="auto"/>
          <w:sz w:val="28"/>
          <w:szCs w:val="28"/>
        </w:rPr>
      </w:pPr>
    </w:p>
    <w:p w14:paraId="24476B59" w14:textId="4AC6E563" w:rsidR="00271E1F" w:rsidRDefault="00271E1F" w:rsidP="00271E1F">
      <w:pPr>
        <w:pStyle w:val="Default"/>
        <w:jc w:val="both"/>
        <w:rPr>
          <w:rFonts w:asciiTheme="minorHAnsi" w:hAnsiTheme="minorHAnsi" w:cstheme="minorHAnsi"/>
          <w:color w:val="auto"/>
          <w:sz w:val="28"/>
          <w:szCs w:val="28"/>
        </w:rPr>
      </w:pPr>
      <w:r w:rsidRPr="00271E1F">
        <w:rPr>
          <w:rFonts w:asciiTheme="minorHAnsi" w:hAnsiTheme="minorHAnsi" w:cstheme="minorHAnsi"/>
          <w:color w:val="auto"/>
          <w:sz w:val="28"/>
          <w:szCs w:val="28"/>
        </w:rPr>
        <w:t xml:space="preserve">Para una conversación inicial sobre sus circunstancias, póngase en contacto hoy. </w:t>
      </w:r>
    </w:p>
    <w:p w14:paraId="699F04F0" w14:textId="148D63D3" w:rsidR="0052230A" w:rsidRDefault="0052230A" w:rsidP="00271E1F">
      <w:pPr>
        <w:pStyle w:val="Default"/>
        <w:jc w:val="both"/>
        <w:rPr>
          <w:rFonts w:asciiTheme="minorHAnsi" w:hAnsiTheme="minorHAnsi" w:cstheme="minorHAnsi"/>
          <w:color w:val="auto"/>
          <w:sz w:val="28"/>
          <w:szCs w:val="28"/>
        </w:rPr>
      </w:pPr>
    </w:p>
    <w:p w14:paraId="0F3B5A11" w14:textId="72FAEB6E" w:rsidR="0052230A" w:rsidRDefault="0052230A" w:rsidP="00271E1F">
      <w:pPr>
        <w:pStyle w:val="Default"/>
        <w:jc w:val="both"/>
        <w:rPr>
          <w:rFonts w:asciiTheme="minorHAnsi" w:hAnsiTheme="minorHAnsi" w:cstheme="minorHAnsi"/>
          <w:color w:val="auto"/>
          <w:sz w:val="28"/>
          <w:szCs w:val="28"/>
        </w:rPr>
      </w:pPr>
    </w:p>
    <w:p w14:paraId="1F26D014" w14:textId="2F093F25" w:rsidR="0052230A" w:rsidRDefault="0052230A" w:rsidP="00271E1F">
      <w:pPr>
        <w:pStyle w:val="Default"/>
        <w:jc w:val="both"/>
        <w:rPr>
          <w:rFonts w:asciiTheme="minorHAnsi" w:hAnsiTheme="minorHAnsi" w:cstheme="minorHAnsi"/>
          <w:color w:val="auto"/>
          <w:sz w:val="28"/>
          <w:szCs w:val="28"/>
        </w:rPr>
      </w:pPr>
    </w:p>
    <w:p w14:paraId="3DE9BB65" w14:textId="77777777" w:rsidR="0052230A" w:rsidRDefault="0052230A" w:rsidP="00271E1F">
      <w:pPr>
        <w:pStyle w:val="Default"/>
        <w:jc w:val="both"/>
        <w:rPr>
          <w:rFonts w:asciiTheme="minorHAnsi" w:hAnsiTheme="minorHAnsi" w:cstheme="minorHAnsi"/>
          <w:color w:val="auto"/>
          <w:sz w:val="28"/>
          <w:szCs w:val="28"/>
        </w:rPr>
      </w:pPr>
    </w:p>
    <w:p w14:paraId="27970C50" w14:textId="68C026FC" w:rsidR="0052230A" w:rsidRDefault="0052230A" w:rsidP="00271E1F">
      <w:pPr>
        <w:pStyle w:val="Default"/>
        <w:jc w:val="both"/>
        <w:rPr>
          <w:rFonts w:asciiTheme="minorHAnsi" w:hAnsiTheme="minorHAnsi" w:cstheme="minorHAnsi"/>
          <w:color w:val="auto"/>
          <w:sz w:val="28"/>
          <w:szCs w:val="28"/>
        </w:rPr>
      </w:pPr>
    </w:p>
    <w:p w14:paraId="62EE0774" w14:textId="77777777" w:rsidR="00271E1F" w:rsidRPr="0052230A" w:rsidRDefault="00271E1F" w:rsidP="00271E1F">
      <w:pPr>
        <w:pStyle w:val="Default"/>
        <w:jc w:val="both"/>
        <w:rPr>
          <w:rFonts w:asciiTheme="minorHAnsi" w:hAnsiTheme="minorHAnsi" w:cstheme="minorHAnsi"/>
          <w:color w:val="1F3862"/>
          <w:sz w:val="20"/>
          <w:szCs w:val="20"/>
        </w:rPr>
      </w:pPr>
      <w:r w:rsidRPr="0052230A">
        <w:rPr>
          <w:rFonts w:asciiTheme="minorHAnsi" w:hAnsiTheme="minorHAnsi" w:cstheme="minorHAnsi"/>
          <w:color w:val="1F3862"/>
          <w:sz w:val="20"/>
          <w:szCs w:val="20"/>
        </w:rPr>
        <w:t xml:space="preserve">Publicado en… </w:t>
      </w:r>
    </w:p>
    <w:p w14:paraId="016E534D" w14:textId="12CCD36C" w:rsidR="000A1C11" w:rsidRPr="0052230A" w:rsidRDefault="00271E1F" w:rsidP="00271E1F">
      <w:pPr>
        <w:jc w:val="both"/>
        <w:rPr>
          <w:rFonts w:cstheme="minorHAnsi"/>
          <w:sz w:val="18"/>
          <w:szCs w:val="18"/>
        </w:rPr>
      </w:pPr>
      <w:r w:rsidRPr="0052230A">
        <w:rPr>
          <w:rFonts w:cstheme="minorHAnsi"/>
          <w:color w:val="1F3862"/>
          <w:sz w:val="18"/>
          <w:szCs w:val="18"/>
        </w:rPr>
        <w:t xml:space="preserve">Actualizaciones: Para los empresarios: Acuerdos de liquidación | </w:t>
      </w:r>
    </w:p>
    <w:p w14:paraId="3B5146C7" w14:textId="192303DC" w:rsidR="002F473A" w:rsidRPr="00271E1F" w:rsidRDefault="002F473A" w:rsidP="00271E1F">
      <w:pPr>
        <w:tabs>
          <w:tab w:val="left" w:pos="2115"/>
        </w:tabs>
        <w:jc w:val="both"/>
        <w:rPr>
          <w:rFonts w:cstheme="minorHAnsi"/>
          <w:sz w:val="28"/>
          <w:szCs w:val="28"/>
        </w:rPr>
      </w:pPr>
    </w:p>
    <w:sectPr w:rsidR="002F473A" w:rsidRPr="00271E1F" w:rsidSect="00C15D5B">
      <w:headerReference w:type="even" r:id="rId9"/>
      <w:headerReference w:type="default" r:id="rId10"/>
      <w:footerReference w:type="even" r:id="rId11"/>
      <w:footerReference w:type="default" r:id="rId12"/>
      <w:headerReference w:type="first" r:id="rId13"/>
      <w:footerReference w:type="first" r:id="rId14"/>
      <w:pgSz w:w="12240" w:h="15840"/>
      <w:pgMar w:top="2268" w:right="1183" w:bottom="851"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A2107" w14:textId="77777777" w:rsidR="00A33CF6" w:rsidRDefault="00A33CF6" w:rsidP="000366DE">
      <w:pPr>
        <w:spacing w:after="0" w:line="240" w:lineRule="auto"/>
      </w:pPr>
      <w:r>
        <w:separator/>
      </w:r>
    </w:p>
  </w:endnote>
  <w:endnote w:type="continuationSeparator" w:id="0">
    <w:p w14:paraId="7F9976A9" w14:textId="77777777" w:rsidR="00A33CF6" w:rsidRDefault="00A33CF6" w:rsidP="00036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707E5" w14:textId="77777777" w:rsidR="00293371" w:rsidRDefault="002933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BB0F" w14:textId="11DE9882" w:rsidR="007245CB" w:rsidRPr="007245CB" w:rsidRDefault="007245CB" w:rsidP="007245CB">
    <w:pPr>
      <w:pStyle w:val="Piedepgina"/>
      <w:jc w:val="right"/>
      <w:rPr>
        <w:sz w:val="20"/>
        <w:szCs w:val="20"/>
      </w:rPr>
    </w:pPr>
    <w:r w:rsidRPr="007245CB">
      <w:rPr>
        <w:sz w:val="20"/>
        <w:szCs w:val="20"/>
      </w:rPr>
      <w:t>ABOGADO – ESPECIALISTA EN DERECHO LABORAL</w:t>
    </w:r>
  </w:p>
  <w:p w14:paraId="6C91C81C" w14:textId="77777777" w:rsidR="007245CB" w:rsidRDefault="007245C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1FB5" w14:textId="77777777" w:rsidR="00293371" w:rsidRDefault="002933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29236" w14:textId="77777777" w:rsidR="00A33CF6" w:rsidRDefault="00A33CF6" w:rsidP="000366DE">
      <w:pPr>
        <w:spacing w:after="0" w:line="240" w:lineRule="auto"/>
      </w:pPr>
      <w:r>
        <w:separator/>
      </w:r>
    </w:p>
  </w:footnote>
  <w:footnote w:type="continuationSeparator" w:id="0">
    <w:p w14:paraId="6560C57B" w14:textId="77777777" w:rsidR="00A33CF6" w:rsidRDefault="00A33CF6" w:rsidP="00036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70C4C" w14:textId="77777777" w:rsidR="00293371" w:rsidRDefault="002933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0AE9" w14:textId="00CEF3BC" w:rsidR="000366DE" w:rsidRDefault="00C15D5B">
    <w:pPr>
      <w:pStyle w:val="Encabezado"/>
    </w:pPr>
    <w:r>
      <w:rPr>
        <w:noProof/>
      </w:rPr>
      <w:drawing>
        <wp:inline distT="0" distB="0" distL="0" distR="0" wp14:anchorId="5743D8B5" wp14:editId="72004AA5">
          <wp:extent cx="704850" cy="704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704862" cy="704862"/>
                  </a:xfrm>
                  <a:prstGeom prst="rect">
                    <a:avLst/>
                  </a:prstGeom>
                </pic:spPr>
              </pic:pic>
            </a:graphicData>
          </a:graphic>
        </wp:inline>
      </w:drawing>
    </w:r>
    <w:r w:rsidR="000366DE">
      <w:ptab w:relativeTo="margin" w:alignment="center" w:leader="none"/>
    </w:r>
    <w:r w:rsidR="000366DE">
      <w:ptab w:relativeTo="margin" w:alignment="right" w:leader="none"/>
    </w:r>
    <w:r w:rsidR="00293371">
      <w:t>CARLOS LUNAR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D5F6" w14:textId="77777777" w:rsidR="00293371" w:rsidRDefault="0029337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C11"/>
    <w:rsid w:val="000366DE"/>
    <w:rsid w:val="000A1C11"/>
    <w:rsid w:val="001765A8"/>
    <w:rsid w:val="00177456"/>
    <w:rsid w:val="00271215"/>
    <w:rsid w:val="00271E1F"/>
    <w:rsid w:val="00293371"/>
    <w:rsid w:val="002A48C3"/>
    <w:rsid w:val="002F473A"/>
    <w:rsid w:val="00472145"/>
    <w:rsid w:val="004C531E"/>
    <w:rsid w:val="0052230A"/>
    <w:rsid w:val="00634085"/>
    <w:rsid w:val="00647841"/>
    <w:rsid w:val="00694D77"/>
    <w:rsid w:val="006C2B9B"/>
    <w:rsid w:val="007245CB"/>
    <w:rsid w:val="00804F6F"/>
    <w:rsid w:val="00992F58"/>
    <w:rsid w:val="00A33CF6"/>
    <w:rsid w:val="00B06F91"/>
    <w:rsid w:val="00C15D5B"/>
    <w:rsid w:val="00CB6B90"/>
    <w:rsid w:val="00CC537B"/>
    <w:rsid w:val="00D02AE5"/>
    <w:rsid w:val="00EF253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4A343"/>
  <w15:chartTrackingRefBased/>
  <w15:docId w15:val="{D5C8E82B-3FF1-4AC0-94AA-5827F0F5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2F58"/>
    <w:pPr>
      <w:ind w:left="720"/>
      <w:contextualSpacing/>
    </w:pPr>
  </w:style>
  <w:style w:type="paragraph" w:styleId="Encabezado">
    <w:name w:val="header"/>
    <w:basedOn w:val="Normal"/>
    <w:link w:val="EncabezadoCar"/>
    <w:uiPriority w:val="99"/>
    <w:unhideWhenUsed/>
    <w:rsid w:val="000366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66DE"/>
  </w:style>
  <w:style w:type="paragraph" w:styleId="Piedepgina">
    <w:name w:val="footer"/>
    <w:basedOn w:val="Normal"/>
    <w:link w:val="PiedepginaCar"/>
    <w:uiPriority w:val="99"/>
    <w:unhideWhenUsed/>
    <w:rsid w:val="000366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6DE"/>
  </w:style>
  <w:style w:type="paragraph" w:customStyle="1" w:styleId="Default">
    <w:name w:val="Default"/>
    <w:rsid w:val="00271E1F"/>
    <w:pPr>
      <w:autoSpaceDE w:val="0"/>
      <w:autoSpaceDN w:val="0"/>
      <w:adjustRightInd w:val="0"/>
      <w:spacing w:after="0" w:line="240" w:lineRule="auto"/>
    </w:pPr>
    <w:rPr>
      <w:rFonts w:ascii="Univers" w:hAnsi="Univers" w:cs="Univers"/>
      <w:color w:val="000000"/>
      <w:sz w:val="24"/>
      <w:szCs w:val="24"/>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860</Words>
  <Characters>4731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Lunar</dc:creator>
  <cp:keywords/>
  <dc:description/>
  <cp:lastModifiedBy>Carlos Lunar</cp:lastModifiedBy>
  <cp:revision>9</cp:revision>
  <dcterms:created xsi:type="dcterms:W3CDTF">2022-06-08T13:16:00Z</dcterms:created>
  <dcterms:modified xsi:type="dcterms:W3CDTF">2023-08-22T17:23:00Z</dcterms:modified>
</cp:coreProperties>
</file>