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18"/>
          <w:szCs w:val="18"/>
        </w:rPr>
      </w:pPr>
      <w:r w:rsidDel="00000000" w:rsidR="00000000" w:rsidRPr="00000000">
        <w:rPr>
          <w:sz w:val="44"/>
          <w:szCs w:val="44"/>
          <w:rtl w:val="0"/>
        </w:rPr>
        <w:t xml:space="preserve">Global Analysis of Economic Growth and Education in Mortality in the 21st Century</w:t>
      </w:r>
      <w:r w:rsidDel="00000000" w:rsidR="00000000" w:rsidRPr="00000000">
        <w:rPr>
          <w:rtl w:val="0"/>
        </w:rPr>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Team # 6 - Team names:</w:t>
      </w:r>
    </w:p>
    <w:p w:rsidR="00000000" w:rsidDel="00000000" w:rsidP="00000000" w:rsidRDefault="00000000" w:rsidRPr="00000000" w14:paraId="00000003">
      <w:pPr>
        <w:spacing w:after="240" w:before="240" w:lineRule="auto"/>
        <w:rPr/>
      </w:pPr>
      <w:r w:rsidDel="00000000" w:rsidR="00000000" w:rsidRPr="00000000">
        <w:rPr>
          <w:rtl w:val="0"/>
        </w:rPr>
        <w:t xml:space="preserve">- Carlos Mario Chávez Aguilera</w:t>
      </w:r>
    </w:p>
    <w:p w:rsidR="00000000" w:rsidDel="00000000" w:rsidP="00000000" w:rsidRDefault="00000000" w:rsidRPr="00000000" w14:paraId="00000004">
      <w:pPr>
        <w:spacing w:after="240" w:before="240" w:lineRule="auto"/>
        <w:rPr/>
      </w:pPr>
      <w:r w:rsidDel="00000000" w:rsidR="00000000" w:rsidRPr="00000000">
        <w:rPr>
          <w:rtl w:val="0"/>
        </w:rPr>
        <w:t xml:space="preserve">- Deisi Yohana Sandoval Borja</w:t>
      </w:r>
    </w:p>
    <w:p w:rsidR="00000000" w:rsidDel="00000000" w:rsidP="00000000" w:rsidRDefault="00000000" w:rsidRPr="00000000" w14:paraId="00000005">
      <w:pPr>
        <w:spacing w:after="240" w:before="240" w:lineRule="auto"/>
        <w:rPr/>
      </w:pPr>
      <w:r w:rsidDel="00000000" w:rsidR="00000000" w:rsidRPr="00000000">
        <w:rPr>
          <w:rtl w:val="0"/>
        </w:rPr>
        <w:t xml:space="preserve">- Daniel Arturo Duran Páez</w:t>
      </w:r>
    </w:p>
    <w:p w:rsidR="00000000" w:rsidDel="00000000" w:rsidP="00000000" w:rsidRDefault="00000000" w:rsidRPr="00000000" w14:paraId="00000006">
      <w:pPr>
        <w:spacing w:after="240" w:before="240" w:lineRule="auto"/>
        <w:rPr/>
      </w:pPr>
      <w:r w:rsidDel="00000000" w:rsidR="00000000" w:rsidRPr="00000000">
        <w:rPr>
          <w:rtl w:val="0"/>
        </w:rPr>
        <w:t xml:space="preserve">- Elder Giraldo</w:t>
      </w:r>
    </w:p>
    <w:p w:rsidR="00000000" w:rsidDel="00000000" w:rsidP="00000000" w:rsidRDefault="00000000" w:rsidRPr="00000000" w14:paraId="00000007">
      <w:pPr>
        <w:spacing w:after="240" w:before="240" w:lineRule="auto"/>
        <w:rPr/>
      </w:pPr>
      <w:r w:rsidDel="00000000" w:rsidR="00000000" w:rsidRPr="00000000">
        <w:rPr>
          <w:rtl w:val="0"/>
        </w:rPr>
        <w:t xml:space="preserve">- Fernán Antonio Marsiglia Hernández</w:t>
      </w:r>
    </w:p>
    <w:p w:rsidR="00000000" w:rsidDel="00000000" w:rsidP="00000000" w:rsidRDefault="00000000" w:rsidRPr="00000000" w14:paraId="00000008">
      <w:pPr>
        <w:spacing w:after="240" w:before="240" w:lineRule="auto"/>
        <w:rPr/>
      </w:pPr>
      <w:r w:rsidDel="00000000" w:rsidR="00000000" w:rsidRPr="00000000">
        <w:rPr>
          <w:rtl w:val="0"/>
        </w:rPr>
        <w:t xml:space="preserve">- Juan Pablo Álzate Tamayo</w:t>
      </w:r>
    </w:p>
    <w:p w:rsidR="00000000" w:rsidDel="00000000" w:rsidP="00000000" w:rsidRDefault="00000000" w:rsidRPr="00000000" w14:paraId="00000009">
      <w:pPr>
        <w:spacing w:after="240" w:before="240" w:lineRule="auto"/>
        <w:rPr/>
      </w:pPr>
      <w:r w:rsidDel="00000000" w:rsidR="00000000" w:rsidRPr="00000000">
        <w:rPr>
          <w:rtl w:val="0"/>
        </w:rPr>
        <w:t xml:space="preserve">- Marta Rocío Ordoñez Parra</w:t>
      </w:r>
    </w:p>
    <w:p w:rsidR="00000000" w:rsidDel="00000000" w:rsidP="00000000" w:rsidRDefault="00000000" w:rsidRPr="00000000" w14:paraId="0000000A">
      <w:pPr>
        <w:spacing w:after="240" w:before="240" w:lineRule="auto"/>
        <w:rPr/>
      </w:pPr>
      <w:r w:rsidDel="00000000" w:rsidR="00000000" w:rsidRPr="00000000">
        <w:rPr>
          <w:rtl w:val="0"/>
        </w:rPr>
        <w:t xml:space="preserve">- Mateo Moreno Giraldo</w:t>
      </w:r>
    </w:p>
    <w:p w:rsidR="00000000" w:rsidDel="00000000" w:rsidP="00000000" w:rsidRDefault="00000000" w:rsidRPr="00000000" w14:paraId="0000000B">
      <w:pPr>
        <w:spacing w:after="240" w:before="240" w:lineRule="auto"/>
        <w:jc w:val="both"/>
        <w:rPr>
          <w:b w:val="1"/>
          <w:sz w:val="32"/>
          <w:szCs w:val="32"/>
        </w:rPr>
      </w:pPr>
      <w:r w:rsidDel="00000000" w:rsidR="00000000" w:rsidRPr="00000000">
        <w:rPr>
          <w:b w:val="1"/>
          <w:sz w:val="32"/>
          <w:szCs w:val="32"/>
          <w:rtl w:val="0"/>
        </w:rPr>
        <w:t xml:space="preserve">Overview of the Problem</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Some research has found a positive correlation between income inequality and some indicators tracked by the WHO such as mortality (measured as a mortality ratio). In addition, inverse relationships have been observed between economic development indicators (measured under different parameters), education and mortality, mainly at young ages.</w:t>
      </w:r>
      <w:r w:rsidDel="00000000" w:rsidR="00000000" w:rsidRPr="00000000">
        <w:rPr>
          <w:rtl w:val="0"/>
        </w:rPr>
        <w:t xml:space="preserve"> </w:t>
      </w:r>
    </w:p>
    <w:p w:rsidR="00000000" w:rsidDel="00000000" w:rsidP="00000000" w:rsidRDefault="00000000" w:rsidRPr="00000000" w14:paraId="0000000D">
      <w:pPr>
        <w:spacing w:after="240" w:before="240" w:lineRule="auto"/>
        <w:jc w:val="both"/>
        <w:rPr>
          <w:b w:val="1"/>
          <w:sz w:val="32"/>
          <w:szCs w:val="32"/>
        </w:rPr>
      </w:pPr>
      <w:r w:rsidDel="00000000" w:rsidR="00000000" w:rsidRPr="00000000">
        <w:rPr>
          <w:b w:val="1"/>
          <w:sz w:val="32"/>
          <w:szCs w:val="32"/>
          <w:rtl w:val="0"/>
        </w:rPr>
        <w:t xml:space="preserve">Specific Problem to be Solved</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To evaluate whether the mortality of age groups is determined by economic growth and education levels in a given country or region. Thus, we propose to analyze variables related to economic growth (see Datasets/Economic Development) and education (see Datasets/Education). Also, to understand how these variables influence the mortality of age groups in countries and their regions.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In addition, it is proposed to use Machine Learning models to try to predict mortality indicators according to the relationships that are to be found in the inferential statistics analyses carried out in the project.</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Finally, we will establish an interactive Dashboard with all the data and models in order to analyze the results found in the project in a dynamic and visual way.</w:t>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Note:</w:t>
      </w:r>
      <w:r w:rsidDel="00000000" w:rsidR="00000000" w:rsidRPr="00000000">
        <w:rPr>
          <w:rtl w:val="0"/>
        </w:rPr>
        <w:t xml:space="preserve"> The possibility of adding other variables to the analysis, such as the Quality-of-Life Index and population density, is not ruled out.</w:t>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spacing w:after="240" w:before="240" w:lineRule="auto"/>
        <w:jc w:val="both"/>
        <w:rPr>
          <w:b w:val="1"/>
          <w:sz w:val="32"/>
          <w:szCs w:val="32"/>
        </w:rPr>
      </w:pPr>
      <w:r w:rsidDel="00000000" w:rsidR="00000000" w:rsidRPr="00000000">
        <w:rPr>
          <w:b w:val="1"/>
          <w:sz w:val="32"/>
          <w:szCs w:val="32"/>
          <w:rtl w:val="0"/>
        </w:rPr>
        <w:t xml:space="preserve">Motivation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Economic growth and education may reflect the effects of other socio-economic variables that may also be related to mortality. For this reason, it is important to conduct comprehensive and interdisciplinary analyses that take into account as much information as possible relevant to governmental decision-making on the direction of each country and/or region. This can enable the design and implementation of public policies aligned with the needs of the population and the objectives and goals of sustainable development (Agenda 2030). </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sz w:val="32"/>
          <w:szCs w:val="32"/>
          <w:rtl w:val="0"/>
        </w:rPr>
        <w:t xml:space="preserve">Desired Datasets</w:t>
      </w: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4545"/>
        <w:gridCol w:w="1200"/>
        <w:tblGridChange w:id="0">
          <w:tblGrid>
            <w:gridCol w:w="3300"/>
            <w:gridCol w:w="4545"/>
            <w:gridCol w:w="120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Rule="auto"/>
              <w:jc w:val="center"/>
              <w:rPr>
                <w:b w:val="1"/>
              </w:rPr>
            </w:pPr>
            <w:r w:rsidDel="00000000" w:rsidR="00000000" w:rsidRPr="00000000">
              <w:rPr>
                <w:b w:val="1"/>
                <w:rtl w:val="0"/>
              </w:rPr>
              <w:t xml:space="preserve">Dataset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0" w:lineRule="auto"/>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b w:val="1"/>
              </w:rPr>
            </w:pPr>
            <w:r w:rsidDel="00000000" w:rsidR="00000000" w:rsidRPr="00000000">
              <w:rPr>
                <w:b w:val="1"/>
                <w:rtl w:val="0"/>
              </w:rPr>
              <w:t xml:space="preserve">Major variables</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0" w:lineRule="auto"/>
              <w:rPr/>
            </w:pPr>
            <w:hyperlink r:id="rId6">
              <w:r w:rsidDel="00000000" w:rsidR="00000000" w:rsidRPr="00000000">
                <w:rPr>
                  <w:color w:val="1155cc"/>
                  <w:u w:val="single"/>
                  <w:rtl w:val="0"/>
                </w:rPr>
                <w:t xml:space="preserve">https://platform.who.int/mortality/themes/theme-details/mdb/noncommunicable-diseases</w:t>
              </w:r>
            </w:hyperlink>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0" w:lineRule="auto"/>
              <w:rPr/>
            </w:pPr>
            <w:r w:rsidDel="00000000" w:rsidR="00000000" w:rsidRPr="00000000">
              <w:rPr>
                <w:rtl w:val="0"/>
              </w:rPr>
              <w:t xml:space="preserve">WHO mortality database. Deaths by sex and age group for a selected country or area and year can be explored.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pPr>
            <w:r w:rsidDel="00000000" w:rsidR="00000000" w:rsidRPr="00000000">
              <w:rPr>
                <w:rtl w:val="0"/>
              </w:rPr>
              <w:t xml:space="preserve">Mortality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0" w:lineRule="auto"/>
              <w:rPr/>
            </w:pPr>
            <w:hyperlink r:id="rId7">
              <w:r w:rsidDel="00000000" w:rsidR="00000000" w:rsidRPr="00000000">
                <w:rPr>
                  <w:color w:val="1155cc"/>
                  <w:u w:val="single"/>
                  <w:rtl w:val="0"/>
                </w:rPr>
                <w:t xml:space="preserve">https://data.worldbank.org/indicator/SE.PRM.UNER.MA?view=chart</w:t>
              </w:r>
            </w:hyperlink>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0" w:lineRule="auto"/>
              <w:rPr/>
            </w:pPr>
            <w:r w:rsidDel="00000000" w:rsidR="00000000" w:rsidRPr="00000000">
              <w:rPr>
                <w:rtl w:val="0"/>
              </w:rPr>
              <w:t xml:space="preserve">Children out of school, primary, male</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before="240" w:lineRule="auto"/>
              <w:rPr/>
            </w:pPr>
            <w:r w:rsidDel="00000000" w:rsidR="00000000" w:rsidRPr="00000000">
              <w:rPr>
                <w:rtl w:val="0"/>
              </w:rPr>
              <w:t xml:space="preserve">Education</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Rule="auto"/>
              <w:rPr>
                <w:color w:val="1155cc"/>
                <w:u w:val="single"/>
              </w:rPr>
            </w:pPr>
            <w:hyperlink r:id="rId8">
              <w:r w:rsidDel="00000000" w:rsidR="00000000" w:rsidRPr="00000000">
                <w:rPr>
                  <w:color w:val="1155cc"/>
                  <w:u w:val="single"/>
                  <w:rtl w:val="0"/>
                </w:rPr>
                <w:t xml:space="preserve">https://data.worldbank.org/indicator/SE.XPD.TOTL.GD.ZS?view=chart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Rule="auto"/>
              <w:rPr/>
            </w:pPr>
            <w:r w:rsidDel="00000000" w:rsidR="00000000" w:rsidRPr="00000000">
              <w:rPr>
                <w:rtl w:val="0"/>
              </w:rPr>
              <w:t xml:space="preserve">Government expenditure on education, total (% of GDP)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Rule="auto"/>
              <w:rPr>
                <w:color w:val="1155cc"/>
                <w:u w:val="single"/>
              </w:rPr>
            </w:pPr>
            <w:hyperlink r:id="rId9">
              <w:r w:rsidDel="00000000" w:rsidR="00000000" w:rsidRPr="00000000">
                <w:rPr>
                  <w:color w:val="1155cc"/>
                  <w:u w:val="single"/>
                  <w:rtl w:val="0"/>
                </w:rPr>
                <w:t xml:space="preserve">https://data.worldbank.org/indicator/SE.ADT.1524.LT.ZS?view=chart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Rule="auto"/>
              <w:rPr/>
            </w:pPr>
            <w:r w:rsidDel="00000000" w:rsidR="00000000" w:rsidRPr="00000000">
              <w:rPr>
                <w:rtl w:val="0"/>
              </w:rPr>
              <w:t xml:space="preserve">Literacy rate, youth total (% of people ages 15-24)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r>
      <w:tr>
        <w:trPr>
          <w:cantSplit w:val="0"/>
          <w:trHeight w:val="1172.775878906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Rule="auto"/>
              <w:rPr/>
            </w:pPr>
            <w:hyperlink r:id="rId10">
              <w:r w:rsidDel="00000000" w:rsidR="00000000" w:rsidRPr="00000000">
                <w:rPr>
                  <w:color w:val="1155cc"/>
                  <w:u w:val="single"/>
                  <w:rtl w:val="0"/>
                </w:rPr>
                <w:t xml:space="preserve">https://data.worldbank.org/indicator/SE.PRM.CMPT.ZS</w:t>
              </w:r>
            </w:hyperlink>
            <w:r w:rsidDel="00000000" w:rsidR="00000000" w:rsidRPr="00000000">
              <w:rPr>
                <w:rtl w:val="0"/>
              </w:rPr>
              <w:t xml:space="preserve"> </w:t>
            </w:r>
          </w:p>
          <w:p w:rsidR="00000000" w:rsidDel="00000000" w:rsidP="00000000" w:rsidRDefault="00000000" w:rsidRPr="00000000" w14:paraId="0000003A">
            <w:pPr>
              <w:spacing w:before="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Rule="auto"/>
              <w:rPr/>
            </w:pPr>
            <w:r w:rsidDel="00000000" w:rsidR="00000000" w:rsidRPr="00000000">
              <w:rPr>
                <w:rtl w:val="0"/>
              </w:rPr>
              <w:t xml:space="preserve">Primary completion rate, total (% of relevant age group)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Rule="auto"/>
              <w:rPr>
                <w:color w:val="1155cc"/>
                <w:u w:val="single"/>
              </w:rPr>
            </w:pPr>
            <w:hyperlink r:id="rId11">
              <w:r w:rsidDel="00000000" w:rsidR="00000000" w:rsidRPr="00000000">
                <w:rPr>
                  <w:color w:val="1155cc"/>
                  <w:u w:val="single"/>
                  <w:rtl w:val="0"/>
                </w:rPr>
                <w:t xml:space="preserve">https://data.worldbank.org/indicator/SL.UEM.TOTL.ZS?view=chart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Rule="auto"/>
              <w:rPr/>
            </w:pPr>
            <w:r w:rsidDel="00000000" w:rsidR="00000000" w:rsidRPr="00000000">
              <w:rPr>
                <w:rtl w:val="0"/>
              </w:rPr>
              <w:t xml:space="preserve">Unemployment, total (% of total labor force) (modeled ILO estimate)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Rule="auto"/>
              <w:rPr/>
            </w:pPr>
            <w:hyperlink r:id="rId12">
              <w:r w:rsidDel="00000000" w:rsidR="00000000" w:rsidRPr="00000000">
                <w:rPr>
                  <w:color w:val="1155cc"/>
                  <w:u w:val="single"/>
                  <w:rtl w:val="0"/>
                </w:rPr>
                <w:t xml:space="preserve">https://data.worldbank.org/indicator/SE.PRM.ENRL.TC.ZS?view=chart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Rule="auto"/>
              <w:rPr/>
            </w:pPr>
            <w:r w:rsidDel="00000000" w:rsidR="00000000" w:rsidRPr="00000000">
              <w:rPr>
                <w:rtl w:val="0"/>
              </w:rPr>
              <w:t xml:space="preserve">Pupil-teacher ratio, primary</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Rule="auto"/>
              <w:rPr>
                <w:color w:val="1155cc"/>
                <w:u w:val="single"/>
              </w:rPr>
            </w:pPr>
            <w:hyperlink r:id="rId13">
              <w:r w:rsidDel="00000000" w:rsidR="00000000" w:rsidRPr="00000000">
                <w:rPr>
                  <w:color w:val="1155cc"/>
                  <w:u w:val="single"/>
                  <w:rtl w:val="0"/>
                </w:rPr>
                <w:t xml:space="preserve">https://data.worldbank.org/indicator/SE.ADT.LITR.ZS?view=chart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Rule="auto"/>
              <w:rPr/>
            </w:pPr>
            <w:r w:rsidDel="00000000" w:rsidR="00000000" w:rsidRPr="00000000">
              <w:rPr>
                <w:rtl w:val="0"/>
              </w:rPr>
              <w:t xml:space="preserve">Literacy rate, adult total (% of people ages 15 and above)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Rule="auto"/>
              <w:rPr>
                <w:color w:val="1155cc"/>
                <w:u w:val="single"/>
              </w:rPr>
            </w:pPr>
            <w:hyperlink r:id="rId14">
              <w:r w:rsidDel="00000000" w:rsidR="00000000" w:rsidRPr="00000000">
                <w:rPr>
                  <w:color w:val="1155cc"/>
                  <w:u w:val="single"/>
                  <w:rtl w:val="0"/>
                </w:rPr>
                <w:t xml:space="preserve">https://data.worldbank.org/indicator/NY.GDP.MKTP.KD.ZG?view=chart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Rule="auto"/>
              <w:rPr/>
            </w:pPr>
            <w:r w:rsidDel="00000000" w:rsidR="00000000" w:rsidRPr="00000000">
              <w:rPr>
                <w:rtl w:val="0"/>
              </w:rPr>
              <w:t xml:space="preserve">GDP growth (annual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Economic growth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0" w:lineRule="auto"/>
              <w:rPr>
                <w:color w:val="1155cc"/>
                <w:u w:val="single"/>
              </w:rPr>
            </w:pPr>
            <w:hyperlink r:id="rId15">
              <w:r w:rsidDel="00000000" w:rsidR="00000000" w:rsidRPr="00000000">
                <w:rPr>
                  <w:color w:val="1155cc"/>
                  <w:u w:val="single"/>
                  <w:rtl w:val="0"/>
                </w:rPr>
                <w:t xml:space="preserve">https://data.worldbank.org/indicator/NY.GDP.PCAP.KD.ZG?view=chart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Rule="auto"/>
              <w:rPr/>
            </w:pPr>
            <w:r w:rsidDel="00000000" w:rsidR="00000000" w:rsidRPr="00000000">
              <w:rPr>
                <w:rtl w:val="0"/>
              </w:rPr>
              <w:t xml:space="preserve">GDP per capita growth (annual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Rule="auto"/>
              <w:rPr>
                <w:color w:val="1155cc"/>
                <w:u w:val="single"/>
              </w:rPr>
            </w:pPr>
            <w:hyperlink r:id="rId16">
              <w:r w:rsidDel="00000000" w:rsidR="00000000" w:rsidRPr="00000000">
                <w:rPr>
                  <w:color w:val="1155cc"/>
                  <w:u w:val="single"/>
                  <w:rtl w:val="0"/>
                </w:rPr>
                <w:t xml:space="preserve">https://data.worldbank.org/indicator/NE.EXP.GNFS.ZS?view=chart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Rule="auto"/>
              <w:rPr/>
            </w:pPr>
            <w:r w:rsidDel="00000000" w:rsidR="00000000" w:rsidRPr="00000000">
              <w:rPr>
                <w:rtl w:val="0"/>
              </w:rPr>
              <w:t xml:space="preserve">Exports of goods and services (% of GDP)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Rule="auto"/>
              <w:rPr>
                <w:color w:val="1155cc"/>
                <w:u w:val="single"/>
              </w:rPr>
            </w:pPr>
            <w:hyperlink r:id="rId17">
              <w:r w:rsidDel="00000000" w:rsidR="00000000" w:rsidRPr="00000000">
                <w:rPr>
                  <w:color w:val="1155cc"/>
                  <w:u w:val="single"/>
                  <w:rtl w:val="0"/>
                </w:rPr>
                <w:t xml:space="preserve">https://data.worldbank.org/indicator/EG.USE.PCAP.KG.OE?view=chart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Rule="auto"/>
              <w:rPr/>
            </w:pPr>
            <w:r w:rsidDel="00000000" w:rsidR="00000000" w:rsidRPr="00000000">
              <w:rPr>
                <w:rtl w:val="0"/>
              </w:rPr>
              <w:t xml:space="preserve">Energy use (kg of oil equivalent per capita)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Rule="auto"/>
              <w:rPr>
                <w:color w:val="1155cc"/>
                <w:u w:val="single"/>
              </w:rPr>
            </w:pPr>
            <w:hyperlink r:id="rId18">
              <w:r w:rsidDel="00000000" w:rsidR="00000000" w:rsidRPr="00000000">
                <w:rPr>
                  <w:color w:val="1155cc"/>
                  <w:u w:val="single"/>
                  <w:rtl w:val="0"/>
                </w:rPr>
                <w:t xml:space="preserve">https://data.worldbank.org/indicator/EG.USE.COMM.FO.ZS?view=chart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Rule="auto"/>
              <w:rPr/>
            </w:pPr>
            <w:r w:rsidDel="00000000" w:rsidR="00000000" w:rsidRPr="00000000">
              <w:rPr>
                <w:rtl w:val="0"/>
              </w:rPr>
              <w:t xml:space="preserve">Fossil fuel energy consumption (% of total)</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Rule="auto"/>
              <w:rPr>
                <w:color w:val="1155cc"/>
                <w:u w:val="single"/>
              </w:rPr>
            </w:pPr>
            <w:hyperlink r:id="rId19">
              <w:r w:rsidDel="00000000" w:rsidR="00000000" w:rsidRPr="00000000">
                <w:rPr>
                  <w:color w:val="1155cc"/>
                  <w:u w:val="single"/>
                  <w:rtl w:val="0"/>
                </w:rPr>
                <w:t xml:space="preserve">https://data.worldbank.org/indicator/EG.FEC.RNEW.ZS?view=chart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0" w:lineRule="auto"/>
              <w:rPr/>
            </w:pPr>
            <w:r w:rsidDel="00000000" w:rsidR="00000000" w:rsidRPr="00000000">
              <w:rPr>
                <w:rtl w:val="0"/>
              </w:rPr>
              <w:t xml:space="preserve">Renewable energy consumption (% of total final energy consumption)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Rule="auto"/>
              <w:rPr/>
            </w:pPr>
            <w:hyperlink r:id="rId20">
              <w:r w:rsidDel="00000000" w:rsidR="00000000" w:rsidRPr="00000000">
                <w:rPr>
                  <w:color w:val="1155cc"/>
                  <w:u w:val="single"/>
                  <w:rtl w:val="0"/>
                </w:rPr>
                <w:t xml:space="preserve">https://data.worldbank.org/indicator/GC</w:t>
              </w:r>
            </w:hyperlink>
            <w:r w:rsidDel="00000000" w:rsidR="00000000" w:rsidRPr="00000000">
              <w:rPr>
                <w:rtl w:val="0"/>
              </w:rPr>
              <w:t xml:space="preserve">.</w:t>
            </w:r>
          </w:p>
          <w:p w:rsidR="00000000" w:rsidDel="00000000" w:rsidP="00000000" w:rsidRDefault="00000000" w:rsidRPr="00000000" w14:paraId="00000059">
            <w:pPr>
              <w:spacing w:before="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0" w:lineRule="auto"/>
              <w:rPr/>
            </w:pPr>
            <w:r w:rsidDel="00000000" w:rsidR="00000000" w:rsidRPr="00000000">
              <w:rPr>
                <w:rtl w:val="0"/>
              </w:rPr>
              <w:t xml:space="preserve">Revenue, excluding grants (% of GDP)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356.8505859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0" w:lineRule="auto"/>
              <w:rPr>
                <w:color w:val="1155cc"/>
                <w:u w:val="single"/>
              </w:rPr>
            </w:pPr>
            <w:hyperlink r:id="rId21">
              <w:r w:rsidDel="00000000" w:rsidR="00000000" w:rsidRPr="00000000">
                <w:rPr>
                  <w:color w:val="1155cc"/>
                  <w:u w:val="single"/>
                  <w:rtl w:val="0"/>
                </w:rPr>
                <w:t xml:space="preserve">https://data.worldbank.org/indicator/NY.GDP.DEFL.KD.ZG?view=chart</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Rule="auto"/>
              <w:rPr/>
            </w:pPr>
            <w:r w:rsidDel="00000000" w:rsidR="00000000" w:rsidRPr="00000000">
              <w:rPr>
                <w:rtl w:val="0"/>
              </w:rPr>
              <w:t xml:space="preserve">Inflation, GDP deflator (annual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worldbank.org/indicator/GC" TargetMode="External"/><Relationship Id="rId11" Type="http://schemas.openxmlformats.org/officeDocument/2006/relationships/hyperlink" Target="https://data.worldbank.org/indicator/SL.UEM.TOTL.ZS?view=chart" TargetMode="External"/><Relationship Id="rId10" Type="http://schemas.openxmlformats.org/officeDocument/2006/relationships/hyperlink" Target="https://data.worldbank.org/indicator/SE.PRM.CMPT.ZS" TargetMode="External"/><Relationship Id="rId21" Type="http://schemas.openxmlformats.org/officeDocument/2006/relationships/hyperlink" Target="https://data.worldbank.org/indicator/NY.GDP.DEFL.KD.ZG?view=chart" TargetMode="External"/><Relationship Id="rId13" Type="http://schemas.openxmlformats.org/officeDocument/2006/relationships/hyperlink" Target="https://data.worldbank.org/indicator/SE.ADT.LITR.ZS?view=chart" TargetMode="External"/><Relationship Id="rId12" Type="http://schemas.openxmlformats.org/officeDocument/2006/relationships/hyperlink" Target="https://data.worldbank.org/indicator/SE.PRM.ENRL.TC.ZS?view=ch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SE.ADT.1524.LT.ZS?view=chart" TargetMode="External"/><Relationship Id="rId15" Type="http://schemas.openxmlformats.org/officeDocument/2006/relationships/hyperlink" Target="https://data.worldbank.org/indicator/NY.GDP.PCAP.KD.ZG?view=chart" TargetMode="External"/><Relationship Id="rId14" Type="http://schemas.openxmlformats.org/officeDocument/2006/relationships/hyperlink" Target="https://data.worldbank.org/indicator/NY.GDP.MKTP.KD.ZG?view=chart" TargetMode="External"/><Relationship Id="rId17" Type="http://schemas.openxmlformats.org/officeDocument/2006/relationships/hyperlink" Target="https://data.worldbank.org/indicator/EG.USE.PCAP.KG.OE?view=chart" TargetMode="External"/><Relationship Id="rId16" Type="http://schemas.openxmlformats.org/officeDocument/2006/relationships/hyperlink" Target="https://data.worldbank.org/indicator/NE.EXP.GNFS.ZS?view=chart" TargetMode="External"/><Relationship Id="rId5" Type="http://schemas.openxmlformats.org/officeDocument/2006/relationships/styles" Target="styles.xml"/><Relationship Id="rId19" Type="http://schemas.openxmlformats.org/officeDocument/2006/relationships/hyperlink" Target="https://data.worldbank.org/indicator/EG.FEC.RNEW.ZS?view=chart" TargetMode="External"/><Relationship Id="rId6" Type="http://schemas.openxmlformats.org/officeDocument/2006/relationships/hyperlink" Target="https://platform.who.int/mortality/themes/theme-details/mdb/noncommunicable-diseases" TargetMode="External"/><Relationship Id="rId18" Type="http://schemas.openxmlformats.org/officeDocument/2006/relationships/hyperlink" Target="https://data.worldbank.org/indicator/EG.USE.COMM.FO.ZS?view=chart" TargetMode="External"/><Relationship Id="rId7" Type="http://schemas.openxmlformats.org/officeDocument/2006/relationships/hyperlink" Target="https://data.worldbank.org/indicator/SE.PRM.UNER.MA?view=chart" TargetMode="External"/><Relationship Id="rId8" Type="http://schemas.openxmlformats.org/officeDocument/2006/relationships/hyperlink" Target="https://data.worldbank.org/indicator/SE.XPD.TOTL.GD.ZS?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