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>
      <w:pPr>
        <w:pStyle w:val="papertitle"/>
        <w:sectPr>
          <w:footerReference w:type="first" r:id="rId8"/>
          <w:type w:val="continuous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t>Análise de Conversores CC-CC Isolados e Comparação com os Conversores Equivalentes Não Isolados</w:t>
      </w:r>
    </w:p>
    <w:p>
      <w:pPr>
        <w:pStyle w:val="Author"/>
        <w:spacing w:before="8pt" w:after="0pt"/>
      </w:pPr>
      <w:r>
        <w:rPr>
          <w:sz w:val="20"/>
          <w:szCs w:val="20"/>
        </w:rPr>
        <w:t>Jonatas Manoel Assunção Felix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Departamento de Engenharia Elétrica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Universidade Federal do Ceará</w:t>
      </w:r>
      <w:r>
        <w:rPr>
          <w:sz w:val="18"/>
          <w:szCs w:val="18"/>
        </w:rPr>
        <w:br/>
      </w:r>
      <w:r>
        <w:rPr>
          <w:sz w:val="18"/>
          <w:szCs w:val="18"/>
        </w:rPr>
        <w:t>Fortaleza, Brasil</w:t>
      </w:r>
      <w:r>
        <w:rPr>
          <w:sz w:val="18"/>
          <w:szCs w:val="18"/>
        </w:rPr>
        <w:br/>
      </w:r>
      <w:r>
        <w:rPr>
          <w:sz w:val="18"/>
          <w:szCs w:val="18"/>
        </w:rPr>
        <w:t>jonatasmanoela@gmail.com</w:t>
      </w:r>
    </w:p>
    <w:p>
      <w:pPr>
        <w:pStyle w:val="Author"/>
        <w:spacing w:before="8pt" w:after="0pt"/>
        <w:sectPr>
          <w:type w:val="continuous"/>
          <w:pgSz w:w="595.30pt" w:h="841.90pt" w:code="9"/>
          <w:pgMar w:top="22.50pt" w:right="44.65pt" w:bottom="72pt" w:left="44.65pt" w:header="36pt" w:footer="36pt" w:gutter="0pt"/>
          <w:cols w:num="2" w:space="36pt"/>
          <w:docGrid w:linePitch="360"/>
        </w:sectPr>
      </w:pPr>
      <w:r>
        <w:rPr>
          <w:sz w:val="20"/>
          <w:szCs w:val="20"/>
        </w:rPr>
        <w:t>José Carlos Moreira de Brito Neto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Departamento de Engenharia Elétrica</w:t>
      </w:r>
      <w:r>
        <w:rPr>
          <w:sz w:val="18"/>
          <w:szCs w:val="18"/>
        </w:rPr>
        <w:br/>
      </w:r>
      <w:r>
        <w:rPr>
          <w:i/>
          <w:sz w:val="18"/>
          <w:szCs w:val="18"/>
        </w:rPr>
        <w:t>Universidade Federal do Ceará</w:t>
      </w:r>
      <w:r>
        <w:rPr>
          <w:sz w:val="18"/>
          <w:szCs w:val="18"/>
        </w:rPr>
        <w:br/>
      </w:r>
      <w:r>
        <w:rPr>
          <w:sz w:val="18"/>
          <w:szCs w:val="18"/>
        </w:rPr>
        <w:t>Fortaleza, Brasil</w:t>
      </w:r>
      <w:r>
        <w:rPr>
          <w:sz w:val="18"/>
          <w:szCs w:val="18"/>
        </w:rPr>
        <w:br/>
      </w:r>
      <w:r>
        <w:rPr>
          <w:sz w:val="18"/>
          <w:szCs w:val="18"/>
        </w:rPr>
        <w:t>cneto3240@gmail.com</w:t>
      </w:r>
    </w:p>
    <w:p>
      <w:pPr>
        <w:pStyle w:val="Abstract"/>
      </w:pPr>
      <w:r>
        <w:rPr>
          <w:i/>
        </w:rPr>
        <w:t>Resumo</w:t>
      </w:r>
      <w:r>
        <w:t>—</w:t>
      </w:r>
      <w:r>
        <w:t>Este trabalho analisa quatro conversores CC-CC isolados, o Forward de uma chave, a ponte completa, o push-pull alimentado em corrente e o Flyback de uma chave, e verifica por simulação que cada um deles é dinamicamente equivalente a um conversor básico não isolado, referido ao secundário do transformador. Para cada topologia são apresentadas a análise qualitativa, com formas de onda teóricas e etapas de operação, e um exemplo de projeto. Mostra-se que os equivalentes seguem três regras gerais: a fonte é refletida pela relação de espiras, uma indutância do primário pelo seu quadrado, e as topologias que excitam o transformador nos dois semiciclos têm equivalentes que comutam no dobro da frequência, com razão cíclica efetiva 2D na ponte completa e 2D − 1 no push-pull. Os oito circuitos foram simulados no PLECS com degraus de carga de 20 % para 100 % e vice-versa. Em todos os casos as tensões e correntes de saída do conversor isolado e do equivalente coincidem, com erro RMS máximo de 0,09 % e erro instantâneo máximo de 0,78 %, este último na ponte completa e atribuído à corrente magnetizante do transformador. No Flyback, os modos de condução contínua e descontínua produzem dinâmicas qualitativamente diferentes, de segunda e de primeira ordem, mas a equivalência com o Buck-Boost é exata em ambos. Os resultados justificam o uso das funções de transferência dos conversores básicos no projeto do controle dos conversores isolados.</w:t>
      </w:r>
    </w:p>
    <w:p>
      <w:pPr>
        <w:pStyle w:val="Keywords"/>
      </w:pPr>
      <w:r>
        <w:t>Palavras-chave—</w:t>
      </w:r>
      <w:r>
        <w:t>conversores CC-CC isolados, Forward, ponte completa, push-pull alimentado em corrente, Flyback, conversor equivalente, transformador de alta frequência, degrau de carga, PLECS</w:t>
      </w:r>
    </w:p>
    <w:p>
      <w:pPr>
        <w:pStyle w:val="Heading1"/>
      </w:pPr>
      <w:r>
        <w:t>Introdução</w:t>
      </w:r>
    </w:p>
    <w:p>
      <w:pPr>
        <w:pStyle w:val="BodyText"/>
      </w:pPr>
      <w:r>
        <w:t>Quando a entrada de um conversor está ligada à rede ou a um barramento perigoso e a saída é acessível ao usuário, a norma exige isolação galvânica, e a solução é intercalar um transformador de alta frequência no conversor. O transformador, porém, faz mais do que isolar. Ele ajusta o nível de tensão pela relação de espiras, o que permite que um conversor de 400 V para 54 V opere com razão cíclica de 0,4, e não de 0,135 como um Buck, e em algumas topologias ele também armazena energia. Por isso os conversores isolados dominam as fontes chaveadas acima de algumas dezenas de watts.</w:t>
      </w:r>
    </w:p>
    <w:p>
      <w:pPr>
        <w:pStyle w:val="BodyText"/>
      </w:pPr>
      <w:r>
        <w:t>Todo conversor isolado deriva de um conversor básico. Olhando da carga para trás, o filtro de saída não sabe que existe um transformador: tudo o que ele enxerga é a forma de onda aplicada na sua entrada. Se um conversor básico, sem transformador, produzir a mesma forma de onda nesse ponto, a saída dos dois se comporta de modo idêntico, em regime e em transitório. Esse é o conversor equivalente referido ao secundário. A importância prática da equivalência é que ela permite projetar o controle do conversor isolado com as funções de transferência, já conhecidas, do conversor básico [2], [5], [9].</w:t>
      </w:r>
    </w:p>
    <w:p>
      <w:pPr>
        <w:pStyle w:val="BodyText"/>
      </w:pPr>
      <w:r>
        <w:t>O objetivo deste trabalho é verificar essa equivalência para quatro topologias: o Forward de uma chave e a ponte completa, derivados do Buck; o push-pull alimentado em corrente, derivado do Boost; e o Flyback de uma chave, derivado do Buck-Boost. Para cada uma são apresentadas a análise qualitativa e um exemplo de projeto, e o conversor isolado e o seu equivalente são simulados lado a lado, submetidos aos mesmos degraus de carga de 20 % para 100 % e de 100 % para 20 %. As simulações, originalmente propostas no PSIM [1], foram feitas no PLECS [8].</w:t>
      </w:r>
    </w:p>
    <w:p>
      <w:pPr>
        <w:pStyle w:val="BodyText"/>
      </w:pPr>
      <w:r>
        <w:t>A Seção II reúne o que é comum às quatro topologias: o modelo do transformador, a condição de desmagnetização, as regras de construção do equivalente e a metodologia de simulação. As Seções III a VI tratam de cada conversor, a Seção VII sintetiza os resultados e a Seção VIII apresenta as conclusões.</w:t>
      </w:r>
    </w:p>
    <w:p>
      <w:pPr>
        <w:pStyle w:val="Heading1"/>
      </w:pPr>
      <w:r>
        <w:t>Conversores Isolados e seus Equivalentes</w:t>
      </w:r>
    </w:p>
    <w:p>
      <w:pPr>
        <w:pStyle w:val="Heading2"/>
      </w:pPr>
      <w:r>
        <w:t>Modelo do transformador</w:t>
      </w:r>
    </w:p>
    <w:p>
      <w:pPr>
        <w:pStyle w:val="BodyText"/>
      </w:pPr>
      <w:r>
        <w:t xml:space="preserve">A relação de transformação é definida como secundário sobre primário, a = </w:t>
      </w:r>
      <w:r>
        <w:rPr>
          <w:i/>
        </w:rPr>
        <w:t>N</w:t>
      </w:r>
      <w:r>
        <w:rPr>
          <w:vertAlign w:val="subscript"/>
        </w:rPr>
        <w:t>s</w:t>
      </w:r>
      <w:r>
        <w:t>/</w:t>
      </w:r>
      <w:r>
        <w:rPr>
          <w:i/>
        </w:rPr>
        <w:t>N</w:t>
      </w:r>
      <w:r>
        <w:rPr>
          <w:vertAlign w:val="subscript"/>
        </w:rPr>
        <w:t>p</w:t>
      </w:r>
      <w:r>
        <w:t xml:space="preserve">, de modo que a tensão do secundário vale a vezes a do primário e a corrente do primário vale a vezes a do secundário. O modelo adotado é o transformador ideal acrescido da indutância magnetizante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em paralelo com o primário. A corrente do primário passa a ter duas parcelas, a refletida da carga e a magnetizante: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</m:t>
            </m:r>
          </m:sub>
        </m:sSub>
        <m:r>
          <w:rPr>
            <w:rFonts w:ascii="Cambria Math" w:hAnsi="Cambria Math"/>
          </w:rPr>
          <m:t>=a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sec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Lm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d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Lm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pri</m:t>
            </m:r>
          </m:sub>
        </m:sSub>
      </m:oMath>
      <w:r>
        <w:rPr>
          <w:rFonts w:ascii="Times New Roman" w:hAnsi="Times New Roman" w:cs="Times New Roman"/>
        </w:rPr>
        <w:tab/>
        <w:t>(1)</w:t>
      </w:r>
    </w:p>
    <w:p>
      <w:pPr>
        <w:pStyle w:val="BodyText"/>
      </w:pPr>
      <w:r>
        <w:t xml:space="preserve">No Forward, na ponte completa e no push-pull a indutância magnetizante é um efeito parasita, dimensionada para que a corrente magnetizante seja de 1 % a 2 % da corrente de pico do primário. No Flyback é o contrário: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é o próprio elemento armazenador de energia. A indutância de dispersão foi desprezada, porque não altera a equivalência que se quer verificar e, com chaves ideais, apenas acrescentaria picos de tensão sem significado físico.</w:t>
      </w:r>
    </w:p>
    <w:p>
      <w:pPr>
        <w:pStyle w:val="Heading2"/>
      </w:pPr>
      <w:r>
        <w:t>Desmagnetização do núcleo</w:t>
      </w:r>
    </w:p>
    <w:p>
      <w:pPr>
        <w:pStyle w:val="BodyText"/>
      </w:pPr>
      <w:r>
        <w:t xml:space="preserve">Em regime permanente o fluxo precisa voltar ao mesmo valor ao fim de cada período, sob pena de crescer ciclo a ciclo até a saturação. Como a tensão no enrolamento é proporcional à derivada do fluxo, isso exige tensão média nula sobre o primário, isto é, áreas iguais de tensão-tempo positiva e negativa, as áreas A+ e A− das formas de onda deste artigo. Cada topologia cumpre essa condição de um modo diferente, e isso é o que mais as distingue. O Forward precisa de um enrolamento terciário que devolve a energia magnetizante à fonte, o que limita a razão cíclica a 0,5 quando o terciário tem o mesmo número de espiras do primário. A ponte completa e o push-pull aplicam tensões opostas ao primário em semiciclos alternados e se desmagnetizam naturalmente. No Flyback a energia de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é entregue à própria carga.</w:t>
      </w:r>
    </w:p>
    <w:p>
      <w:pPr>
        <w:pStyle w:val="Heading2"/>
      </w:pPr>
      <w:r>
        <w:t>Construção do conversor equivalente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Para levar um elemento do primário ao secundário basta conservar a tensão por espira e a potência. Uma fonte de tensão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torna-se a</w:t>
      </w:r>
      <w:r>
        <w:rPr>
          <w:i/>
        </w:rPr>
        <w:t>V</w:t>
      </w:r>
      <w:r>
        <w:rPr>
          <w:vertAlign w:val="subscript"/>
        </w:rPr>
        <w:t>i</w:t>
      </w:r>
      <w:r>
        <w:t>, uma corrente i torna-se i/a e uma indutância L torna-se a²L, já que a energia armazenada se conserva. A essas regras soma-se uma quarta, própria das topologias simétricas. Na ponte completa e no push-pull o retificador de onda completa entrega ao filtro dois pulsos por período de comutação, e o equivalente precisa comutar no dobro da frequência, com razão cíclica igual à fração de cada meio período ocupada pelo pulso [2]–[4]. Aplicando essas regras obtêm-se os equivalentes da Tabela I.</w:t>
      </w:r>
    </w:p>
    <w:p>
      <w:pPr>
        <w:pStyle w:val="tablehead"/>
        <w:keepNext/>
      </w:pPr>
      <w:r>
        <w:t>Conversores equivalentes referidos ao secundário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1700"/>
        <w:gridCol w:w="1300"/>
        <w:gridCol w:w="900"/>
        <w:gridCol w:w="1000"/>
        <w:gridCol w:w="900"/>
        <w:gridCol w:w="800"/>
        <w:gridCol w:w="3400"/>
      </w:tblGrid>
      <w:tr>
        <w:trPr>
          <w:cantSplit/>
          <w:tblHeader/>
          <w:jc w:val="center"/>
        </w:trPr>
        <w:tc>
          <w:tcPr>
            <w:tcW w:w="85.00pt" w:type="dxa"/>
            <w:vAlign w:val="center"/>
          </w:tcPr>
          <w:p>
            <w:pPr>
              <w:pStyle w:val="tablecolhead"/>
              <w:keepNext/>
            </w:pPr>
            <w:r>
              <w:t>Conversor isolado</w:t>
            </w:r>
          </w:p>
        </w:tc>
        <w:tc>
          <w:tcPr>
            <w:tcW w:w="65.00pt" w:type="dxa"/>
            <w:vAlign w:val="center"/>
          </w:tcPr>
          <w:p>
            <w:pPr>
              <w:pStyle w:val="tablecolhead"/>
              <w:keepNext/>
            </w:pPr>
            <w:r>
              <w:t>Equivalente</w:t>
            </w:r>
          </w:p>
        </w:tc>
        <w:tc>
          <w:tcPr>
            <w:tcW w:w="45.00pt" w:type="dxa"/>
            <w:vAlign w:val="center"/>
          </w:tcPr>
          <w:p>
            <w:pPr>
              <w:pStyle w:val="tablecolhead"/>
              <w:keepNext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eq</w:t>
            </w:r>
          </w:p>
        </w:tc>
        <w:tc>
          <w:tcPr>
            <w:tcW w:w="50.00pt" w:type="dxa"/>
            <w:vAlign w:val="center"/>
          </w:tcPr>
          <w:p>
            <w:pPr>
              <w:pStyle w:val="tablecolhead"/>
              <w:keepNext/>
            </w:pPr>
            <w:r>
              <w:rPr>
                <w:i/>
              </w:rPr>
              <w:t>L</w:t>
            </w:r>
            <w:r>
              <w:rPr>
                <w:vertAlign w:val="subscript"/>
              </w:rPr>
              <w:t>eq</w:t>
            </w:r>
          </w:p>
        </w:tc>
        <w:tc>
          <w:tcPr>
            <w:tcW w:w="45.00pt" w:type="dxa"/>
            <w:vAlign w:val="center"/>
          </w:tcPr>
          <w:p>
            <w:pPr>
              <w:pStyle w:val="tablecolhead"/>
              <w:keepNext/>
            </w:pPr>
            <w:r>
              <w:rPr>
                <w:i/>
              </w:rPr>
              <w:t>D</w:t>
            </w:r>
            <w:r>
              <w:rPr>
                <w:vertAlign w:val="subscript"/>
              </w:rPr>
              <w:t>eq</w:t>
            </w:r>
          </w:p>
        </w:tc>
        <w:tc>
          <w:tcPr>
            <w:tcW w:w="40.00pt" w:type="dxa"/>
            <w:vAlign w:val="center"/>
          </w:tcPr>
          <w:p>
            <w:pPr>
              <w:pStyle w:val="tablecolhead"/>
              <w:keepNext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eq</w:t>
            </w:r>
          </w:p>
        </w:tc>
        <w:tc>
          <w:tcPr>
            <w:tcW w:w="170.00pt" w:type="dxa"/>
            <w:vAlign w:val="center"/>
          </w:tcPr>
          <w:p>
            <w:pPr>
              <w:pStyle w:val="tablecolhead"/>
              <w:keepNext/>
            </w:pPr>
            <w:r>
              <w:t>Ganho estático</w:t>
            </w:r>
          </w:p>
        </w:tc>
      </w:tr>
      <w:tr>
        <w:trPr>
          <w:cantSplit/>
          <w:jc w:val="center"/>
        </w:trPr>
        <w:tc>
          <w:tcPr>
            <w:tcW w:w="8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Forward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Buck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n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</w:p>
        </w:tc>
        <w:tc>
          <w:tcPr>
            <w:tcW w:w="5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L</w:t>
            </w:r>
            <w:r>
              <w:rPr>
                <w:vertAlign w:val="subscript"/>
              </w:rPr>
              <w:t>o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D</w:t>
            </w:r>
          </w:p>
        </w:tc>
        <w:tc>
          <w:tcPr>
            <w:tcW w:w="4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1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/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  <w:r>
              <w:t xml:space="preserve"> = nD</w:t>
            </w:r>
          </w:p>
        </w:tc>
      </w:tr>
      <w:tr>
        <w:trPr>
          <w:cantSplit/>
          <w:jc w:val="center"/>
        </w:trPr>
        <w:tc>
          <w:tcPr>
            <w:tcW w:w="8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Ponte completa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Buck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a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</w:p>
        </w:tc>
        <w:tc>
          <w:tcPr>
            <w:tcW w:w="5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L</w:t>
            </w:r>
            <w:r>
              <w:rPr>
                <w:vertAlign w:val="subscript"/>
              </w:rPr>
              <w:t>o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2D</w:t>
            </w:r>
          </w:p>
        </w:tc>
        <w:tc>
          <w:tcPr>
            <w:tcW w:w="4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2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1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/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  <w:r>
              <w:t xml:space="preserve"> = 2aD</w:t>
            </w:r>
          </w:p>
        </w:tc>
      </w:tr>
      <w:tr>
        <w:trPr>
          <w:cantSplit/>
          <w:jc w:val="center"/>
        </w:trPr>
        <w:tc>
          <w:tcPr>
            <w:tcW w:w="8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Push-pull (corrente)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Boost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a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</w:p>
        </w:tc>
        <w:tc>
          <w:tcPr>
            <w:tcW w:w="5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a²</w:t>
            </w:r>
            <w:r>
              <w:rPr>
                <w:i/>
              </w:rPr>
              <w:t>L</w:t>
            </w:r>
            <w:r>
              <w:rPr>
                <w:vertAlign w:val="subscript"/>
              </w:rPr>
              <w:t>i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2D − 1</w:t>
            </w:r>
          </w:p>
        </w:tc>
        <w:tc>
          <w:tcPr>
            <w:tcW w:w="4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2</w:t>
            </w: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1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/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  <w:r>
              <w:t xml:space="preserve"> = a/[2(1 − D)]</w:t>
            </w:r>
          </w:p>
        </w:tc>
      </w:tr>
      <w:tr>
        <w:trPr>
          <w:cantSplit/>
          <w:jc w:val="center"/>
        </w:trPr>
        <w:tc>
          <w:tcPr>
            <w:tcW w:w="8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Flyback (MCC)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Buck-Boost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a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</w:p>
        </w:tc>
        <w:tc>
          <w:tcPr>
            <w:tcW w:w="5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a²</w:t>
            </w:r>
            <w:r>
              <w:rPr>
                <w:i/>
              </w:rPr>
              <w:t>L</w:t>
            </w:r>
            <w:r>
              <w:rPr>
                <w:vertAlign w:val="subscript"/>
              </w:rPr>
              <w:t>m</w:t>
            </w:r>
          </w:p>
        </w:tc>
        <w:tc>
          <w:tcPr>
            <w:tcW w:w="4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D</w:t>
            </w:r>
          </w:p>
        </w:tc>
        <w:tc>
          <w:tcPr>
            <w:tcW w:w="4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s</w:t>
            </w:r>
          </w:p>
        </w:tc>
        <w:tc>
          <w:tcPr>
            <w:tcW w:w="1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/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i</w:t>
            </w:r>
            <w:r>
              <w:t xml:space="preserve"> = aD/(1 − D)</w:t>
            </w:r>
          </w:p>
        </w:tc>
      </w:tr>
    </w:tbl>
    <w:p>
      <w:pPr>
        <w:spacing w:after="0pt" w:line="1pt" w:lineRule="exact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</w:p>
    <w:p>
      <w:pPr>
        <w:pStyle w:val="BodyText"/>
      </w:pPr>
      <w:r>
        <w:t>O equivalente reproduz a tensão e a corrente de saída, mas não representa o que existe apenas no primário: a corrente magnetizante (exceto no Flyback, em que ela é a própria corrente do indutor), as restrições de razão cíclica impostas pelo reset do núcleo, os esforços de tensão nas chaves e os efeitos da dispersão. Ele serve, portanto, à modelagem dinâmica e ao projeto do controle, e não ao dimensionamento dos semicondutores e do transformador.</w:t>
      </w:r>
    </w:p>
    <w:p>
      <w:pPr>
        <w:pStyle w:val="Heading2"/>
      </w:pPr>
      <w:r>
        <w:t>Metodologia de simulação</w:t>
      </w:r>
    </w:p>
    <w:p>
      <w:pPr>
        <w:pStyle w:val="BodyText"/>
      </w:pPr>
      <w:r>
        <w:t>Para cada conversor, o circuito isolado e o equivalente foram montados no mesmo modelo PLECS, com os mesmos componentes de saída e com o degrau de carga comandado por um único gerador, o que garante que os dois sofrem a perturbação no mesmo instante. A carga é formada por um resistor de 5</w:t>
      </w:r>
      <w:r>
        <w:rPr>
          <w:i/>
        </w:rPr>
        <w:t>R</w:t>
      </w:r>
      <w:r>
        <w:rPr>
          <w:vertAlign w:val="subscript"/>
        </w:rPr>
        <w:t>o</w:t>
      </w:r>
      <w:r>
        <w:t>, que sozinho consome 20 % da potência nominal, em paralelo com um resistor de 1,25</w:t>
      </w:r>
      <w:r>
        <w:rPr>
          <w:i/>
        </w:rPr>
        <w:t>R</w:t>
      </w:r>
      <w:r>
        <w:rPr>
          <w:vertAlign w:val="subscript"/>
        </w:rPr>
        <w:t>o</w:t>
      </w:r>
      <w:r>
        <w:t xml:space="preserve"> comutado por uma onda quadrada; com os dois ligados a carga vale </w:t>
      </w:r>
      <w:r>
        <w:rPr>
          <w:i/>
        </w:rPr>
        <w:t>R</w:t>
      </w:r>
      <w:r>
        <w:rPr>
          <w:vertAlign w:val="subscript"/>
        </w:rPr>
        <w:t>o</w:t>
      </w:r>
      <w:r>
        <w:t>. Os conversores operam em malha aberta, com razão cíclica fixa, porque o objetivo é comparar as plantas e um controlador mascararia as diferenças entre elas. Chaves e diodos são ideais e as resistências série dos capacitores são mantidas, por fazerem parte do projeto.</w:t>
      </w:r>
    </w:p>
    <w:p>
      <w:pPr>
        <w:pStyle w:val="BodyText"/>
      </w:pPr>
      <w:r>
        <w:t>As grandezas de saída são filtradas por uma média móvel de um período de comutação, que remove a ondulação e deixa apenas a dinâmica média. A equivalência é aceita quando os valores de regime dos dois circuitos coincidem entre si e com a previsão analítica, quando o erro RMS entre eles é menor que 1 % e quando extremos e tempos de acomodação diferem em menos de 2 %. A primeira condição é indispensável, porque dois circuitos podem concordar entre si e estar ambos errados.</w:t>
      </w:r>
    </w:p>
    <w:p>
      <w:pPr>
        <w:pStyle w:val="Heading1"/>
      </w:pPr>
      <w:r>
        <w:t>Conversor Forward de Uma Chave</w:t>
      </w:r>
    </w:p>
    <w:p>
      <w:pPr>
        <w:pStyle w:val="Heading2"/>
      </w:pPr>
      <w:r>
        <w:t>Análise qualitativa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1712907"/>
            <wp:effectExtent l="0" t="0" r="0" b="0"/>
            <wp:docPr id="121" name="fwd-topologia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wd-topologi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1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Topologia do conversor Forward de uma chave.</w:t>
      </w:r>
    </w:p>
    <w:p>
      <w:pPr>
        <w:pStyle w:val="BodyText"/>
      </w:pPr>
      <w:r>
        <w:t xml:space="preserve">O Forward, na Fig. 1, é composto pela fonte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, por um transformador de três enrolamentos (primário, secundário e terciário de desmagnetização), pela chave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, pelo diodo de transferência </w:t>
      </w:r>
      <w:r>
        <w:rPr>
          <w:i/>
        </w:rPr>
        <w:t>D</w:t>
      </w:r>
      <w:r>
        <w:rPr>
          <w:vertAlign w:val="subscript"/>
        </w:rPr>
        <w:t>1</w:t>
      </w:r>
      <w:r>
        <w:t xml:space="preserve">, pelo diodo de roda livre </w:t>
      </w:r>
      <w:r>
        <w:rPr>
          <w:i/>
        </w:rPr>
        <w:t>D</w:t>
      </w:r>
      <w:r>
        <w:rPr>
          <w:vertAlign w:val="subscript"/>
        </w:rPr>
        <w:t>2</w:t>
      </w:r>
      <w:r>
        <w:t xml:space="preserve"> e pelo filtro </w:t>
      </w:r>
      <w:r>
        <w:rPr>
          <w:i/>
        </w:rPr>
        <w:t>L</w:t>
      </w:r>
      <w:r>
        <w:rPr>
          <w:vertAlign w:val="subscript"/>
        </w:rPr>
        <w:t>o</w:t>
      </w:r>
      <w:r>
        <w:t>–</w:t>
      </w:r>
      <w:r>
        <w:rPr>
          <w:i/>
        </w:rPr>
        <w:t>C</w:t>
      </w:r>
      <w:r>
        <w:rPr>
          <w:vertAlign w:val="subscript"/>
        </w:rPr>
        <w:t>o</w:t>
      </w:r>
      <w:r>
        <w:t xml:space="preserve"> que alimenta a carga </w:t>
      </w:r>
      <w:r>
        <w:rPr>
          <w:i/>
        </w:rPr>
        <w:t>R</w:t>
      </w:r>
      <w:r>
        <w:rPr>
          <w:vertAlign w:val="subscript"/>
        </w:rPr>
        <w:t>o</w:t>
      </w:r>
      <w:r>
        <w:t>. Os pontos do primário e do secundário estão do mesmo lado, e a energia é transferida à carga enquanto a chave conduz, o que caracteriza o Forward.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177921"/>
            <wp:effectExtent l="0" t="0" r="0" b="0"/>
            <wp:docPr id="121" name="fwd-form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wd-formas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7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Formas de onda teóricas do conversor Forward.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5417820"/>
            <wp:effectExtent l="0" t="0" r="0" b="0"/>
            <wp:docPr id="121" name="fwd-etap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wd-etapas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Etapas de operação do conversor Forward: (a) transferência de energia; (b) desmagnetização do transformador e roda livre; (c) roda livre.</w:t>
      </w:r>
    </w:p>
    <w:p>
      <w:pPr>
        <w:pStyle w:val="BodyText"/>
      </w:pPr>
      <w:r>
        <w:t xml:space="preserve">As formas de onda da Fig. 2 e as etapas da Fig. 3 mostram três intervalos por período. Com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conduzindo, </w:t>
      </w:r>
      <w:r>
        <w:rPr>
          <w:i/>
        </w:rPr>
        <w:t>D</w:t>
      </w:r>
      <w:r>
        <w:rPr>
          <w:vertAlign w:val="subscript"/>
        </w:rPr>
        <w:t>1</w:t>
      </w:r>
      <w:r>
        <w:t xml:space="preserve"> aplica n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ao filtro e a corrente magnetizante cresce. Quando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abre, a corrente do indutor passa a circular por </w:t>
      </w:r>
      <w:r>
        <w:rPr>
          <w:i/>
        </w:rPr>
        <w:t>D</w:t>
      </w:r>
      <w:r>
        <w:rPr>
          <w:vertAlign w:val="subscript"/>
        </w:rPr>
        <w:t>2</w:t>
      </w:r>
      <w:r>
        <w:t xml:space="preserve">, e a corrente magnetizante é devolvida à fonte pelo terciário e por </w:t>
      </w:r>
      <w:r>
        <w:rPr>
          <w:i/>
        </w:rPr>
        <w:t>D</w:t>
      </w:r>
      <w:r>
        <w:rPr>
          <w:vertAlign w:val="subscript"/>
        </w:rPr>
        <w:t>t</w:t>
      </w:r>
      <w:r>
        <w:t xml:space="preserve">; nesse intervalo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suporta 2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. Terminada a desmagnetização, só </w:t>
      </w:r>
      <w:r>
        <w:rPr>
          <w:i/>
        </w:rPr>
        <w:t>D</w:t>
      </w:r>
      <w:r>
        <w:rPr>
          <w:vertAlign w:val="subscript"/>
        </w:rPr>
        <w:t>2</w:t>
      </w:r>
      <w:r>
        <w:t xml:space="preserve"> conduz e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suporta </w:t>
      </w:r>
      <w:r>
        <w:rPr>
          <w:i/>
        </w:rPr>
        <w:t>V</w:t>
      </w:r>
      <w:r>
        <w:rPr>
          <w:vertAlign w:val="subscript"/>
        </w:rPr>
        <w:t>i</w:t>
      </w:r>
      <w:r>
        <w:t>. O balanço de tensão-tempo no primário limita a razão cíclica a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D≤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b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/</m:t>
            </m:r>
            <m:sSub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rPr>
          <w:rFonts w:ascii="Times New Roman" w:hAnsi="Times New Roman" w:cs="Times New Roman"/>
        </w:rPr>
        <w:tab/>
        <w:t>(2)</w:t>
      </w:r>
    </w:p>
    <w:p>
      <w:pPr>
        <w:pStyle w:val="Heading2"/>
      </w:pPr>
      <w:r>
        <w:t>Projeto</w:t>
      </w:r>
    </w:p>
    <w:p>
      <w:pPr>
        <w:pStyle w:val="BodyText"/>
      </w:pPr>
      <w:r>
        <w:t xml:space="preserve">O exemplo converte 200 V em 54 V com 500 W, 20 kHz e D = 0,4, com ondulações de 1,5 A no indutor e 0,27 V no capacitor [1]. Do ganho estático 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 resulta n = 0,675, e o filtro é dimensionado como o de um Buck alimentado por n</w:t>
      </w:r>
      <w:r>
        <w:rPr>
          <w:i/>
        </w:rPr>
        <w:t>V</w:t>
      </w:r>
      <w:r>
        <w:rPr>
          <w:vertAlign w:val="subscript"/>
        </w:rPr>
        <w:t>i</w:t>
      </w:r>
      <w:r>
        <w:t>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(n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−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Lo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08</m:t>
        </m:r>
        <m:r>
          <m:rPr>
            <m:sty m:val="p"/>
          </m:rP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mH</m:t>
        </m:r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Lo</m:t>
                </m:r>
              </m:sub>
            </m:sSub>
          </m:num>
          <m:den>
            <m:r>
              <w:rPr>
                <w:rFonts w:ascii="Cambria Math" w:hAnsi="Cambria Math"/>
              </w:rPr>
              <m:t>8</m:t>
            </m:r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Co</m:t>
                </m:r>
              </m:sub>
            </m:sSub>
          </m:den>
        </m:f>
        <m:r>
          <w:rPr>
            <w:rFonts w:ascii="Cambria Math" w:hAnsi="Cambria Math"/>
          </w:rPr>
          <m:t>=34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μF</m:t>
        </m:r>
      </m:oMath>
      <w:r>
        <w:rPr>
          <w:rFonts w:ascii="Times New Roman" w:hAnsi="Times New Roman" w:cs="Times New Roman"/>
        </w:rPr>
        <w:tab/>
        <w:t>(3)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A resistência série máxima do capacitor vale 0,18 Ω, a carga nominal 5,832 Ω e a indutância magnetizante 13 mH. A chave suporta 400 V e conduz pico de 7,1 A, dos quais 0,31 A são corrente magnetizante.</w:t>
      </w:r>
    </w:p>
    <w:p>
      <w:pPr>
        <w:pStyle w:val="Heading2"/>
      </w:pPr>
      <w:r>
        <w:t>Resultados de simulação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3163899"/>
            <wp:effectExtent l="0" t="0" r="0" b="0"/>
            <wp:docPr id="121" name="fwd-circuit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wd-circuito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Circuitos simulados no PLECS: Forward isolado (acima) e Buck equivalente (abaixo). À direita, os geradores de comando e do degrau de carga e as medições enviadas ao Scope e ao arquivo de dados.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342856"/>
            <wp:effectExtent l="0" t="0" r="0" b="0"/>
            <wp:docPr id="121" name="fwd-degrau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wd-degraus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Tensão e corrente de saída do Forward isolado (vermelho) e do Buck equivalente (azul) nos degraus de carga de (a) 20 % para 100 % e (b) 100 % para 20 %.</w:t>
      </w:r>
    </w:p>
    <w:p>
      <w:pPr>
        <w:pStyle w:val="BodyText"/>
      </w:pPr>
      <w:r>
        <w:t>Os circuitos simulados estão na Fig. 4. A simulação usou o transformador de 100:68:100 espiras do enunciado (n = 0,68) e, para o Buck equivalente, a mesma tensão refletida de 136 V. As respostas da Fig. 5 são idênticas. A tensão de regime, 54,4 V, é exatamente 0,68·200·0,4 e resulta do arredondamento das espiras. O vale de 31,8 V e o pico de 89,6 V concordam com os 31 V e 90 V obtidos no PSIM [1]. A oscilação tem o período da ressonância do filtro, cerca de 1,2 ms, e é bem amortecida no degrau de subida de carga porque a resistência série do capacitor é grande diante da impedância característica do filtro, de 5,6 Ω.</w:t>
      </w:r>
    </w:p>
    <w:p>
      <w:pPr>
        <w:pStyle w:val="Heading1"/>
      </w:pPr>
      <w:r>
        <w:t>Conversor Ponte Completa</w:t>
      </w:r>
    </w:p>
    <w:p>
      <w:pPr>
        <w:pStyle w:val="Heading2"/>
      </w:pPr>
      <w:r>
        <w:t>Análise qualitativa</w:t>
      </w:r>
    </w:p>
    <w:p>
      <w:pPr>
        <w:pStyle w:val="BodyText"/>
      </w:pPr>
      <w:r>
        <w:t xml:space="preserve">O conversor ponte completa é o isolado derivado do Buck mais usado em potências elevadas, de 1 kW a dezenas de quilowatts, em fontes de telecomunicações, carregadores de veículos elétricos e fontes de soldagem. Ele excita o transformador nos dois sentidos com a tensão plena da fonte, usando quatro chaves que suportam apenas </w:t>
      </w:r>
      <w:r>
        <w:rPr>
          <w:i/>
        </w:rPr>
        <w:t>V</w:t>
      </w:r>
      <w:r>
        <w:rPr>
          <w:vertAlign w:val="subscript"/>
        </w:rPr>
        <w:t>i</w:t>
      </w:r>
      <w:r>
        <w:t>, sem enrolamento de desmagnetização e aproveitando os dois quadrantes do laço B-H do núcleo. Em contrapartida, exige comando isolado para as chaves superiores e é sensível a desequilíbrios de tensão-tempo entre os semiciclos, que levam o núcleo à saturação.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1247346"/>
            <wp:effectExtent l="0" t="0" r="0" b="0"/>
            <wp:docPr id="121" name="fb-topologia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b-topologia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Topologia do conversor ponte completa.</w:t>
      </w:r>
    </w:p>
    <w:p>
      <w:pPr>
        <w:pStyle w:val="BodyText"/>
      </w:pPr>
      <w:r>
        <w:t xml:space="preserve">A topologia, na Fig. 6, é formada pela fonte </w:t>
      </w:r>
      <w:r>
        <w:rPr>
          <w:i/>
        </w:rPr>
        <w:t>V</w:t>
      </w:r>
      <w:r>
        <w:rPr>
          <w:vertAlign w:val="subscript"/>
        </w:rPr>
        <w:t>i</w:t>
      </w:r>
      <w:r>
        <w:t>, por dois braços de chaves (</w:t>
      </w:r>
      <w:r>
        <w:rPr>
          <w:i/>
        </w:rPr>
        <w:t>S</w:t>
      </w:r>
      <w:r>
        <w:rPr>
          <w:vertAlign w:val="subscript"/>
        </w:rPr>
        <w:t>1</w:t>
      </w:r>
      <w:r>
        <w:t>–</w:t>
      </w:r>
      <w:r>
        <w:rPr>
          <w:i/>
        </w:rPr>
        <w:t>S</w:t>
      </w:r>
      <w:r>
        <w:rPr>
          <w:vertAlign w:val="subscript"/>
        </w:rPr>
        <w:t>4</w:t>
      </w:r>
      <w:r>
        <w:t xml:space="preserve"> e </w:t>
      </w:r>
      <w:r>
        <w:rPr>
          <w:i/>
        </w:rPr>
        <w:t>S</w:t>
      </w:r>
      <w:r>
        <w:rPr>
          <w:vertAlign w:val="subscript"/>
        </w:rPr>
        <w:t>3</w:t>
      </w:r>
      <w:r>
        <w:t>–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) cujos pontos médios alimentam o primário, pelo transformador de relação a, pelo retificador em ponte </w:t>
      </w:r>
      <w:r>
        <w:rPr>
          <w:i/>
        </w:rPr>
        <w:t>D</w:t>
      </w:r>
      <w:r>
        <w:rPr>
          <w:vertAlign w:val="subscript"/>
        </w:rPr>
        <w:t>1</w:t>
      </w:r>
      <w:r>
        <w:t>–</w:t>
      </w:r>
      <w:r>
        <w:rPr>
          <w:i/>
        </w:rPr>
        <w:t>D</w:t>
      </w:r>
      <w:r>
        <w:rPr>
          <w:vertAlign w:val="subscript"/>
        </w:rPr>
        <w:t>4</w:t>
      </w:r>
      <w:r>
        <w:t xml:space="preserve"> e pelo filtro </w:t>
      </w:r>
      <w:r>
        <w:rPr>
          <w:i/>
        </w:rPr>
        <w:t>L</w:t>
      </w:r>
      <w:r>
        <w:rPr>
          <w:vertAlign w:val="subscript"/>
        </w:rPr>
        <w:t>o</w:t>
      </w:r>
      <w:r>
        <w:t>–</w:t>
      </w:r>
      <w:r>
        <w:rPr>
          <w:i/>
        </w:rPr>
        <w:t>C</w:t>
      </w:r>
      <w:r>
        <w:rPr>
          <w:vertAlign w:val="subscript"/>
        </w:rPr>
        <w:t>o</w:t>
      </w:r>
      <w:r>
        <w:t xml:space="preserve">. As chaves são comandadas em diagonal: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e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 conduzem durante DT e aplicam +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ao primário; meio período depois, </w:t>
      </w:r>
      <w:r>
        <w:rPr>
          <w:i/>
        </w:rPr>
        <w:t>S</w:t>
      </w:r>
      <w:r>
        <w:rPr>
          <w:vertAlign w:val="subscript"/>
        </w:rPr>
        <w:t>3</w:t>
      </w:r>
      <w:r>
        <w:t xml:space="preserve"> e </w:t>
      </w:r>
      <w:r>
        <w:rPr>
          <w:i/>
        </w:rPr>
        <w:t>S</w:t>
      </w:r>
      <w:r>
        <w:rPr>
          <w:vertAlign w:val="subscript"/>
        </w:rPr>
        <w:t>4</w:t>
      </w:r>
      <w:r>
        <w:t xml:space="preserve"> aplicam −</w:t>
      </w:r>
      <w:r>
        <w:rPr>
          <w:i/>
        </w:rPr>
        <w:t>V</w:t>
      </w:r>
      <w:r>
        <w:rPr>
          <w:vertAlign w:val="subscript"/>
        </w:rPr>
        <w:t>i</w:t>
      </w:r>
      <w:r>
        <w:t>. Para que as chaves de um braço nunca conduzam juntas, D &lt; 0,5.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3862261"/>
            <wp:effectExtent l="0" t="0" r="0" b="0"/>
            <wp:docPr id="121" name="fb-form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b-formas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6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Formas de onda teóricas do conversor ponte completa.</w:t>
      </w:r>
    </w:p>
    <w:p>
      <w:pPr>
        <w:pStyle w:val="BodyText"/>
      </w:pPr>
      <w:r>
        <w:t>Nas formas de onda da Fig. 7, a entrada do filtro recebe a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durante cada pulso e zero no restante, e a corrente no indutor é triangular com frequência 2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. A corrente magnetizante é um trapézio simétrico em torno de zero, o que evidencia a desmagnetização natural. Na roda livre os quatro diodos conduzem, cada par com metade da corrente de carga, e cada chave bloqueada fica com </w:t>
      </w:r>
      <w:r>
        <w:rPr>
          <w:i/>
        </w:rPr>
        <w:t>V</w:t>
      </w:r>
      <w:r>
        <w:rPr>
          <w:vertAlign w:val="subscript"/>
        </w:rPr>
        <w:t>i</w:t>
      </w:r>
      <w:r>
        <w:t>/2. A igualdade das áreas de tensão no indutor dá o ganho estático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(a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DT=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(1−2D)</m:t>
            </m:r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=2aD</m:t>
        </m:r>
      </m:oMath>
      <w:r>
        <w:rPr>
          <w:rFonts w:ascii="Times New Roman" w:hAnsi="Times New Roman" w:cs="Times New Roman"/>
        </w:rPr>
        <w:tab/>
        <w:t>(4)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3365500"/>
            <wp:effectExtent l="0" t="0" r="0" b="0"/>
            <wp:docPr id="121" name="fb-etap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b-etapas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Etapas de operação do conversor ponte completa, com o caminho da corrente em destaque: (a) e (c) transferência de energia; (b) e (d) roda livre.</w:t>
      </w:r>
    </w:p>
    <w:p>
      <w:pPr>
        <w:pStyle w:val="BodyText"/>
      </w:pPr>
      <w:r>
        <w:t xml:space="preserve">A Fig. 8 mostra as quatro etapas de um período. Na primeira,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e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 conduzem, </w:t>
      </w:r>
      <w:r>
        <w:rPr>
          <w:i/>
        </w:rPr>
        <w:t>D</w:t>
      </w:r>
      <w:r>
        <w:rPr>
          <w:vertAlign w:val="subscript"/>
        </w:rPr>
        <w:t>1</w:t>
      </w:r>
      <w:r>
        <w:t xml:space="preserve"> e </w:t>
      </w:r>
      <w:r>
        <w:rPr>
          <w:i/>
        </w:rPr>
        <w:t>D</w:t>
      </w:r>
      <w:r>
        <w:rPr>
          <w:vertAlign w:val="subscript"/>
        </w:rPr>
        <w:t>2</w:t>
      </w:r>
      <w:r>
        <w:t xml:space="preserve"> levam a corrente do indutor à carga e o indutor recebe a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− </w:t>
      </w:r>
      <w:r>
        <w:rPr>
          <w:i/>
        </w:rPr>
        <w:t>V</w:t>
      </w:r>
      <w:r>
        <w:rPr>
          <w:vertAlign w:val="subscript"/>
        </w:rPr>
        <w:t>o</w:t>
      </w:r>
      <w:r>
        <w:t>. Na segunda, as chaves são bloqueadas, a corrente do indutor circula pelos quatro diodos, o secundário fica em curto e o indutor recebe −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. A terceira é simétrica à primeira, com </w:t>
      </w:r>
      <w:r>
        <w:rPr>
          <w:i/>
        </w:rPr>
        <w:t>S</w:t>
      </w:r>
      <w:r>
        <w:rPr>
          <w:vertAlign w:val="subscript"/>
        </w:rPr>
        <w:t>3</w:t>
      </w:r>
      <w:r>
        <w:t xml:space="preserve">, </w:t>
      </w:r>
      <w:r>
        <w:rPr>
          <w:i/>
        </w:rPr>
        <w:t>S</w:t>
      </w:r>
      <w:r>
        <w:rPr>
          <w:vertAlign w:val="subscript"/>
        </w:rPr>
        <w:t>4</w:t>
      </w:r>
      <w:r>
        <w:t xml:space="preserve">, </w:t>
      </w:r>
      <w:r>
        <w:rPr>
          <w:i/>
        </w:rPr>
        <w:t>D</w:t>
      </w:r>
      <w:r>
        <w:rPr>
          <w:vertAlign w:val="subscript"/>
        </w:rPr>
        <w:t>3</w:t>
      </w:r>
      <w:r>
        <w:t xml:space="preserve"> e </w:t>
      </w:r>
      <w:r>
        <w:rPr>
          <w:i/>
        </w:rPr>
        <w:t>D</w:t>
      </w:r>
      <w:r>
        <w:rPr>
          <w:vertAlign w:val="subscript"/>
        </w:rPr>
        <w:t>4</w:t>
      </w:r>
      <w:r>
        <w:t>, e excita o núcleo no sentido oposto. A quarta repete a segunda. Como o filtro vê um pulso de amplitude a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e duração DT a cada meio período, o equivalente é um Buck alimentado por a</w:t>
      </w:r>
      <w:r>
        <w:rPr>
          <w:i/>
        </w:rPr>
        <w:t>V</w:t>
      </w:r>
      <w:r>
        <w:rPr>
          <w:vertAlign w:val="subscript"/>
        </w:rPr>
        <w:t>i</w:t>
      </w:r>
      <w:r>
        <w:t>, comutando em 2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 com razão cíclica 2D.</w:t>
      </w:r>
    </w:p>
    <w:p>
      <w:pPr>
        <w:pStyle w:val="Heading2"/>
      </w:pPr>
      <w:r>
        <w:t>Projeto</w:t>
      </w:r>
    </w:p>
    <w:p>
      <w:pPr>
        <w:pStyle w:val="BodyText"/>
      </w:pPr>
      <w:r>
        <w:t xml:space="preserve">O exemplo converte 400 V em 54 V com 5 kW, 20 kHz e D = 0,4 por diagonal [1]. Do ganho, a = 0,169 e </w:t>
      </w:r>
      <w:r>
        <w:rPr>
          <w:i/>
        </w:rPr>
        <w:t>I</w:t>
      </w:r>
      <w:r>
        <w:rPr>
          <w:vertAlign w:val="subscript"/>
        </w:rPr>
        <w:t>o</w:t>
      </w:r>
      <w:r>
        <w:t xml:space="preserve"> = 92,6 A. Na roda livre o indutor recebe −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 durante (1 − 2D)T/2, e o capacitor filtra uma corrente triangular de frequência 2</w:t>
      </w:r>
      <w:r>
        <w:rPr>
          <w:i/>
        </w:rPr>
        <w:t>f</w:t>
      </w:r>
      <w:r>
        <w:rPr>
          <w:vertAlign w:val="subscript"/>
        </w:rPr>
        <w:t>s</w:t>
      </w:r>
      <w:r>
        <w:t>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(0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5−D)</m:t>
            </m:r>
          </m:num>
          <m:den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Lo</m:t>
                </m:r>
              </m:sub>
            </m:sSub>
          </m:den>
        </m:f>
        <m:r>
          <w:rPr>
            <w:rFonts w:ascii="Cambria Math" w:hAnsi="Cambria Math"/>
          </w:rPr>
          <m:t>=14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58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μH,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(1−2D)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32</m:t>
            </m:r>
            <m:sSub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sSubSup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Co</m:t>
                </m:r>
              </m:sub>
            </m:sSub>
          </m:den>
        </m:f>
        <m:r>
          <w:rPr>
            <w:rFonts w:ascii="Cambria Math" w:hAnsi="Cambria Math"/>
          </w:rPr>
          <m:t>=214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μF</m:t>
        </m:r>
      </m:oMath>
      <w:r>
        <w:rPr>
          <w:rFonts w:ascii="Times New Roman" w:hAnsi="Times New Roman" w:cs="Times New Roman"/>
        </w:rPr>
        <w:tab/>
        <w:t>(5)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A resistência série máxima vale 14,6 mΩ e a carga nominal 0,583 Ω. O critério de 2 % para a corrente magnetizante, aplicado com a relação a = 0,169, leva a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= 10,2 mH; o enunciado obtém 2,55 mH por reutilizar a relação do Forward, e o valor de 2,6 mH foi mantido na simulação para permitir a comparação com o material de referência. As chaves suportam 400 V e conduzem pico de 18,7 A; os diodos suportam 67,5 V e conduzem pico de 102 A.</w:t>
      </w:r>
    </w:p>
    <w:p>
      <w:pPr>
        <w:pStyle w:val="Heading2"/>
      </w:pPr>
      <w:r>
        <w:t>Resultados de simulação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3340219"/>
            <wp:effectExtent l="0" t="0" r="0" b="0"/>
            <wp:docPr id="121" name="fb-circuit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b-circuito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3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Circuitos simulados no PLECS: ponte completa isolada (acima) e Buck equivalente de 67,5 V e 40 kHz (abaixo).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342856"/>
            <wp:effectExtent l="0" t="0" r="0" b="0"/>
            <wp:docPr id="121" name="fb-degrau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b-degraus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Tensão e corrente de saída da ponte completa isolada (vermelho) e do Buck equivalente de 67,5 V e 40 kHz (azul) nos degraus de carga de (a) 20 % para 100 % e (b) 100 % para 20 %.</w:t>
      </w:r>
    </w:p>
    <w:p>
      <w:pPr>
        <w:pStyle w:val="BodyText"/>
      </w:pPr>
      <w:r>
        <w:t>Os circuitos simulados estão na Fig. 9, e as curvas da Fig. 10 se sobrepõem. O vale de 40,8 V e o pico de 70,7 V reproduzem os valores de 40 V e 71 V do material de referência [1], e a oscilação tem o período da ressonância do filtro, 0,35 ms, pouco amortecida por operar em malha aberta. A única diferença perceptível, de 0,09 % RMS e 0,78 % no pior instante, ocorre no degrau para 20 % e vem da corrente magnetizante do circuito isolado, que circula pelo retificador e não existe no equivalente.</w:t>
      </w:r>
    </w:p>
    <w:p>
      <w:pPr>
        <w:pStyle w:val="Heading1"/>
      </w:pPr>
      <w:r>
        <w:t>Conversor Push-Pull Alimentado em Corrente</w:t>
      </w:r>
    </w:p>
    <w:p>
      <w:pPr>
        <w:pStyle w:val="Heading2"/>
      </w:pPr>
      <w:r>
        <w:t>Análise qualitativa</w:t>
      </w:r>
    </w:p>
    <w:p>
      <w:pPr>
        <w:pStyle w:val="BodyText"/>
      </w:pPr>
      <w:r>
        <w:t>O push-pull alimentado em corrente é o isolado derivado do Boost. O transformador é alimentado através de um indutor de entrada, o que o torna adequado a fontes de baixa tensão e corrente elevada que precisam ser elevadas, como bancos de baterias, células a combustível e painéis fotovoltaicos. A corrente de entrada é contínua, as duas chaves têm a fonte no mesmo potencial e, por ser alimentado em corrente, o conversor não sofre o desequilíbrio de fluxo do push-pull alimentado em tensão [6]. Em contrapartida, as chaves precisam conduzir com sobreposição, com D &gt; 0,5, e suportam o dobro da tensão refletida.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1566317"/>
            <wp:effectExtent l="0" t="0" r="0" b="0"/>
            <wp:docPr id="121" name="pp-topologia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pp-topologia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56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Topologia do conversor push-pull alimentado em corrente.</w:t>
      </w:r>
    </w:p>
    <w:p>
      <w:pPr>
        <w:pStyle w:val="BodyText"/>
      </w:pPr>
      <w:r>
        <w:t xml:space="preserve">Na Fig. 11, o indutor </w:t>
      </w:r>
      <w:r>
        <w:rPr>
          <w:i/>
        </w:rPr>
        <w:t>L</w:t>
      </w:r>
      <w:r>
        <w:rPr>
          <w:vertAlign w:val="subscript"/>
        </w:rPr>
        <w:t>b</w:t>
      </w:r>
      <w:r>
        <w:t xml:space="preserve"> liga a fonte à derivação central do primário, cujas metades têm </w:t>
      </w:r>
      <w:r>
        <w:rPr>
          <w:i/>
        </w:rPr>
        <w:t>N</w:t>
      </w:r>
      <w:r>
        <w:rPr>
          <w:vertAlign w:val="subscript"/>
        </w:rPr>
        <w:t>p</w:t>
      </w:r>
      <w:r>
        <w:t xml:space="preserve"> espiras cada;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e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 ligam as extremidades do primário ao negativo da fonte; o secundário, de </w:t>
      </w:r>
      <w:r>
        <w:rPr>
          <w:i/>
        </w:rPr>
        <w:t>N</w:t>
      </w:r>
      <w:r>
        <w:rPr>
          <w:vertAlign w:val="subscript"/>
        </w:rPr>
        <w:t>s</w:t>
      </w:r>
      <w:r>
        <w:t xml:space="preserve"> espiras, alimenta um retificador em ponte e um filtro apenas capacitivo. As chaves recebem pulsos de razão cíclica D &gt; 0,5 defasados de meio período, e em cada período há dois intervalos de sobreposição e dois em que só uma chave conduz.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3700868"/>
            <wp:effectExtent l="0" t="0" r="0" b="0"/>
            <wp:docPr id="121" name="pp-form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pp-formas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70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Formas de onda teóricas do conversor push-pull alimentado em corrente.</w:t>
      </w:r>
    </w:p>
    <w:p>
      <w:pPr>
        <w:pStyle w:val="BodyText"/>
      </w:pPr>
      <w:r>
        <w:t xml:space="preserve">Nas sobreposições o primário fica em curto, porque as duas metades se cancelam, e o indutor recebe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; com uma só chave, recebe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− </w:t>
      </w:r>
      <w:r>
        <w:rPr>
          <w:i/>
        </w:rPr>
        <w:t>V</w:t>
      </w:r>
      <w:r>
        <w:rPr>
          <w:vertAlign w:val="subscript"/>
        </w:rPr>
        <w:t>o</w:t>
      </w:r>
      <w:r>
        <w:t>/a. A igualdade das áreas na Fig. 12 dá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(2D−1)</m:t>
            </m:r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d>
          <m:dPr>
            <m:sepChr m:val="−"/>
          </m:dPr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  <m:e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(1−D)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⇒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2(1−D)</m:t>
            </m:r>
          </m:den>
        </m:f>
      </m:oMath>
      <w:r>
        <w:rPr>
          <w:rFonts w:ascii="Times New Roman" w:hAnsi="Times New Roman" w:cs="Times New Roman"/>
        </w:rPr>
        <w:tab/>
        <w:t>(6)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A chave conduz metade da corrente de entrada nas sobreposições e toda ela quando conduz sozinha, e bloqueada suporta 2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/a. Nas sobreposições os quatro diodos ficam bloqueados, cada par com </w:t>
      </w:r>
      <w:r>
        <w:rPr>
          <w:i/>
        </w:rPr>
        <w:t>V</w:t>
      </w:r>
      <w:r>
        <w:rPr>
          <w:vertAlign w:val="subscript"/>
        </w:rPr>
        <w:t>o</w:t>
      </w:r>
      <w:r>
        <w:t>/2, e o capacitor alimenta sozinho a carga.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4445000"/>
            <wp:effectExtent l="0" t="0" r="0" b="0"/>
            <wp:docPr id="121" name="pp-etap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pp-etapas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Etapas de operação do conversor push-pull alimentado em corrente, com o caminho da corrente em destaque: (a) e (c) armazenamento de energia no indutor; (b) e (d) transferência de energia.</w:t>
      </w:r>
    </w:p>
    <w:p>
      <w:pPr>
        <w:pStyle w:val="BodyText"/>
      </w:pPr>
      <w:r>
        <w:t xml:space="preserve">A Fig. 13 mostra as quatro etapas. Na primeira e na terceira as duas chaves conduzem, a corrente do indutor se divide entre as metades do primário, a tensão do transformador é nula e o indutor armazena energia. Na segunda só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conduz: toda a corrente passa pela metade inferior, o transformador é excitado e </w:t>
      </w:r>
      <w:r>
        <w:rPr>
          <w:i/>
        </w:rPr>
        <w:t>D</w:t>
      </w:r>
      <w:r>
        <w:rPr>
          <w:vertAlign w:val="subscript"/>
        </w:rPr>
        <w:t>1</w:t>
      </w:r>
      <w:r>
        <w:t xml:space="preserve"> e </w:t>
      </w:r>
      <w:r>
        <w:rPr>
          <w:i/>
        </w:rPr>
        <w:t>D</w:t>
      </w:r>
      <w:r>
        <w:rPr>
          <w:vertAlign w:val="subscript"/>
        </w:rPr>
        <w:t>2</w:t>
      </w:r>
      <w:r>
        <w:t xml:space="preserve"> entregam a energia à saída. A quarta é simétrica, com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, </w:t>
      </w:r>
      <w:r>
        <w:rPr>
          <w:i/>
        </w:rPr>
        <w:t>D</w:t>
      </w:r>
      <w:r>
        <w:rPr>
          <w:vertAlign w:val="subscript"/>
        </w:rPr>
        <w:t>3</w:t>
      </w:r>
      <w:r>
        <w:t xml:space="preserve"> e </w:t>
      </w:r>
      <w:r>
        <w:rPr>
          <w:i/>
        </w:rPr>
        <w:t>D</w:t>
      </w:r>
      <w:r>
        <w:rPr>
          <w:vertAlign w:val="subscript"/>
        </w:rPr>
        <w:t>4</w:t>
      </w:r>
      <w:r>
        <w:t>, e desmagnetiza o núcleo. As sobreposições fazem o papel da chave fechada de um Boost e ocorrem duas vezes por período; referido ao secundário, o equivalente é um Boost alimentado por a</w:t>
      </w:r>
      <w:r>
        <w:rPr>
          <w:i/>
        </w:rPr>
        <w:t>V</w:t>
      </w:r>
      <w:r>
        <w:rPr>
          <w:vertAlign w:val="subscript"/>
        </w:rPr>
        <w:t>i</w:t>
      </w:r>
      <w:r>
        <w:t>, com indutor a²</w:t>
      </w:r>
      <w:r>
        <w:rPr>
          <w:i/>
        </w:rPr>
        <w:t>L</w:t>
      </w:r>
      <w:r>
        <w:rPr>
          <w:vertAlign w:val="subscript"/>
        </w:rPr>
        <w:t>b</w:t>
      </w:r>
      <w:r>
        <w:t>, frequência 2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 e razão cíclica 2D − 1.</w:t>
      </w:r>
    </w:p>
    <w:p>
      <w:pPr>
        <w:pStyle w:val="Heading2"/>
      </w:pPr>
      <w:r>
        <w:t>Projeto</w:t>
      </w:r>
    </w:p>
    <w:p>
      <w:pPr>
        <w:pStyle w:val="BodyText"/>
      </w:pPr>
      <w:r>
        <w:t xml:space="preserve">O exemplo eleva 54 V para 400 V com 1 kW, 20 kHz e D = 0,7 [1]. Do ganho, a = 4,444, com </w:t>
      </w:r>
      <w:r>
        <w:rPr>
          <w:i/>
        </w:rPr>
        <w:t>I</w:t>
      </w:r>
      <w:r>
        <w:rPr>
          <w:vertAlign w:val="subscript"/>
        </w:rPr>
        <w:t>i</w:t>
      </w:r>
      <w:r>
        <w:t xml:space="preserve"> = 18,5 A e </w:t>
      </w:r>
      <w:r>
        <w:rPr>
          <w:i/>
        </w:rPr>
        <w:t>I</w:t>
      </w:r>
      <w:r>
        <w:rPr>
          <w:vertAlign w:val="subscript"/>
        </w:rPr>
        <w:t>o</w:t>
      </w:r>
      <w:r>
        <w:t xml:space="preserve"> = 2,5 A. Na sobreposição, que dura (2D − 1)T/2, o indutor recebe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e o capacitor fornece sozinho a corrente de carga: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(2D−1)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Li</m:t>
                </m:r>
              </m:sub>
            </m:sSub>
          </m:den>
        </m:f>
        <m:r>
          <w:rPr>
            <w:rFonts w:ascii="Cambria Math" w:hAnsi="Cambria Math"/>
          </w:rPr>
          <m:t>=145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μH,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(2D−1)</m:t>
            </m:r>
            <m:sSub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Δ</m:t>
            </m:r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Co</m:t>
                </m:r>
              </m:sub>
            </m:sSub>
          </m:den>
        </m:f>
        <m:r>
          <w:rPr>
            <w:rFonts w:ascii="Cambria Math" w:hAnsi="Cambria Math"/>
          </w:rPr>
          <m:t>=6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μF</m:t>
        </m:r>
      </m:oMath>
      <w:r>
        <w:rPr>
          <w:rFonts w:ascii="Times New Roman" w:hAnsi="Times New Roman" w:cs="Times New Roman"/>
        </w:rPr>
        <w:tab/>
        <w:t>(7)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>A resistência série máxima, calculada com o pico da corrente do secundário, vale 0,873 Ω, e a carga nominal 160 Ω. As chaves suportam 180 V, 3,3 vezes a tensão de entrada, e conduzem pico de 20,4 A; os diodos suportam 400 V. O equivalente tem 240 V e indutor de 2,88 mH.</w:t>
      </w:r>
    </w:p>
    <w:p>
      <w:pPr>
        <w:pStyle w:val="Heading2"/>
      </w:pPr>
      <w:r>
        <w:t>Resultados de simulação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3902563"/>
            <wp:effectExtent l="0" t="0" r="0" b="0"/>
            <wp:docPr id="121" name="pp-circuit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pp-circuito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9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Circuitos simulados no PLECS: push-pull alimentado em corrente isolado (acima), com o primário de derivação central representado por dois transformadores ideais, e Boost equivalente de 240 V e 40 kHz (abaixo).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342856"/>
            <wp:effectExtent l="0" t="0" r="0" b="0"/>
            <wp:docPr id="121" name="pp-degrau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pp-degraus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Tensão e corrente de saída do push-pull isolado (vermelho) e do Boost equivalente de 240 V, 2,88 mH e 40 kHz (azul) nos degraus de carga de (a) 20 % para 100 % e (b) 100 % para 20 %.</w:t>
      </w:r>
    </w:p>
    <w:p>
      <w:pPr>
        <w:pStyle w:val="BodyText"/>
      </w:pPr>
      <w:r>
        <w:t>Com os circuitos da Fig. 14, as respostas da Fig. 15 também se sobrepõem, com vale de 340,0 V e pico de 466,3 V, contra 338 V e 465 V no material de referência [1]. A oscilação, de cerca de 710 Hz, é a do par de polos do Boost, muito mais lenta que a da ponte porque o indutor refletido é grande. A tensão a plena carga, 398,5 V, é a mesma nos dois circuitos e se deve à perda na resistência série do capacitor, percorrida pela corrente pulsada do retificador; é uma não idealidade que o equivalente também reproduz. A diferença máxima, de 0,34 %, novamente vem da corrente magnetizante.</w:t>
      </w:r>
    </w:p>
    <w:p>
      <w:pPr>
        <w:pStyle w:val="Heading1"/>
      </w:pPr>
      <w:r>
        <w:t>Conversor Flyback de Uma Chave</w:t>
      </w:r>
    </w:p>
    <w:p>
      <w:pPr>
        <w:pStyle w:val="Heading2"/>
      </w:pPr>
      <w:r>
        <w:t>Análise qualitativa</w:t>
      </w:r>
    </w:p>
    <w:p>
      <w:pPr>
        <w:pStyle w:val="BodyText"/>
      </w:pPr>
      <w:r>
        <w:t>O Flyback é o isolado derivado do Buck-Boost e o mais simples de todos: uma chave, um diodo, um capacitor e um componente magnético que é ao mesmo tempo transformador e indutor. Domina as fontes de baixa potência, como carregadores e fontes auxiliares. Os pontos do primário e do secundário estão em lados opostos, e por isso a energia é primeiro armazenada na indutância magnetizante, com a chave fechada, e só depois transferida à carga, com a chave aberta. Toda a energia passa pelo núcleo a cada ciclo, o que limita a potência, e a energia da dispersão exige um grampeador [7].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2284437"/>
            <wp:effectExtent l="0" t="0" r="0" b="0"/>
            <wp:docPr id="121" name="fly-topologia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topologia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8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Topologia do conversor Flyback de uma chave.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445391"/>
            <wp:effectExtent l="0" t="0" r="0" b="0"/>
            <wp:docPr id="121" name="fly-form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formas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4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Formas de onda teóricas do conversor Flyback em modo de condução descontínua.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8122871"/>
            <wp:effectExtent l="0" t="0" r="0" b="0"/>
            <wp:docPr id="121" name="fly-etapa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etapas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12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Etapas de operação do conversor Flyback em modo de condução descontínua: (a) armazenamento de energia; (b) transferência de energia; (c) corrente nula nos indutores.</w:t>
      </w:r>
    </w:p>
    <w:p>
      <w:pPr>
        <w:pStyle w:val="BodyText"/>
      </w:pPr>
      <w:r>
        <w:t xml:space="preserve">A topologia está na Fig. 16, as formas de onda em modo de condução descontínua (MCD) na Fig. 17 e as etapas na Fig. 18. Com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fechada o primário recebe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, a corrente magnetizante cresce linearmente até </w:t>
      </w:r>
      <w:r>
        <w:rPr>
          <w:i/>
        </w:rPr>
        <w:t>V</w:t>
      </w:r>
      <w:r>
        <w:rPr>
          <w:vertAlign w:val="subscript"/>
        </w:rPr>
        <w:t>iDT</w:t>
      </w:r>
      <w:r>
        <w:t>/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e </w:t>
      </w:r>
      <w:r>
        <w:rPr>
          <w:i/>
        </w:rPr>
        <w:t>D</w:t>
      </w:r>
      <w:r>
        <w:rPr>
          <w:vertAlign w:val="subscript"/>
        </w:rPr>
        <w:t>1</w:t>
      </w:r>
      <w:r>
        <w:t xml:space="preserve"> bloqueia com n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+ 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. Com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aberta a corrente passa ao secundário, a tensão do primário se inverte para −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/n e a indutância se descarrega na saída até zerar. No intervalo restante nenhum enrolamento conduz e o capacitor alimenta a carga. Em modo de condução contínua (MCC) a terceira etapa desaparece. Referindo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e a fonte ao secundário obtém-se um Buck-Boost, com ganho que depende do modo de condução: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=n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1−D</m:t>
            </m:r>
          </m:den>
        </m:f>
        <m:r>
          <m:rPr>
            <m:sty m:val="p"/>
          </m:rPr>
          <w:rPr>
            <w:rFonts w:ascii="Cambria Math" w:hAnsi="Cambria Math"/>
          </w:rPr>
          <m:t>  (MCC)</m:t>
        </m:r>
        <m:r>
          <w:rPr>
            <w:rFonts w:ascii="Cambria Math" w:hAnsi="Cambria Math"/>
          </w:rPr>
          <m:t>,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=D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  <m:sSub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  (MCD)</m:t>
        </m:r>
      </m:oMath>
      <w:r>
        <w:rPr>
          <w:rFonts w:ascii="Times New Roman" w:hAnsi="Times New Roman" w:cs="Times New Roman"/>
        </w:rPr>
        <w:tab/>
        <w:t>(8)</w:t>
      </w:r>
    </w:p>
    <w:p>
      <w:pPr>
        <w:pStyle w:val="BodyText"/>
      </w:pPr>
      <w:r>
        <w:t xml:space="preserve">Em MCD o indutor esvazia a cada período e entrega uma energia fixa por ciclo, independentemente da carga. Em malha aberta a tensão de saída sobe até que a potência na carga iguale essa energia, e o indutor deixa de ser uma variável de estado: a dinâmica de saída é de primeira ordem, com constante de tempo próxima de </w:t>
      </w:r>
      <w:r>
        <w:rPr>
          <w:i/>
        </w:rPr>
        <w:t>R</w:t>
      </w:r>
      <w:r>
        <w:rPr>
          <w:vertAlign w:val="subscript"/>
        </w:rPr>
        <w:t>o</w:t>
      </w:r>
      <w:r>
        <w:rPr>
          <w:i/>
        </w:rPr>
        <w:t>C</w:t>
      </w:r>
      <w:r>
        <w:rPr>
          <w:vertAlign w:val="subscript"/>
        </w:rPr>
        <w:t>o</w:t>
      </w:r>
      <w:r>
        <w:t>/2. Em MCC reaparece o par de polos do Buck-Boost.</w:t>
      </w:r>
    </w:p>
    <w:p>
      <w:pPr>
        <w:pStyle w:val="Heading2"/>
      </w:pPr>
      <w:r>
        <w:t>Projeto</w:t>
      </w:r>
    </w:p>
    <w:p>
      <w:pPr>
        <w:pStyle w:val="BodyText"/>
      </w:pPr>
      <w:r>
        <w:t>O exemplo converte 200 V em 54 V com 200 W, 20 kHz e D = 0,4 [1]. A relação de espiras é calculada no modo crítico, fronteira entre os dois modos, e a indutância crítica decorre de igualar a energia armazenada por ciclo à potência:</w:t>
      </w:r>
    </w:p>
    <w:p>
      <w:pPr>
        <w:pStyle w:val="equation"/>
        <w:tabs>
          <w:tab w:val="center" w:pos="115pt"/>
          <w:tab w:val="end" w:pos="243pt"/>
        </w:tabs>
        <w:spacing w:line="11pt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</w:rPr>
          <m:t>n=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f>
          <m:fPr>
            <m:type m:val="bar"/>
          </m:fPr>
          <m:num>
            <m:r>
              <w:rPr>
                <w:rFonts w:ascii="Cambria Math" w:hAnsi="Cambria Math"/>
              </w:rPr>
              <m:t>1−D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405,</m:t>
        </m:r>
        <m:sSub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crit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p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sSub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=800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μH</m:t>
        </m:r>
      </m:oMath>
      <w:r>
        <w:rPr>
          <w:rFonts w:ascii="Times New Roman" w:hAnsi="Times New Roman" w:cs="Times New Roman"/>
        </w:rPr>
        <w:tab/>
        <w:t>(9)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Adota-se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= 0,9·</w:t>
      </w:r>
      <w:r>
        <w:rPr>
          <w:i/>
        </w:rPr>
        <w:t>L</w:t>
      </w:r>
      <w:r>
        <w:rPr>
          <w:vertAlign w:val="subscript"/>
        </w:rPr>
        <w:t>crit</w:t>
      </w:r>
      <w:r>
        <w:t xml:space="preserve"> = 720 µH, que garante MCD em toda a faixa de carga. Durante DT o capacitor fornece sozinho a corrente de carga, o que dá </w:t>
      </w:r>
      <w:r>
        <w:rPr>
          <w:i/>
        </w:rPr>
        <w:t>C</w:t>
      </w:r>
      <w:r>
        <w:rPr>
          <w:vertAlign w:val="subscript"/>
        </w:rPr>
        <w:t>o</w:t>
      </w:r>
      <w:r>
        <w:t xml:space="preserve"> = </w:t>
      </w:r>
      <w:r>
        <w:rPr>
          <w:i/>
        </w:rPr>
        <w:t>I</w:t>
      </w:r>
      <w:r>
        <w:rPr>
          <w:vertAlign w:val="subscript"/>
        </w:rPr>
        <w:t>oD</w:t>
      </w:r>
      <w:r>
        <w:t>/(</w:t>
      </w:r>
      <w:r>
        <w:rPr>
          <w:i/>
        </w:rPr>
        <w:t>f</w:t>
      </w:r>
      <w:r>
        <w:rPr>
          <w:vertAlign w:val="subscript"/>
        </w:rPr>
        <w:t>s</w:t>
      </w:r>
      <w:r>
        <w:t xml:space="preserve">ΔV) = 137,2 µF, com resistência série de 0,044 Ω. Para a simulação em MCC,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é multiplicada por dez, o que mantém o MCC até cerca de 11 % de carga. Um efeito importante do MCD em malha aberta é que, com carga leve, a tensão de saída sobe e a tensão refletida sobre a chave chega a 514 V, contra 340 V a plena carga.</w:t>
      </w:r>
    </w:p>
    <w:p>
      <w:pPr>
        <w:pStyle w:val="Heading2"/>
      </w:pPr>
      <w:r>
        <w:t>Resultados de simulação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6350000" cy="3290674"/>
            <wp:effectExtent l="0" t="0" r="0" b="0"/>
            <wp:docPr id="121" name="fly-circuito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circuito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2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>Circuitos simulados no PLECS: Flyback isolado (acima) e Buck-Boost equivalente (abaixo), cuja saída negativa é medida em relação ao terra para ser comparada com a do isolado.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342856"/>
            <wp:effectExtent l="0" t="0" r="0" b="0"/>
            <wp:docPr id="121" name="fly-mcd-degrau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mcd-degraus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Tensão e corrente de saída do Flyback isolado (vermelho) e do Buck-Boost equivalente (azul) em modo de condução descontínua,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= 720 µH, nos degraus de carga de (a) 20 % para 100 % e (b) 100 % para 20 %.</w:t>
      </w:r>
    </w:p>
    <w:p>
      <w:pPr>
        <w:keepNext/>
        <w:spacing w:before="6pt" w:after="0pt"/>
      </w:pPr>
      <w:r>
        <w:rPr>
          <w:noProof/>
        </w:rPr>
        <w:drawing>
          <wp:inline distT="0" distB="0" distL="0" distR="0">
            <wp:extent cx="3009900" cy="4342856"/>
            <wp:effectExtent l="0" t="0" r="0" b="0"/>
            <wp:docPr id="121" name="fly-mcc-degraus.png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1" name="fly-mcc-degraus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4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Tensão e corrente de saída do Flyback isolado (vermelho) e do Buck-Boost equivalente (azul) em modo de condução contínua,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= 7,2 mH, nos degraus de carga de (a) 20 % para 100 % e (b) 100 % para 20 %.</w:t>
      </w:r>
    </w:p>
    <w:p>
      <w:pPr>
        <w:pStyle w:val="BodyTex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Os circuitos estão na Fig. 19, com </w:t>
      </w:r>
      <w:r>
        <w:rPr>
          <w:i/>
        </w:rPr>
        <w:t>L</w:t>
      </w:r>
      <w:r>
        <w:rPr>
          <w:vertAlign w:val="subscript"/>
        </w:rPr>
        <w:t>m</w:t>
      </w:r>
      <w:r>
        <w:t xml:space="preserve"> = 720 µH em MCD e 7,2 mH em MCC. Em MCD, na Fig. 20, a tensão de saída depende da carga: 127,1 V a 20 % e 56,8 V a 100 %, contra 127,3 V e 56,9 V previstos pela Eq. (8). A resposta é exponencial, sem sobressinal, com acomodação em 4,6 ms no degrau de subida de carga e em 15,1 ms no de descida, na proporção das constantes de tempo </w:t>
      </w:r>
      <w:r>
        <w:rPr>
          <w:i/>
        </w:rPr>
        <w:t>R</w:t>
      </w:r>
      <w:r>
        <w:rPr>
          <w:vertAlign w:val="subscript"/>
        </w:rPr>
        <w:t>o</w:t>
      </w:r>
      <w:r>
        <w:rPr>
          <w:i/>
        </w:rPr>
        <w:t>C</w:t>
      </w:r>
      <w:r>
        <w:rPr>
          <w:vertAlign w:val="subscript"/>
        </w:rPr>
        <w:t>o</w:t>
      </w:r>
      <w:r>
        <w:t>/2 de 1,0 ms e 5,0 ms. O degrau de 100 % para 20 % em MCD, ausente no material de referência, é assim três vezes mais lento que o de subida. Em MCC, na Fig. 21, a tensão é praticamente independente da carga e o transitório é oscilatório, com vale de 42,6 V e pico de 67,5 V, contra 43 V e 67 V no PSIM [1], na frequência do par de polos do Buck-Boost, cerca de 240 Hz. Nos dois modos as respostas do isolado e do equivalente são idênticas, porque no Flyback a corrente magnetizante é a própria corrente do indutor e o equivalente a representa integralmente.</w:t>
      </w:r>
    </w:p>
    <w:p>
      <w:pPr>
        <w:pStyle w:val="Heading1"/>
      </w:pPr>
      <w:r>
        <w:t>Síntese dos Resultados</w:t>
      </w:r>
    </w:p>
    <w:p>
      <w:pPr>
        <w:pStyle w:val="tablehead"/>
        <w:keepNext/>
      </w:pPr>
      <w:r>
        <w:t>Comparação entre conversor isolado e equivalente nos degraus de carga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pt" w:type="dxa"/>
          <w:start w:w="2.50pt" w:type="dxa"/>
          <w:bottom w:w="1pt" w:type="dxa"/>
          <w:end w:w="2.50pt" w:type="dxa"/>
        </w:tblCellMar>
        <w:tblLook w:firstRow="0" w:lastRow="0" w:firstColumn="0" w:lastColumn="0" w:noHBand="0" w:noVBand="0"/>
      </w:tblPr>
      <w:tblGrid>
        <w:gridCol w:w="1500"/>
        <w:gridCol w:w="1400"/>
        <w:gridCol w:w="1500"/>
        <w:gridCol w:w="1500"/>
        <w:gridCol w:w="1300"/>
        <w:gridCol w:w="1400"/>
        <w:gridCol w:w="1400"/>
      </w:tblGrid>
      <w:tr>
        <w:trPr>
          <w:cantSplit/>
          <w:tblHeader/>
          <w:jc w:val="center"/>
        </w:trPr>
        <w:tc>
          <w:tcPr>
            <w:tcW w:w="75.00pt" w:type="dxa"/>
            <w:vAlign w:val="center"/>
          </w:tcPr>
          <w:p>
            <w:pPr>
              <w:pStyle w:val="tablecolhead"/>
              <w:keepNext/>
            </w:pPr>
            <w:r>
              <w:t>Conversor</w:t>
            </w:r>
          </w:p>
        </w:tc>
        <w:tc>
          <w:tcPr>
            <w:tcW w:w="70.00pt" w:type="dxa"/>
            <w:vAlign w:val="center"/>
          </w:tcPr>
          <w:p>
            <w:pPr>
              <w:pStyle w:val="tablecolhead"/>
              <w:keepNext/>
            </w:pP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 xml:space="preserve"> antes / depois (V)</w:t>
            </w:r>
          </w:p>
        </w:tc>
        <w:tc>
          <w:tcPr>
            <w:tcW w:w="75.00pt" w:type="dxa"/>
            <w:vAlign w:val="center"/>
          </w:tcPr>
          <w:p>
            <w:pPr>
              <w:pStyle w:val="tablecolhead"/>
              <w:keepNext/>
            </w:pPr>
            <w:r>
              <w:t xml:space="preserve">Vale de 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, 20 → 100 % (V)</w:t>
            </w:r>
          </w:p>
        </w:tc>
        <w:tc>
          <w:tcPr>
            <w:tcW w:w="75.00pt" w:type="dxa"/>
            <w:vAlign w:val="center"/>
          </w:tcPr>
          <w:p>
            <w:pPr>
              <w:pStyle w:val="tablecolhead"/>
              <w:keepNext/>
            </w:pPr>
            <w:r>
              <w:t xml:space="preserve">Pico de </w:t>
            </w:r>
            <w:r>
              <w:rPr>
                <w:i/>
              </w:rPr>
              <w:t>V</w:t>
            </w:r>
            <w:r>
              <w:rPr>
                <w:vertAlign w:val="subscript"/>
              </w:rPr>
              <w:t>o</w:t>
            </w:r>
            <w:r>
              <w:t>, 100 → 20 % (V)</w:t>
            </w:r>
          </w:p>
        </w:tc>
        <w:tc>
          <w:tcPr>
            <w:tcW w:w="65.00pt" w:type="dxa"/>
            <w:vAlign w:val="center"/>
          </w:tcPr>
          <w:p>
            <w:pPr>
              <w:pStyle w:val="tablecolhead"/>
              <w:keepNext/>
            </w:pPr>
            <w:r>
              <w:t>PSIM [1] (V)</w:t>
            </w:r>
          </w:p>
        </w:tc>
        <w:tc>
          <w:tcPr>
            <w:tcW w:w="70.00pt" w:type="dxa"/>
            <w:vAlign w:val="center"/>
          </w:tcPr>
          <w:p>
            <w:pPr>
              <w:pStyle w:val="tablecolhead"/>
              <w:keepNext/>
            </w:pPr>
            <w:r>
              <w:t>Erro RMS máx.</w:t>
            </w:r>
          </w:p>
        </w:tc>
        <w:tc>
          <w:tcPr>
            <w:tcW w:w="70.00pt" w:type="dxa"/>
            <w:vAlign w:val="center"/>
          </w:tcPr>
          <w:p>
            <w:pPr>
              <w:pStyle w:val="tablecolhead"/>
              <w:keepNext/>
            </w:pPr>
            <w:r>
              <w:t>Erro inst. máx.</w:t>
            </w:r>
          </w:p>
        </w:tc>
      </w:tr>
      <w:tr>
        <w:trPr>
          <w:cantSplit/>
          <w:jc w:val="center"/>
        </w:trPr>
        <w:tc>
          <w:tcPr>
            <w:tcW w:w="7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Forward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54,4 / 54,4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31,8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89,6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31 / 90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</w:tr>
      <w:tr>
        <w:trPr>
          <w:cantSplit/>
          <w:jc w:val="center"/>
        </w:trPr>
        <w:tc>
          <w:tcPr>
            <w:tcW w:w="7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Ponte completa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54,0 / 54,0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40,8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70,7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40 / 71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0,088 %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0,78 %</w:t>
            </w:r>
          </w:p>
        </w:tc>
      </w:tr>
      <w:tr>
        <w:trPr>
          <w:cantSplit/>
          <w:jc w:val="center"/>
        </w:trPr>
        <w:tc>
          <w:tcPr>
            <w:tcW w:w="7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Push-pull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399,7 / 398,5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340,0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466,3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338 / 465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0,064 %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0,34 %</w:t>
            </w:r>
          </w:p>
        </w:tc>
      </w:tr>
      <w:tr>
        <w:trPr>
          <w:cantSplit/>
          <w:jc w:val="center"/>
        </w:trPr>
        <w:tc>
          <w:tcPr>
            <w:tcW w:w="7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Flyback MCD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127,1 / 56,8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sem sobressinal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sem sobressinal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—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</w:tr>
      <w:tr>
        <w:trPr>
          <w:cantSplit/>
          <w:jc w:val="center"/>
        </w:trPr>
        <w:tc>
          <w:tcPr>
            <w:tcW w:w="75.00pt" w:type="dxa"/>
            <w:vAlign w:val="center"/>
          </w:tcPr>
          <w:p>
            <w:pPr>
              <w:pStyle w:val="tablecopy"/>
              <w:keepNext/>
              <w:jc w:val="start"/>
            </w:pPr>
            <w:r>
              <w:t>Flyback MCC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54,0 / 53,9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42,6</w:t>
            </w:r>
          </w:p>
        </w:tc>
        <w:tc>
          <w:tcPr>
            <w:tcW w:w="7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67,5</w:t>
            </w:r>
          </w:p>
        </w:tc>
        <w:tc>
          <w:tcPr>
            <w:tcW w:w="65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43 / 67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  <w:tc>
          <w:tcPr>
            <w:tcW w:w="70.00pt" w:type="dxa"/>
            <w:vAlign w:val="center"/>
          </w:tcPr>
          <w:p>
            <w:pPr>
              <w:pStyle w:val="tablecopy"/>
              <w:keepNext/>
              <w:jc w:val="center"/>
            </w:pPr>
            <w:r>
              <w:t>0,000 %</w:t>
            </w:r>
          </w:p>
        </w:tc>
      </w:tr>
    </w:tbl>
    <w:p>
      <w:pPr>
        <w:pStyle w:val="tablefootnote"/>
        <w:numPr>
          <w:ilvl w:val="0"/>
          <w:numId w:val="0"/>
        </w:numPr>
        <w:ind w:start="0pt" w:firstLine="0pt"/>
        <w:jc w:val="both"/>
        <w:sectPr>
          <w:type w:val="continuous"/>
          <w:pgSz w:w="595.30pt" w:h="841.90pt" w:code="9"/>
          <w:pgMar w:top="54pt" w:right="45.35pt" w:bottom="72pt" w:left="45.35pt" w:header="36pt" w:footer="36pt" w:gutter="0pt"/>
          <w:cols w:space="36pt"/>
          <w:docGrid w:linePitch="360"/>
        </w:sectPr>
      </w:pPr>
      <w:r>
        <w:t xml:space="preserve">Valores médios por período de comutação. Os valores de vale e pico são iguais nos dois circuitos até a primeira casa decimal. Erros: diferença isolado − equivalente em porcentagem do valor final, nas grandezas </w:t>
      </w:r>
      <w:r>
        <w:rPr>
          <w:i/>
        </w:rPr>
        <w:t>V</w:t>
      </w:r>
      <w:r>
        <w:rPr>
          <w:vertAlign w:val="subscript"/>
        </w:rPr>
        <w:t>o</w:t>
      </w:r>
      <w:r>
        <w:t xml:space="preserve"> e </w:t>
      </w:r>
      <w:r>
        <w:rPr>
          <w:i/>
        </w:rPr>
        <w:t>I</w:t>
      </w:r>
      <w:r>
        <w:rPr>
          <w:vertAlign w:val="subscript"/>
        </w:rPr>
        <w:t>o</w:t>
      </w:r>
      <w:r>
        <w:t>.</w:t>
      </w:r>
    </w:p>
    <w:p>
      <w:pPr>
        <w:pStyle w:val="BodyText"/>
      </w:pPr>
      <w:r>
        <w:t>A Tabela II reúne os resultados. Os quatro conversores, e o Flyback nos dois modos, cumprem os três critérios de aceitação com folga. As diferenças se concentram nas topologias em que a corrente magnetizante circula pelo retificador de saída, a ponte completa e o push-pull, e desaparecem naquelas em que ela não passa pelo filtro (Forward) ou é a própria corrente do indutor equivalente (Flyback). Os valores extremos concordam com os do material de referência com diferenças de 1 V a 2 V, compatíveis com a leitura gráfica.</w:t>
      </w:r>
    </w:p>
    <w:p>
      <w:pPr>
        <w:pStyle w:val="BodyText"/>
      </w:pPr>
      <w:r>
        <w:t>A comparação entre as topologias mostra também o compromisso que cada uma faz. O Flyback usa um único semicondutor comandado e nenhum indutor de filtro, mas processa toda a energia no núcleo. O Forward acrescenta o filtro e o terciário e submete a chave a 2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. A ponte completa usa quatro chaves submetidas apenas a </w:t>
      </w:r>
      <w:r>
        <w:rPr>
          <w:i/>
        </w:rPr>
        <w:t>V</w:t>
      </w:r>
      <w:r>
        <w:rPr>
          <w:vertAlign w:val="subscript"/>
        </w:rPr>
        <w:t>i</w:t>
      </w:r>
      <w:r>
        <w:t xml:space="preserve"> e aproveita o núcleo nos dois sentidos, e por isso aparece no exemplo de maior potência. O push-pull alimentado em corrente eleva a tensão com corrente de entrada contínua, ao custo de chaves com o triplo da tensão de entrada.</w:t>
      </w:r>
    </w:p>
    <w:p>
      <w:pPr>
        <w:pStyle w:val="Heading1"/>
      </w:pPr>
      <w:r>
        <w:t>Conclusões</w:t>
      </w:r>
    </w:p>
    <w:p>
      <w:pPr>
        <w:pStyle w:val="BodyText"/>
      </w:pPr>
      <w:r>
        <w:t>Foi verificado, por simulação no PLECS, que o Forward de uma chave, a ponte completa, o push-pull alimentado em corrente e o Flyback de uma chave têm a mesma dinâmica de saída que os seus conversores equivalentes não isolados, referidos ao secundário, diante de degraus de carga de 20 % para 100 % e vice-versa. O erro RMS entre as respostas não passou de 0,09 %, e o erro instantâneo de 0,78 %, ambos atribuídos à corrente magnetizante.</w:t>
      </w:r>
    </w:p>
    <w:p>
      <w:pPr>
        <w:pStyle w:val="BodyText"/>
      </w:pPr>
      <w:r>
        <w:t>Os equivalentes seguem regras gerais simples: a fonte é refletida pela relação de espiras, as indutâncias do primário pelo seu quadrado, e as topologias simétricas comutam no dobro da frequência com razão cíclica efetiva 2D ou 2D − 1. Com isso, os modelos médios e as funções de transferência do Buck, do Boost e do Buck-Boost podem ser usados diretamente no projeto do controle dos conversores isolados, o que era a justificativa do ensaio.</w:t>
      </w:r>
    </w:p>
    <w:p>
      <w:pPr>
        <w:pStyle w:val="BodyText"/>
      </w:pPr>
      <w:r>
        <w:t>A equivalência tem limites claros: ela não representa a corrente magnetizante, o reset do núcleo, as restrições de razão cíclica, os esforços nas chaves do primário nem os efeitos da dispersão, que continuam exigindo o circuito isolado para o dimensionamento. O Flyback mostrou, ainda, que o modo de condução muda qualitativamente a planta, de segunda ordem em MCC para primeira ordem com ganho dependente da carga em MCD, embora a equivalência seja exata nos dois casos. Como continuação natural, propõe-se levantar as funções de transferência sobre os equivalentes, projetar os controladores e repetir o ensaio de degrau em malha fechada.</w:t>
      </w:r>
    </w:p>
    <w:p>
      <w:pPr>
        <w:pStyle w:val="Heading5"/>
      </w:pPr>
      <w:r>
        <w:t>Referências</w:t>
      </w:r>
    </w:p>
    <w:p>
      <w:pPr>
        <w:pStyle w:val="references"/>
      </w:pPr>
      <w:r>
        <w:t>R. P. Torrico Bascopé, Análise de Conversores CC-CC Isolados e Comparação com os Equivalentes (Trabalho 2). Notas de aula de Eletrônica Industrial, Universidade Federal do Ceará, Fortaleza, 2026.</w:t>
      </w:r>
    </w:p>
    <w:p>
      <w:pPr>
        <w:pStyle w:val="references"/>
      </w:pPr>
      <w:r>
        <w:t>R. W. Erickson e D. Maksimović, Fundamentals of Power Electronics, 3rd ed. Cham: Springer, 2020.</w:t>
      </w:r>
    </w:p>
    <w:p>
      <w:pPr>
        <w:pStyle w:val="references"/>
      </w:pPr>
      <w:r>
        <w:t>N. Mohan, T. M. Undeland e W. P. Robbins, Power Electronics: Converters, Applications, and Design, 3rd ed. Hoboken: Wiley, 2003.</w:t>
      </w:r>
    </w:p>
    <w:p>
      <w:pPr>
        <w:pStyle w:val="references"/>
      </w:pPr>
      <w:r>
        <w:t>I. Barbi, Projetos de Fontes Chaveadas, 3. ed. Florianópolis: Edição do Autor, 2015.</w:t>
      </w:r>
    </w:p>
    <w:p>
      <w:pPr>
        <w:pStyle w:val="references"/>
      </w:pPr>
      <w:r>
        <w:t>I. Barbi e D. C. Martins, Conversores CC-CC Básicos Não Isolados, 4. ed. Florianópolis: Edição dos Autores, 2011.</w:t>
      </w:r>
    </w:p>
    <w:p>
      <w:pPr>
        <w:pStyle w:val="references"/>
      </w:pPr>
      <w:r>
        <w:t>M. H. Rashid, Power Electronics: Devices, Circuits, and Applications, 4th ed. Harlow: Pearson, 2014.</w:t>
      </w:r>
    </w:p>
    <w:p>
      <w:pPr>
        <w:pStyle w:val="references"/>
      </w:pPr>
      <w:r>
        <w:t>A. I. Pressman, K. Billings e T. Morey, Switching Power Supply Design, 3rd ed. Nova York: McGraw-Hill, 2009.</w:t>
      </w:r>
    </w:p>
    <w:p>
      <w:pPr>
        <w:pStyle w:val="references"/>
      </w:pPr>
      <w:r>
        <w:t>Plexim GmbH, PLECS User Manual, versão 5.0. Zurique, 2025.</w:t>
      </w:r>
    </w:p>
    <w:p>
      <w:pPr>
        <w:pStyle w:val="references"/>
      </w:pPr>
      <w:r>
        <w:t>R. D. Middlebrook e S. Ćuk, “A general unified approach to modelling switching-converter power stages,” em Proc. IEEE Power Electronics Specialists Conf., 1976, pp. 18–34.</w:t>
      </w:r>
    </w:p>
    <w:p>
      <w:pPr>
        <w:spacing w:after="0pt" w:line="1pt" w:lineRule="exact"/>
        <w:sectPr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sectPr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:rsidR="00B44A76" w:rsidRDefault="00B44A76" w:rsidP="001A3B3D">
      <w:r>
        <w:separator/>
      </w:r>
    </w:p>
  </w:endnote>
  <w:endnote w:type="continuationSeparator" w:id="0">
    <w:p w:rsidR="00B44A76" w:rsidRDefault="00B44A76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:rsidR="00B44A76" w:rsidRDefault="00B44A76" w:rsidP="001A3B3D">
      <w:r>
        <w:separator/>
      </w:r>
    </w:p>
  </w:footnote>
  <w:footnote w:type="continuationSeparator" w:id="0">
    <w:p w:rsidR="00B44A76" w:rsidRDefault="00B44A76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ela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4"/>
  </w:num>
  <w:num w:numId="2">
    <w:abstractNumId w:val="19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8"/>
  </w:num>
  <w:num w:numId="9">
    <w:abstractNumId w:val="20"/>
  </w:num>
  <w:num w:numId="10">
    <w:abstractNumId w:val="15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Relationship Id="rIdImg1" Type="http://purl.oclc.org/ooxml/officeDocument/relationships/image" Target="media/image1.png"/><Relationship Id="rIdImg2" Type="http://purl.oclc.org/ooxml/officeDocument/relationships/image" Target="media/image2.png"/><Relationship Id="rIdImg3" Type="http://purl.oclc.org/ooxml/officeDocument/relationships/image" Target="media/image3.png"/><Relationship Id="rIdImg4" Type="http://purl.oclc.org/ooxml/officeDocument/relationships/image" Target="media/image4.png"/><Relationship Id="rIdImg5" Type="http://purl.oclc.org/ooxml/officeDocument/relationships/image" Target="media/image5.png"/><Relationship Id="rIdImg6" Type="http://purl.oclc.org/ooxml/officeDocument/relationships/image" Target="media/image6.png"/><Relationship Id="rIdImg7" Type="http://purl.oclc.org/ooxml/officeDocument/relationships/image" Target="media/image7.png"/><Relationship Id="rIdImg8" Type="http://purl.oclc.org/ooxml/officeDocument/relationships/image" Target="media/image8.png"/><Relationship Id="rIdImg9" Type="http://purl.oclc.org/ooxml/officeDocument/relationships/image" Target="media/image9.png"/><Relationship Id="rIdImg10" Type="http://purl.oclc.org/ooxml/officeDocument/relationships/image" Target="media/image10.png"/><Relationship Id="rIdImg11" Type="http://purl.oclc.org/ooxml/officeDocument/relationships/image" Target="media/image11.png"/><Relationship Id="rIdImg12" Type="http://purl.oclc.org/ooxml/officeDocument/relationships/image" Target="media/image12.png"/><Relationship Id="rIdImg13" Type="http://purl.oclc.org/ooxml/officeDocument/relationships/image" Target="media/image13.png"/><Relationship Id="rIdImg14" Type="http://purl.oclc.org/ooxml/officeDocument/relationships/image" Target="media/image14.png"/><Relationship Id="rIdImg15" Type="http://purl.oclc.org/ooxml/officeDocument/relationships/image" Target="media/image15.png"/><Relationship Id="rIdImg16" Type="http://purl.oclc.org/ooxml/officeDocument/relationships/image" Target="media/image16.png"/><Relationship Id="rIdImg17" Type="http://purl.oclc.org/ooxml/officeDocument/relationships/image" Target="media/image17.png"/><Relationship Id="rIdImg18" Type="http://purl.oclc.org/ooxml/officeDocument/relationships/image" Target="media/image18.png"/><Relationship Id="rIdImg19" Type="http://purl.oclc.org/ooxml/officeDocument/relationships/image" Target="media/image19.png"/><Relationship Id="rIdImg20" Type="http://purl.oclc.org/ooxml/officeDocument/relationships/image" Target="media/image20.png"/><Relationship Id="rIdImg21" Type="http://purl.oclc.org/ooxml/officeDocument/relationships/image" Target="media/image2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Conversores CC-CC Isolados e Comparação com os Conversores Equivalentes Não Isolados</dc:title>
  <dc:subject>Eletrônica Industrial</dc:subject>
  <dc:creator>Jonatas Manoel Assunção Felix; José Carlos Moreira de Brito Neto</dc:creator>
  <cp:keywords>conversores CC-CC isolados, Forward, ponte completa, push-pull alimentado em corrente, Flyback, conversor equivalente, transformador de alta frequência, degrau de carga, PLECS</cp:keywords>
  <cp:lastModifiedBy>Jonatas Manoel Assunção Felix</cp:lastModifiedBy>
  <cp:revision>3</cp:revision>
  <dcterms:created xsi:type="dcterms:W3CDTF">2019-01-08T18:42:00Z</dcterms:created>
  <dcterms:modified xsi:type="dcterms:W3CDTF">2019-01-08T20:11:00Z</dcterms:modified>
</cp:coreProperties>
</file>