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>
      <w:pPr>
        <w:pStyle w:val="papertitle"/>
        <w:numPr>
          <w:numId w:val="0"/>
        </w:numPr>
        <w:keepNext/>
        <w:widowControl/>
        <w:jc w:val="center"/>
        <w:ind w:firstLine="0pt" w:start="0pt" w:end="0pt"/>
      </w:pPr>
      <w:r>
        <w:rPr>
          <w:color w:val="000000"/>
          <w:lang w:val="pt-BR"/>
        </w:rPr>
        <w:t xml:space="preserve">Projeto de um Carregador de Baterias de 15 A Baseado no Conversor Forward de Duas Chaves</w:t>
      </w:r>
    </w:p>
    <w:p>
      <w:pPr>
        <w:pStyle w:val="Author"/>
        <w:numPr>
          <w:numId w:val="0"/>
        </w:numPr>
        <w:keepNext/>
        <w:widowControl/>
        <w:jc w:val="center"/>
        <w:spacing w:after="1pt" w:before="0pt"/>
        <w:ind w:firstLine="0pt" w:start="0pt" w:end="0pt"/>
      </w:pPr>
      <w:r>
        <w:rPr>
          <w:color w:val="000000"/>
          <w:lang w:val="pt-BR"/>
        </w:rPr>
        <w:t xml:space="preserve">Jonatas Manoel Assunção Felix — 539729</w:t>
      </w:r>
    </w:p>
    <w:p>
      <w:pPr>
        <w:pStyle w:val="Author"/>
        <w:numPr>
          <w:numId w:val="0"/>
        </w:numPr>
        <w:keepNext/>
        <w:widowControl/>
        <w:jc w:val="center"/>
        <w:spacing w:after="1pt" w:before="0pt"/>
        <w:ind w:firstLine="0pt" w:start="0pt" w:end="0pt"/>
      </w:pPr>
      <w:r>
        <w:rPr>
          <w:color w:val="000000"/>
          <w:lang w:val="pt-BR"/>
        </w:rPr>
        <w:t xml:space="preserve">Jose Carlos Moreira de Brito Neto — 536962</w:t>
      </w:r>
    </w:p>
    <w:p>
      <w:pPr>
        <w:pStyle w:val="Author"/>
        <w:numPr>
          <w:numId w:val="0"/>
        </w:numPr>
        <w:keepNext/>
        <w:widowControl/>
        <w:jc w:val="center"/>
        <w:spacing w:after="1pt" w:before="0pt"/>
        <w:ind w:firstLine="0pt" w:start="0pt" w:end="0pt"/>
      </w:pPr>
      <w:r>
        <w:rPr>
          <w:color w:val="000000"/>
          <w:lang w:val="pt-BR"/>
          <w:sz w:val="20"/>
        </w:rPr>
        <w:t xml:space="preserve">Universidade Federal do Ceará — Eletrônica Industrial</w:t>
      </w:r>
    </w:p>
    <w:p>
      <w:pPr>
        <w:pStyle w:val="Author"/>
        <w:numPr>
          <w:numId w:val="0"/>
        </w:numPr>
        <w:widowControl/>
        <w:jc w:val="center"/>
        <w:spacing w:after="12pt" w:before="0pt"/>
        <w:ind w:firstLine="0pt" w:start="0pt" w:end="0pt"/>
        <w:sectPr>
          <w:pgSz w:w="595.30pt" w:h="841.90pt" w:code="9"/>
          <w:pgMar w:top="27pt" w:right="44.65pt" w:bottom="72pt" w:left="44.65pt" w:header="36pt" w:footer="36pt" w:gutter="0pt"/>
          <w:cols w:space="36pt"/>
          <w:docGrid w:linePitch="360"/>
        </w:sectPr>
      </w:pPr>
      <w:r>
        <w:rPr>
          <w:color w:val="000000"/>
          <w:lang w:val="pt-BR"/>
          <w:sz w:val="18"/>
        </w:rPr>
        <w:t xml:space="preserve">Prof. Dr. René Pastor Torrico-Bascopé • Outubro de 2026</w:t>
      </w:r>
    </w:p>
    <w:p>
      <w:pPr>
        <w:pStyle w:val="Abstract"/>
        <w:numPr>
          <w:numId w:val="0"/>
        </w:numPr>
        <w:widowControl/>
        <w:spacing w:after="6pt"/>
        <w:ind w:firstLine="0pt" w:start="0pt" w:end="0pt"/>
      </w:pPr>
      <w:r>
        <w:rPr>
          <w:color w:val="000000"/>
          <w:lang w:val="pt-BR"/>
        </w:rPr>
        <w:t xml:space="preserve">Resumo—Apresenta-se o dimensionamento e a verificação de um carregador isolado de 405 W, com ponte retificadora capacitiva, conversor Forward de duas chaves a 50 kHz e seleção entre controle de tensão e de corrente. A reconstrução dos cálculos identifica divergências no dimensionamento da ESR e na frequência de cruzamento da malha de corrente do material de referência. Adotam-se banco de 4400 µF, limite de duty de 0,45 e compensadores reprojetados. Oito ensaios efetivamente executados no PLECS verificam degraus de carga, três tensões de rede, curto-circuito, recarga emulada, ripple e convergência numérica. A ondulação em 373 Vcc diminui de 0,321 V para 0,166 V. O curto mantém corrente média do indutor de 15 A, mas apresenta descarga capacitiva de aproximadamente 492 A. A análise explicita o pequeno erro de regulação na fronteira CC/CV e distingue a emulação acelerada da bateria de uma previsão eletroquímica de recarga.</w:t>
      </w:r>
    </w:p>
    <w:p>
      <w:pPr>
        <w:pStyle w:val="Keywords"/>
        <w:numPr>
          <w:numId w:val="0"/>
        </w:numPr>
        <w:widowControl/>
        <w:spacing w:after="6pt"/>
        <w:ind w:firstLine="0pt" w:start="0pt" w:end="0pt"/>
      </w:pPr>
      <w:r>
        <w:rPr>
          <w:color w:val="000000"/>
          <w:lang w:val="pt-BR"/>
        </w:rPr>
        <w:t xml:space="preserve">Palavras-chave—Forward de duas chaves; carregador de baterias; controle CC/CV; PLECS; eletrônica de potência.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I. Introdução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Carregadores estacionários devem conciliar limitação de corrente, regulação de tensão e isolamento galvânico. O Forward de duas chaves transfere energia à saída durante a condução simultânea dos MOSFETs e devolve a energia magnetizante ao barramento durante o reset. A configuração limita idealmente a tensão de bloqueio de cada chave à tensão de entrada, mas exige equilíbrio volt-segundo e duty inferior a 0,5 [1], [2].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Este trabalho completa e audita o projeto didático de [1]. Refaz os cálculos, desenvolve magnéticos preliminares, reconstrói as malhas e substitui os ensaios em PSIM por circuitos nativos efetivamente executados no PLECS 5.0.6 [3]. Valores calculados, dados fornecidos e resultados simulados são identificados. A circulação restrita do documento-base é respeitada: as figuras apresentadas são próprias, produzidas a partir dos modelos e dados desta entrega.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redução da ESR resolve a ondulação excessiva, enquanto a transição entre as malhas revela um pequeno desvio de tensão. O projeto funcional é reproduzível, mas não equivale a protótipo físico validado: perdas de comutação, isolação construtiva, proteção instantânea e comportamento eletroquímico permanecem fora do escopo dos ensaios.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1202871"/>
            <wp:docPr id="1001" name="arquitetura" descr="arquitetura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1" name="arquitetura"/>
                    <ns0:cNvPicPr/>
                  </ns0:nvPicPr>
                  <ns0:blipFill>
                    <ns0:blip xmlns:ns0="http://purl.oclc.org/ooxml/drawingml/main" r:embed="rIdArtigo1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1202871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1. Arquitetura do carregador. O seletor CC/CV comanda simultaneamente as duas chaves do Forward.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II. Especificações e critérios</w:t>
      </w:r>
    </w:p>
    <w:p>
      <w:pPr>
        <w:pStyle w:val="tablehead"/>
        <w:numPr>
          <w:numId w:val="0"/>
        </w:numPr>
        <w:keepNext/>
        <w:widowControl/>
        <w:jc w:val="center"/>
        <w:ind w:firstLine="0pt" w:start="0pt" w:end="0pt"/>
      </w:pPr>
      <w:r>
        <w:rPr>
          <w:color w:val="000000"/>
          <w:lang w:val="pt-BR"/>
        </w:rPr>
        <w:t xml:space="preserve">TABELA I — Especificações de projeto</w:t>
      </w:r>
    </w:p>
    <w:tbl>
      <w:tblPr>
        <w:tblW w:w="4680" w:type="dxa"/>
        <w:tblLayout w:type="fixed"/>
        <w:tblBorders>
          <w:top w:val="single" w:sz="4" w:color="888888"/>
          <w:bottom w:val="single" w:sz="4" w:color="888888"/>
          <w:insideH w:val="single" w:sz="4" w:color="888888"/>
        </w:tblBorders>
        <w:tblCellMar>
          <w:top w:w="35" w:type="dxa"/>
          <w:bottom w:w="35" w:type="dxa"/>
          <w:start w:w="50" w:type="dxa"/>
          <w:end w:w="50" w:type="dxa"/>
        </w:tblCellMar>
      </w:tblPr>
      <w:tblGrid>
        <w:gridCol w:w="2200"/>
        <w:gridCol w:w="2480"/>
      </w:tblGrid>
      <w:tr>
        <w:trPr>
          <w:cantSplit/>
          <w:tblHeader/>
        </w:trPr>
        <w:tc>
          <w:tcPr>
            <w:tcW w:w="2200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Grandeza</w:t>
            </w:r>
          </w:p>
        </w:tc>
        <w:tc>
          <w:tcPr>
            <w:tcW w:w="2480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Rede nominal e faixa</w:t>
            </w:r>
          </w:p>
        </w:tc>
        <w:tc>
          <w:tcPr>
            <w:tcW w:w="248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220 V; 176–264 Vrms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Frequência da rede</w:t>
            </w:r>
          </w:p>
        </w:tc>
        <w:tc>
          <w:tcPr>
            <w:tcW w:w="248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60 Hz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Faixa da bateria</w:t>
            </w:r>
          </w:p>
        </w:tc>
        <w:tc>
          <w:tcPr>
            <w:tcW w:w="248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20–27 V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Corrente ajustável</w:t>
            </w:r>
          </w:p>
        </w:tc>
        <w:tc>
          <w:tcPr>
            <w:tcW w:w="248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0–15 A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Potência nominal</w:t>
            </w:r>
          </w:p>
        </w:tc>
        <w:tc>
          <w:tcPr>
            <w:tcW w:w="248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405 W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Comutação</w:t>
            </w:r>
          </w:p>
        </w:tc>
        <w:tc>
          <w:tcPr>
            <w:tcW w:w="248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50 kHz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Referência de corrente</w:t>
            </w:r>
          </w:p>
        </w:tc>
        <w:tc>
          <w:tcPr>
            <w:tcW w:w="248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0–2,5 V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Ripple de projeto</w:t>
            </w:r>
          </w:p>
        </w:tc>
        <w:tc>
          <w:tcPr>
            <w:tcW w:w="248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3 A no indutor; 0,27 V na saída</w:t>
            </w:r>
          </w:p>
        </w:tc>
      </w:tr>
    </w:tbl>
    <w:p>
      <w:pPr>
        <w:pStyle w:val="BodyText"/>
        <w:numPr>
          <w:numId w:val="0"/>
        </w:numPr>
        <w:widowControl/>
        <w:spacing w:after="2pt"/>
      </w:pP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Tabela I reúne os dados de [1]. A corrente de 15 A corresponde a 0,1C para uma bateria de 150 Ah; uma bateria de 7 Ah exige referência próxima de 0,7 A sob esse critério. A referência é ajustável, mas a campanha central usa 15 A. Os 27 V equivalem a 2,25 V por célula num banco de doze células e não constituem tensão universal de equalização. A seleção real depende do fabricante, da temperatura e do regime de uso [8].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Adotam-se como critérios tensão média dentro de ±1% de 27 V, corrente média limitada a 15 A com tolerância de ±2%, ripple até 0,27 Vpp e reset por ciclo. Esses critérios são avaliados separadamente: atender ao ripple não comprova precisão CC/CV, e limitar a média não elimina picos transitórios. O orçamento de entrada de 450 W, obtido com 90% de rendimento, serve ao dimensionamento e não é uma eficiência medida.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III. Retificador e barramento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Emprega-se ponte monofásica e dois capacitores de 470 µF/450 V em paralelo. Na rede mínima, o pico ideal é 248,9016 V. Reservando 10% de ondulação, o vale é 224,0114 V e θ=acos(0,9)=0,451027 rad. Durante a descarga com potência constante, a energia do capacitor fornece [1]:</w:t>
      </w:r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19"/>
                </w:rPr>
                <m:t>C</m:t>
              </m:r>
            </m:e>
            <m:sub>
              <m:r>
                <w:rPr>
                  <w:rFonts w:ascii="Cambria Math" w:hAnsi="Cambria Math"/>
                  <w:sz w:val="19"/>
                </w:rPr>
                <m:t>i</m:t>
              </m:r>
              <m:r>
                <w:rPr>
                  <w:rFonts w:ascii="Cambria Math" w:hAnsi="Cambria Math"/>
                  <w:sz w:val="19"/>
                </w:rPr>
                <m:t>n</m:t>
              </m:r>
            </m:sub>
          </m:sSub>
          <m:r>
            <w:rPr>
              <w:rFonts w:ascii="Cambria Math" w:hAnsi="Cambria Math"/>
              <w:sz w:val="19"/>
            </w:rPr>
            <m:t>=</m:t>
          </m:r>
          <m:f>
            <m:num>
              <m:r>
                <w:rPr>
                  <w:rFonts w:ascii="Cambria Math" w:hAnsi="Cambria Math"/>
                  <w:sz w:val="19"/>
                </w:rPr>
                <m:t>P</m:t>
              </m:r>
              <m:r>
                <w:rPr>
                  <w:rFonts w:ascii="Cambria Math" w:hAnsi="Cambria Math"/>
                  <w:sz w:val="19"/>
                </w:rPr>
                <m:t>(</m:t>
              </m:r>
              <m:r>
                <w:rPr>
                  <w:rFonts w:ascii="Cambria Math" w:hAnsi="Cambria Math"/>
                  <w:sz w:val="19"/>
                </w:rPr>
                <m:t>π</m:t>
              </m:r>
              <m:r>
                <w:rPr>
                  <w:rFonts w:ascii="Cambria Math" w:hAnsi="Cambria Math"/>
                  <w:sz w:val="19"/>
                </w:rPr>
                <m:t>−</m:t>
              </m:r>
              <m:r>
                <w:rPr>
                  <w:rFonts w:ascii="Cambria Math" w:hAnsi="Cambria Math"/>
                  <w:sz w:val="19"/>
                </w:rPr>
                <m:t>θ</m:t>
              </m:r>
              <m:r>
                <w:rPr>
                  <w:rFonts w:ascii="Cambria Math" w:hAnsi="Cambria Math"/>
                  <w:sz w:val="19"/>
                </w:rPr>
                <m:t>)</m:t>
              </m:r>
            </m:num>
            <m:den>
              <m:r>
                <w:rPr>
                  <w:rFonts w:ascii="Cambria Math" w:hAnsi="Cambria Math"/>
                  <w:sz w:val="19"/>
                </w:rPr>
                <m:t>π</m:t>
              </m:r>
              <m:r>
                <w:rPr>
                  <w:rFonts w:ascii="Cambria Math" w:hAnsi="Cambria Math"/>
                  <w:sz w:val="19"/>
                </w:rPr>
                <m:t> 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(</m:t>
              </m:r>
              <m:sSup>
                <m:e>
                  <m:sSub>
                    <m:e>
                      <m:r>
                        <w:rPr>
                          <w:rFonts w:ascii="Cambria Math" w:hAnsi="Cambria Math"/>
                          <w:sz w:val="19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9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19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9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hAnsi="Cambria Math"/>
                          <w:sz w:val="19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9"/>
                        </w:rPr>
                        <m:t>m</m:t>
                      </m:r>
                      <m:r>
                        <w:rPr>
                          <w:rFonts w:ascii="Cambria Math" w:hAnsi="Cambria Math"/>
                          <w:sz w:val="19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19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19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9"/>
                </w:rPr>
                <m:t>)</m:t>
              </m:r>
            </m:den>
          </m:f>
          <m:r>
            <w:rPr>
              <w:rFonts w:ascii="Cambria Math" w:hAnsi="Cambria Math"/>
              <w:sz w:val="19"/>
            </w:rPr>
            <m:t>=</m:t>
          </m:r>
          <m:r>
            <w:rPr>
              <w:rFonts w:ascii="Cambria Math" w:hAnsi="Cambria Math"/>
              <w:sz w:val="19"/>
            </w:rPr>
            <m:t>5</m:t>
          </m:r>
          <m:r>
            <w:rPr>
              <w:rFonts w:ascii="Cambria Math" w:hAnsi="Cambria Math"/>
              <w:sz w:val="19"/>
            </w:rPr>
            <m:t>4</m:t>
          </m:r>
          <m:r>
            <w:rPr>
              <w:rFonts w:ascii="Cambria Math" w:hAnsi="Cambria Math"/>
              <w:sz w:val="19"/>
            </w:rPr>
            <m:t>5</m:t>
          </m:r>
          <m:r>
            <w:rPr>
              <w:rFonts w:ascii="Cambria Math" w:hAnsi="Cambria Math"/>
              <w:sz w:val="19"/>
            </w:rPr>
            <m:t>,</m:t>
          </m:r>
          <m:r>
            <w:rPr>
              <w:rFonts w:ascii="Cambria Math" w:hAnsi="Cambria Math"/>
              <w:sz w:val="19"/>
            </w:rPr>
            <m:t>6</m:t>
          </m:r>
          <m:r>
            <w:rPr>
              <w:rFonts w:ascii="Cambria Math" w:hAnsi="Cambria Math"/>
              <w:sz w:val="19"/>
            </w:rPr>
            <m:t>9</m:t>
          </m:r>
          <m:r>
            <w:rPr>
              <w:rFonts w:ascii="Cambria Math" w:hAnsi="Cambria Math"/>
              <w:sz w:val="19"/>
            </w:rPr>
            <m:t> </m:t>
          </m:r>
          <m:r>
            <w:rPr>
              <w:rFonts w:ascii="Cambria Math" w:hAnsi="Cambria Math"/>
              <w:sz w:val="19"/>
            </w:rPr>
            <m:t>μ</m:t>
          </m:r>
          <m:r>
            <w:rPr>
              <w:rFonts w:ascii="Cambria Math" w:hAnsi="Cambria Math"/>
              <w:sz w:val="19"/>
            </w:rPr>
            <m:t>F</m:t>
          </m:r>
          <m:r>
            <m:t>   (1)</m:t>
          </m:r>
        </m:oMath>
      </m:oMathPara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Com P=450 W e fr=60 Hz, a unidade W/(Hz·V²) resulta em farads. O banco de 940 µF supera o mínimo ideal inclusive com tolerância de −20%, que resulta em 752 µF. A discrepância entre 470 µF na figura do circuito de [1] e 940 µF no dimensionamento é resolvida em favor do banco calculado. O pico na rede máxima é 373,35 V; a classe de 450 V não substitui proteção contra surtos.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Na aproximação de pulso retangular, a corrente equivalente de saída da ponte é 1,9031 A, o tempo de reposição é 1,1964 ms e o pico de recarga é 13,2559 A. Cada diodo apresenta corrente média aproximada de 0,9515 A e eficaz de 3,5516 A. O capacitor apresenta 4,6482 A eficazes no ponto ideal original. Esses esforços dependem do pulso e devem ser revistos para o banco e a impedância efetivos; não aprovam qualquer capacitor de 470 µF.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No PLECS, os diodos da ponte têm queda de 0,7 V e resistência de 10 mΩ. A rede inclui 0,5 Ω e 100 µH, hipóteses explícitas de fonte. O barramento é pré-carregado ao pico menos 1,4 V. Essa condição permite examinar regulação, mas exclui partida a frio e inrush. O fator de potência é calculado por potência ativa dividida por Vrms·Irms, e não apenas por cosφ.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IV. Estágio Forward e magnéticos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A. Ganho e filtro de saída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Quando Q1 e Q2 conduzem, o primário recebe aproximadamente Vbus e o secundário alimenta o filtro. No desligamento, os diodos de reset aplicam tensão negativa ao primário e devolvem energia ao barramento. O diodo de roda livre sustenta a corrente do indutor. Com tensões simétricas de excitação e reset, o tempo de desmagnetização é aproximadamente igual ao tempo ligado [2].</w:t>
      </w:r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r>
            <w:rPr>
              <w:rFonts w:ascii="Cambria Math" w:hAnsi="Cambria Math"/>
              <w:sz w:val="19"/>
            </w:rPr>
            <m:t>n</m:t>
          </m:r>
          <m:r>
            <w:rPr>
              <w:rFonts w:ascii="Cambria Math" w:hAnsi="Cambria Math"/>
              <w:sz w:val="19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  <w:sz w:val="19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s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19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  <w:sz w:val="19"/>
            </w:rPr>
            <m:t>=</m:t>
          </m:r>
          <m:r>
            <w:rPr>
              <w:rFonts w:ascii="Cambria Math" w:hAnsi="Cambria Math"/>
              <w:sz w:val="19"/>
            </w:rPr>
            <m:t>0</m:t>
          </m:r>
          <m:r>
            <w:rPr>
              <w:rFonts w:ascii="Cambria Math" w:hAnsi="Cambria Math"/>
              <w:sz w:val="19"/>
            </w:rPr>
            <m:t>,</m:t>
          </m:r>
          <m:r>
            <w:rPr>
              <w:rFonts w:ascii="Cambria Math" w:hAnsi="Cambria Math"/>
              <w:sz w:val="19"/>
            </w:rPr>
            <m:t>3</m:t>
          </m:r>
          <m:r>
            <w:rPr>
              <w:rFonts w:ascii="Cambria Math" w:hAnsi="Cambria Math"/>
              <w:sz w:val="19"/>
            </w:rPr>
            <m:t>,</m:t>
          </m:r>
          <m:r>
            <w:rPr>
              <w:rFonts w:ascii="Cambria Math" w:hAnsi="Cambria Math"/>
              <w:sz w:val="19"/>
            </w:rPr>
            <m:t> </m:t>
          </m:r>
          <m:r>
            <w:rPr>
              <w:rFonts w:ascii="Cambria Math" w:hAnsi="Cambria Math"/>
              <w:sz w:val="19"/>
            </w:rPr>
            <m:t> </m:t>
          </m:r>
          <m:r>
            <w:rPr>
              <w:rFonts w:ascii="Cambria Math" w:hAnsi="Cambria Math"/>
              <w:sz w:val="19"/>
            </w:rPr>
            <m:t> </m:t>
          </m:r>
          <m:sSub>
            <m:e>
              <m:r>
                <w:rPr>
                  <w:rFonts w:ascii="Cambria Math" w:hAnsi="Cambria Math"/>
                  <w:sz w:val="19"/>
                </w:rPr>
                <m:t>V</m:t>
              </m:r>
            </m:e>
            <m:sub>
              <m:r>
                <w:rPr>
                  <w:rFonts w:ascii="Cambria Math" w:hAnsi="Cambria Math"/>
                  <w:sz w:val="19"/>
                </w:rPr>
                <m:t>o</m:t>
              </m:r>
            </m:sub>
          </m:sSub>
          <m:r>
            <w:rPr>
              <w:rFonts w:ascii="Cambria Math" w:hAnsi="Cambria Math"/>
              <w:sz w:val="19"/>
            </w:rPr>
            <m:t>=</m:t>
          </m:r>
          <m:r>
            <w:rPr>
              <w:rFonts w:ascii="Cambria Math" w:hAnsi="Cambria Math"/>
              <w:sz w:val="19"/>
            </w:rPr>
            <m:t>n</m:t>
          </m:r>
          <m:sSub>
            <m:e>
              <m:r>
                <w:rPr>
                  <w:rFonts w:ascii="Cambria Math" w:hAnsi="Cambria Math"/>
                  <w:sz w:val="19"/>
                </w:rPr>
                <m:t>V</m:t>
              </m:r>
            </m:e>
            <m:sub>
              <m:r>
                <w:rPr>
                  <w:rFonts w:ascii="Cambria Math" w:hAnsi="Cambria Math"/>
                  <w:sz w:val="19"/>
                </w:rPr>
                <m:t>b</m:t>
              </m:r>
              <m:r>
                <w:rPr>
                  <w:rFonts w:ascii="Cambria Math" w:hAnsi="Cambria Math"/>
                  <w:sz w:val="19"/>
                </w:rPr>
                <m:t>u</m:t>
              </m:r>
              <m:r>
                <w:rPr>
                  <w:rFonts w:ascii="Cambria Math" w:hAnsi="Cambria Math"/>
                  <w:sz w:val="19"/>
                </w:rPr>
                <m:t>s</m:t>
              </m:r>
            </m:sub>
          </m:sSub>
          <m:r>
            <w:rPr>
              <w:rFonts w:ascii="Cambria Math" w:hAnsi="Cambria Math"/>
              <w:sz w:val="19"/>
            </w:rPr>
            <m:t>D</m:t>
          </m:r>
          <m:r>
            <m:t>   (2)</m:t>
          </m:r>
        </m:oMath>
      </m:oMathPara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 projeto ideal fornece D=0,4 em 225 V e D=0,241287 em 373 V. Adota-se Dlim=0,45 para acomodar quedas nos diodos, shunt e enrolamentos, mantendo reserva ideal de 10% do período além da excitação e do reset. Uma estimativa de 29 V requeridos no secundário filtrado resulta em D≈0,4296 a 225 V; limitar a 0,4 impediria atingir a especificação com essas perdas.</w:t>
      </w:r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19"/>
                </w:rPr>
                <m:t>L</m:t>
              </m:r>
            </m:e>
            <m:sub>
              <m:r>
                <w:rPr>
                  <w:rFonts w:ascii="Cambria Math" w:hAnsi="Cambria Math"/>
                  <w:sz w:val="19"/>
                </w:rPr>
                <m:t>o</m:t>
              </m:r>
            </m:sub>
          </m:sSub>
          <m:r>
            <w:rPr>
              <w:rFonts w:ascii="Cambria Math" w:hAnsi="Cambria Math"/>
              <w:sz w:val="19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  <w:sz w:val="19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(</m:t>
              </m:r>
              <m:r>
                <w:rPr>
                  <w:rFonts w:ascii="Cambria Math" w:hAnsi="Cambria Math"/>
                  <w:sz w:val="19"/>
                </w:rPr>
                <m:t>1</m:t>
              </m:r>
              <m:r>
                <w:rPr>
                  <w:rFonts w:ascii="Cambria Math" w:hAnsi="Cambria Math"/>
                  <w:sz w:val="19"/>
                </w:rPr>
                <m:t>−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m</m:t>
                  </m:r>
                  <m:r>
                    <w:rPr>
                      <w:rFonts w:ascii="Cambria Math" w:hAnsi="Cambria Math"/>
                      <w:sz w:val="19"/>
                    </w:rPr>
                    <m:t>i</m:t>
                  </m:r>
                  <m:r>
                    <w:rPr>
                      <w:rFonts w:ascii="Cambria Math" w:hAnsi="Cambria Math"/>
                      <w:sz w:val="19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  <w:sz w:val="19"/>
            </w:rPr>
            <m:t>=</m:t>
          </m:r>
          <m:r>
            <w:rPr>
              <w:rFonts w:ascii="Cambria Math" w:hAnsi="Cambria Math"/>
              <w:sz w:val="19"/>
            </w:rPr>
            <m:t>1</m:t>
          </m:r>
          <m:r>
            <w:rPr>
              <w:rFonts w:ascii="Cambria Math" w:hAnsi="Cambria Math"/>
              <w:sz w:val="19"/>
            </w:rPr>
            <m:t>3</m:t>
          </m:r>
          <m:r>
            <w:rPr>
              <w:rFonts w:ascii="Cambria Math" w:hAnsi="Cambria Math"/>
              <w:sz w:val="19"/>
            </w:rPr>
            <m:t>6</m:t>
          </m:r>
          <m:r>
            <w:rPr>
              <w:rFonts w:ascii="Cambria Math" w:hAnsi="Cambria Math"/>
              <w:sz w:val="19"/>
            </w:rPr>
            <m:t>,</m:t>
          </m:r>
          <m:r>
            <w:rPr>
              <w:rFonts w:ascii="Cambria Math" w:hAnsi="Cambria Math"/>
              <w:sz w:val="19"/>
            </w:rPr>
            <m:t>5</m:t>
          </m:r>
          <m:r>
            <w:rPr>
              <w:rFonts w:ascii="Cambria Math" w:hAnsi="Cambria Math"/>
              <w:sz w:val="19"/>
            </w:rPr>
            <m:t>6</m:t>
          </m:r>
          <m:r>
            <w:rPr>
              <w:rFonts w:ascii="Cambria Math" w:hAnsi="Cambria Math"/>
              <w:sz w:val="19"/>
            </w:rPr>
            <m:t>8</m:t>
          </m:r>
          <m:r>
            <w:rPr>
              <w:rFonts w:ascii="Cambria Math" w:hAnsi="Cambria Math"/>
              <w:sz w:val="19"/>
            </w:rPr>
            <m:t> </m:t>
          </m:r>
          <m:r>
            <w:rPr>
              <w:rFonts w:ascii="Cambria Math" w:hAnsi="Cambria Math"/>
              <w:sz w:val="19"/>
            </w:rPr>
            <m:t>μ</m:t>
          </m:r>
          <m:r>
            <w:rPr>
              <w:rFonts w:ascii="Cambria Math" w:hAnsi="Cambria Math"/>
              <w:sz w:val="19"/>
            </w:rPr>
            <m:t>H</m:t>
          </m:r>
          <m:r>
            <m:t>   (3)</m:t>
          </m:r>
        </m:oMath>
      </m:oMathPara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Adota-se Lo=136,6 µH. O pico ideal em 15 A é 16,5 A e a corrente eficaz é 15,025 A. A carga de 20%, correspondente a 3 A, permanece em CCM pelo critério ideal Io&gt;ΔIL/2. A cauda de recarga entra em DCM e exige interpretação distinta das plantas lineares em CCM.</w:t>
      </w:r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19"/>
                </w:rPr>
                <m:t>C</m:t>
              </m:r>
            </m:e>
            <m:sub>
              <m:r>
                <w:rPr>
                  <w:rFonts w:ascii="Cambria Math" w:hAnsi="Cambria Math"/>
                  <w:sz w:val="19"/>
                </w:rPr>
                <m:t>m</m:t>
              </m:r>
              <m:r>
                <w:rPr>
                  <w:rFonts w:ascii="Cambria Math" w:hAnsi="Cambria Math"/>
                  <w:sz w:val="19"/>
                </w:rPr>
                <m:t>i</m:t>
              </m:r>
              <m:r>
                <w:rPr>
                  <w:rFonts w:ascii="Cambria Math" w:hAnsi="Cambria Math"/>
                  <w:sz w:val="19"/>
                </w:rPr>
                <m:t>n</m:t>
              </m:r>
            </m:sub>
          </m:sSub>
          <m:r>
            <w:rPr>
              <w:rFonts w:ascii="Cambria Math" w:hAnsi="Cambria Math"/>
              <w:sz w:val="19"/>
            </w:rPr>
            <m:t>=</m:t>
          </m:r>
          <m:f>
            <m:num>
              <m:r>
                <w:rPr>
                  <w:rFonts w:ascii="Cambria Math" w:hAnsi="Cambria Math"/>
                  <w:sz w:val="19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  <w:sz w:val="19"/>
                </w:rPr>
                <m:t>8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  <w:sz w:val="19"/>
            </w:rPr>
            <m:t>=</m:t>
          </m:r>
          <m:r>
            <w:rPr>
              <w:rFonts w:ascii="Cambria Math" w:hAnsi="Cambria Math"/>
              <w:sz w:val="19"/>
            </w:rPr>
            <m:t>2</m:t>
          </m:r>
          <m:r>
            <w:rPr>
              <w:rFonts w:ascii="Cambria Math" w:hAnsi="Cambria Math"/>
              <w:sz w:val="19"/>
            </w:rPr>
            <m:t>7</m:t>
          </m:r>
          <m:r>
            <w:rPr>
              <w:rFonts w:ascii="Cambria Math" w:hAnsi="Cambria Math"/>
              <w:sz w:val="19"/>
            </w:rPr>
            <m:t>,</m:t>
          </m:r>
          <m:r>
            <w:rPr>
              <w:rFonts w:ascii="Cambria Math" w:hAnsi="Cambria Math"/>
              <w:sz w:val="19"/>
            </w:rPr>
            <m:t>7</m:t>
          </m:r>
          <m:r>
            <w:rPr>
              <w:rFonts w:ascii="Cambria Math" w:hAnsi="Cambria Math"/>
              <w:sz w:val="19"/>
            </w:rPr>
            <m:t>7</m:t>
          </m:r>
          <m:r>
            <w:rPr>
              <w:rFonts w:ascii="Cambria Math" w:hAnsi="Cambria Math"/>
              <w:sz w:val="19"/>
            </w:rPr>
            <m:t>8</m:t>
          </m:r>
          <m:r>
            <w:rPr>
              <w:rFonts w:ascii="Cambria Math" w:hAnsi="Cambria Math"/>
              <w:sz w:val="19"/>
            </w:rPr>
            <m:t> </m:t>
          </m:r>
          <m:r>
            <w:rPr>
              <w:rFonts w:ascii="Cambria Math" w:hAnsi="Cambria Math"/>
              <w:sz w:val="19"/>
            </w:rPr>
            <m:t>μ</m:t>
          </m:r>
          <m:r>
            <w:rPr>
              <w:rFonts w:ascii="Cambria Math" w:hAnsi="Cambria Math"/>
              <w:sz w:val="19"/>
            </w:rPr>
            <m:t>F</m:t>
          </m:r>
          <m:r>
            <m:t>   (4)</m:t>
          </m:r>
        </m:oMath>
      </m:oMathPara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r>
            <w:rPr>
              <w:rFonts w:ascii="Cambria Math" w:hAnsi="Cambria Math"/>
              <w:sz w:val="19"/>
            </w:rPr>
            <m:t>Δ</m:t>
          </m:r>
          <m:sSub>
            <m:e>
              <m:r>
                <w:rPr>
                  <w:rFonts w:ascii="Cambria Math" w:hAnsi="Cambria Math"/>
                  <w:sz w:val="19"/>
                </w:rPr>
                <m:t>V</m:t>
              </m:r>
            </m:e>
            <m:sub>
              <m:r>
                <w:rPr>
                  <w:rFonts w:ascii="Cambria Math" w:hAnsi="Cambria Math"/>
                  <w:sz w:val="19"/>
                </w:rPr>
                <m:t>o</m:t>
              </m:r>
            </m:sub>
          </m:sSub>
          <m:r>
            <w:rPr>
              <w:rFonts w:ascii="Cambria Math" w:hAnsi="Cambria Math"/>
              <w:sz w:val="19"/>
            </w:rPr>
            <m:t>≤</m:t>
          </m:r>
          <m:r>
            <w:rPr>
              <w:rFonts w:ascii="Cambria Math" w:hAnsi="Cambria Math"/>
              <w:sz w:val="19"/>
            </w:rPr>
            <m:t>Δ</m:t>
          </m:r>
          <m:sSub>
            <m:e>
              <m:r>
                <w:rPr>
                  <w:rFonts w:ascii="Cambria Math" w:hAnsi="Cambria Math"/>
                  <w:sz w:val="19"/>
                </w:rPr>
                <m:t>I</m:t>
              </m:r>
            </m:e>
            <m:sub>
              <m:r>
                <w:rPr>
                  <w:rFonts w:ascii="Cambria Math" w:hAnsi="Cambria Math"/>
                  <w:sz w:val="19"/>
                </w:rPr>
                <m:t>L</m:t>
              </m:r>
            </m:sub>
          </m:sSub>
          <m:r>
            <w:rPr>
              <w:rFonts w:ascii="Cambria Math" w:hAnsi="Cambria Math"/>
              <w:sz w:val="19"/>
            </w:rPr>
            <m:t>(</m:t>
          </m:r>
          <m:r>
            <w:rPr>
              <w:rFonts w:ascii="Cambria Math" w:hAnsi="Cambria Math"/>
              <w:sz w:val="19"/>
            </w:rPr>
            <m:t>r</m:t>
          </m:r>
          <m:r>
            <w:rPr>
              <w:rFonts w:ascii="Cambria Math" w:hAnsi="Cambria Math"/>
              <w:sz w:val="19"/>
            </w:rPr>
            <m:t>+</m:t>
          </m:r>
          <m:f>
            <m:num>
              <m:r>
                <w:rPr>
                  <w:rFonts w:ascii="Cambria Math" w:hAnsi="Cambria Math"/>
                  <w:sz w:val="19"/>
                </w:rPr>
                <m:t>1</m:t>
              </m:r>
            </m:num>
            <m:den>
              <m:r>
                <w:rPr>
                  <w:rFonts w:ascii="Cambria Math" w:hAnsi="Cambria Math"/>
                  <w:sz w:val="19"/>
                </w:rPr>
                <m:t>8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C</m:t>
              </m:r>
            </m:den>
          </m:f>
          <m:r>
            <w:rPr>
              <w:rFonts w:ascii="Cambria Math" w:hAnsi="Cambria Math"/>
              <w:sz w:val="19"/>
            </w:rPr>
            <m:t>)</m:t>
          </m:r>
          <m:r>
            <m:t>   (5)</m:t>
          </m:r>
        </m:oMath>
      </m:oMathPara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última expressão soma conservadoramente as parcelas resistiva e capacitiva, cujos máximos não precisam ser simultâneos. Para 2200 µF e ESR de 0,11 Ω, a estimativa é 0,33341 Vpp, acima de 0,27 V. Adotam-se dois capacitores de 2200 µF/50 V em paralelo, totalizando 4400 µF e 55 mΩ, com previsão de 0,16670 Vpp para ΔIL=3 A.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 catálogo B41821F6228M*** informa ESR máxima de 0,11 Ω a 120 Hz e 20 °C [4]. Usar esse valor constante a 50 kHz é hipótese de engenharia, não medição nessa frequência. A ondulação triangular de 3 A representa 0,866 A eficazes no banco, ou 0,433 A por capacitor com compartilhamento ideal. Transientes e temperatura exigem análise adicional.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B. Dimensionamento preliminar dos magnéticos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Para o transformador seleciona-se ETD59/31/22 em N87, com Ae=368 mm², AL=5300 nH e janela de 365,6 mm² [5]. O limite de excursão de fluxo de 0,18 T no pior produto Vbus·D fornece Np mínimo de 50,68 espiras. Adotam-se Np=60 e Ns=18, com Lm=19,08 mH. A excursão máxima em 373 V e duty 0,45 é 0,1520 T; no ponto ideal regulado é 0,0815 T.</w:t>
      </w:r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r>
            <w:rPr>
              <w:rFonts w:ascii="Cambria Math" w:hAnsi="Cambria Math"/>
              <w:sz w:val="19"/>
            </w:rPr>
            <m:t>Δ</m:t>
          </m:r>
          <m:r>
            <w:rPr>
              <w:rFonts w:ascii="Cambria Math" w:hAnsi="Cambria Math"/>
              <w:sz w:val="19"/>
            </w:rPr>
            <m:t>B</m:t>
          </m:r>
          <m:r>
            <w:rPr>
              <w:rFonts w:ascii="Cambria Math" w:hAnsi="Cambria Math"/>
              <w:sz w:val="19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  <w:sz w:val="19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b</m:t>
                  </m:r>
                  <m:r>
                    <w:rPr>
                      <w:rFonts w:ascii="Cambria Math" w:hAnsi="Cambria Math"/>
                      <w:sz w:val="19"/>
                    </w:rPr>
                    <m:t>u</m:t>
                  </m:r>
                  <m:r>
                    <w:rPr>
                      <w:rFonts w:ascii="Cambria Math" w:hAnsi="Cambria Math"/>
                      <w:sz w:val="19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D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19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19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p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19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  <w:sz w:val="19"/>
            </w:rPr>
            <m:t>,</m:t>
          </m:r>
          <m:r>
            <w:rPr>
              <w:rFonts w:ascii="Cambria Math" w:hAnsi="Cambria Math"/>
              <w:sz w:val="19"/>
            </w:rPr>
            <m:t> </m:t>
          </m:r>
          <m:r>
            <w:rPr>
              <w:rFonts w:ascii="Cambria Math" w:hAnsi="Cambria Math"/>
              <w:sz w:val="19"/>
            </w:rPr>
            <m:t> </m:t>
          </m:r>
          <m:r>
            <w:rPr>
              <w:rFonts w:ascii="Cambria Math" w:hAnsi="Cambria Math"/>
              <w:sz w:val="19"/>
            </w:rPr>
            <m:t> </m:t>
          </m:r>
          <m:sSub>
            <m:e>
              <m:r>
                <w:rPr>
                  <w:rFonts w:ascii="Cambria Math" w:hAnsi="Cambria Math"/>
                  <w:sz w:val="19"/>
                </w:rPr>
                <m:t>L</m:t>
              </m:r>
            </m:e>
            <m:sub>
              <m:r>
                <w:rPr>
                  <w:rFonts w:ascii="Cambria Math" w:hAnsi="Cambria Math"/>
                  <w:sz w:val="19"/>
                </w:rPr>
                <m:t>m</m:t>
              </m:r>
            </m:sub>
          </m:sSub>
          <m:r>
            <w:rPr>
              <w:rFonts w:ascii="Cambria Math" w:hAnsi="Cambria Math"/>
              <w:sz w:val="19"/>
            </w:rPr>
            <m:t>=</m:t>
          </m:r>
          <m:sSub>
            <m:e>
              <m:r>
                <w:rPr>
                  <w:rFonts w:ascii="Cambria Math" w:hAnsi="Cambria Math"/>
                  <w:sz w:val="19"/>
                </w:rPr>
                <m:t>A</m:t>
              </m:r>
            </m:e>
            <m:sub>
              <m:r>
                <w:rPr>
                  <w:rFonts w:ascii="Cambria Math" w:hAnsi="Cambria Math"/>
                  <w:sz w:val="19"/>
                </w:rPr>
                <m:t>L</m:t>
              </m:r>
            </m:sub>
          </m:sSub>
          <m:sSup>
            <m:e>
              <m:sSub>
                <m:e>
                  <m:r>
                    <w:rPr>
                      <w:rFonts w:ascii="Cambria Math" w:hAnsi="Cambria Math"/>
                      <w:sz w:val="19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p</m:t>
                  </m:r>
                </m:sub>
              </m:sSub>
            </m:e>
            <m:sup>
              <m:r>
                <w:rPr>
                  <w:rFonts w:ascii="Cambria Math" w:hAnsi="Cambria Math"/>
                  <w:sz w:val="19"/>
                </w:rPr>
                <m:t>2</m:t>
              </m:r>
            </m:sup>
          </m:sSup>
          <m:r>
            <m:t>   (6)</m:t>
          </m:r>
        </m:oMath>
      </m:oMathPara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Propõem-se dez fios de 0,32 mm em paralelo no primário e 33 no secundário, áreas de cobre de 0,804 e 2,654 mm². A ocupação estimada de cobre é 26,3% da janela, antes de avaliar isolação e terminais. As resistências a 20 °C são 0,1365 Ω e 0,01241 Ω; as perdas de cobre de primeira ordem são 2,51 W no limite de duty 0,45. Perdas AC, proximidade e núcleo não estão incluídas.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Para Lo, escolhe-se E65/32/27DG N87 com AL=100 nH, Ae=535 mm² e área mínima de 529 mm² [6]. Com 37 espiras, obtém-se 136,9 µH, diferença de 0,22% para o modelo. Um feixe de 48 fios de 0,32 mm fornece 3,860 mm² e ocupação de 33,5%. A resistência DC estimada é 31,06 mΩ, superior aos 20 mΩ agregados simulados, impedindo usar o circuito como balanço térmico final. No pico de curto de 20,991 A, o fluxo calculado é 0,1468 T, ou 0,1615 T com indutância +10%. O indutor simulado é linear e não valida saturação real.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C. Esforços e componentes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Cada MOSFET bloqueia aproximadamente Vbus e conduz nIL+Im. A classe preliminar é de pelo menos 600 V e 10 A, sujeita a SOA, dissipação e parasitas. Os diodos de saída devem suportar aproximadamente 112 V reversos ideais; considera-se classe de 200 V e 25–30 A como ponto de partida. O diodo de bloqueio impede retorno da bateria ao estágio, mas dissipa pelo menos 10,5 W sob queda de 0,7 V em 15 A e não impede descarga do capacitor num curto. A seleção final exige análise térmica e de recuperação reversa.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V. Modelagem e controle CC/CV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A. Plantas e compensadores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tensão média aplicada ao filtro permite modelar a pequena perturbação em CCM. Para carga R, capacitância C e ESR r, definem-se:</w:t>
      </w:r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19"/>
                </w:rPr>
                <m:t>D</m:t>
              </m:r>
            </m:e>
            <m:sub>
              <m:r>
                <w:rPr>
                  <w:rFonts w:ascii="Cambria Math" w:hAnsi="Cambria Math"/>
                  <w:sz w:val="19"/>
                </w:rPr>
                <m:t>p</m:t>
              </m:r>
            </m:sub>
          </m:sSub>
          <m:r>
            <w:rPr>
              <w:rFonts w:ascii="Cambria Math" w:hAnsi="Cambria Math"/>
              <w:sz w:val="19"/>
            </w:rPr>
            <m:t>(</m:t>
          </m:r>
          <m:r>
            <w:rPr>
              <w:rFonts w:ascii="Cambria Math" w:hAnsi="Cambria Math"/>
              <w:sz w:val="19"/>
            </w:rPr>
            <m:t>s</m:t>
          </m:r>
          <m:r>
            <w:rPr>
              <w:rFonts w:ascii="Cambria Math" w:hAnsi="Cambria Math"/>
              <w:sz w:val="19"/>
            </w:rPr>
            <m:t>)</m:t>
          </m:r>
          <m:r>
            <w:rPr>
              <w:rFonts w:ascii="Cambria Math" w:hAnsi="Cambria Math"/>
              <w:sz w:val="19"/>
            </w:rPr>
            <m:t>=</m:t>
          </m:r>
          <m:r>
            <w:rPr>
              <w:rFonts w:ascii="Cambria Math" w:hAnsi="Cambria Math"/>
              <w:sz w:val="19"/>
            </w:rPr>
            <m:t>L</m:t>
          </m:r>
          <m:r>
            <w:rPr>
              <w:rFonts w:ascii="Cambria Math" w:hAnsi="Cambria Math"/>
              <w:sz w:val="19"/>
            </w:rPr>
            <m:t>C</m:t>
          </m:r>
          <m:r>
            <w:rPr>
              <w:rFonts w:ascii="Cambria Math" w:hAnsi="Cambria Math"/>
              <w:sz w:val="19"/>
            </w:rPr>
            <m:t>(</m:t>
          </m:r>
          <m:r>
            <w:rPr>
              <w:rFonts w:ascii="Cambria Math" w:hAnsi="Cambria Math"/>
              <w:sz w:val="19"/>
            </w:rPr>
            <m:t>1</m:t>
          </m:r>
          <m:r>
            <w:rPr>
              <w:rFonts w:ascii="Cambria Math" w:hAnsi="Cambria Math"/>
              <w:sz w:val="19"/>
            </w:rPr>
            <m:t>+</m:t>
          </m:r>
          <m:r>
            <w:rPr>
              <w:rFonts w:ascii="Cambria Math" w:hAnsi="Cambria Math"/>
              <w:sz w:val="19"/>
            </w:rPr>
            <m:t>r</m:t>
          </m:r>
          <m:r>
            <w:rPr>
              <w:rFonts w:ascii="Cambria Math" w:hAnsi="Cambria Math"/>
              <w:sz w:val="19"/>
            </w:rPr>
            <m:t>/</m:t>
          </m:r>
          <m:r>
            <w:rPr>
              <w:rFonts w:ascii="Cambria Math" w:hAnsi="Cambria Math"/>
              <w:sz w:val="19"/>
            </w:rPr>
            <m:t>R</m:t>
          </m:r>
          <m:r>
            <w:rPr>
              <w:rFonts w:ascii="Cambria Math" w:hAnsi="Cambria Math"/>
              <w:sz w:val="19"/>
            </w:rPr>
            <m:t>)</m:t>
          </m:r>
          <m:sSup>
            <m:e>
              <m:r>
                <w:rPr>
                  <w:rFonts w:ascii="Cambria Math" w:hAnsi="Cambria Math"/>
                  <w:sz w:val="19"/>
                </w:rPr>
                <m:t>s</m:t>
              </m:r>
            </m:e>
            <m:sup>
              <m:r>
                <w:rPr>
                  <w:rFonts w:ascii="Cambria Math" w:hAnsi="Cambria Math"/>
                  <w:sz w:val="19"/>
                </w:rPr>
                <m:t>2</m:t>
              </m:r>
            </m:sup>
          </m:sSup>
          <m:r>
            <w:rPr>
              <w:rFonts w:ascii="Cambria Math" w:hAnsi="Cambria Math"/>
              <w:sz w:val="19"/>
            </w:rPr>
            <m:t>+</m:t>
          </m:r>
          <m:r>
            <w:rPr>
              <w:rFonts w:ascii="Cambria Math" w:hAnsi="Cambria Math"/>
              <w:sz w:val="19"/>
            </w:rPr>
            <m:t>(</m:t>
          </m:r>
          <m:r>
            <w:rPr>
              <w:rFonts w:ascii="Cambria Math" w:hAnsi="Cambria Math"/>
              <w:sz w:val="19"/>
            </w:rPr>
            <m:t>L</m:t>
          </m:r>
          <m:r>
            <w:rPr>
              <w:rFonts w:ascii="Cambria Math" w:hAnsi="Cambria Math"/>
              <w:sz w:val="19"/>
            </w:rPr>
            <m:t>/</m:t>
          </m:r>
          <m:r>
            <w:rPr>
              <w:rFonts w:ascii="Cambria Math" w:hAnsi="Cambria Math"/>
              <w:sz w:val="19"/>
            </w:rPr>
            <m:t>R</m:t>
          </m:r>
          <m:r>
            <w:rPr>
              <w:rFonts w:ascii="Cambria Math" w:hAnsi="Cambria Math"/>
              <w:sz w:val="19"/>
            </w:rPr>
            <m:t>+</m:t>
          </m:r>
          <m:r>
            <w:rPr>
              <w:rFonts w:ascii="Cambria Math" w:hAnsi="Cambria Math"/>
              <w:sz w:val="19"/>
            </w:rPr>
            <m:t>C</m:t>
          </m:r>
          <m:r>
            <w:rPr>
              <w:rFonts w:ascii="Cambria Math" w:hAnsi="Cambria Math"/>
              <w:sz w:val="19"/>
            </w:rPr>
            <m:t>r</m:t>
          </m:r>
          <m:r>
            <w:rPr>
              <w:rFonts w:ascii="Cambria Math" w:hAnsi="Cambria Math"/>
              <w:sz w:val="19"/>
            </w:rPr>
            <m:t>)</m:t>
          </m:r>
          <m:r>
            <w:rPr>
              <w:rFonts w:ascii="Cambria Math" w:hAnsi="Cambria Math"/>
              <w:sz w:val="19"/>
            </w:rPr>
            <m:t>s</m:t>
          </m:r>
          <m:r>
            <w:rPr>
              <w:rFonts w:ascii="Cambria Math" w:hAnsi="Cambria Math"/>
              <w:sz w:val="19"/>
            </w:rPr>
            <m:t>+</m:t>
          </m:r>
          <m:r>
            <w:rPr>
              <w:rFonts w:ascii="Cambria Math" w:hAnsi="Cambria Math"/>
              <w:sz w:val="19"/>
            </w:rPr>
            <m:t>1</m:t>
          </m:r>
          <m:r>
            <m:t>   (7)</m:t>
          </m:r>
        </m:oMath>
      </m:oMathPara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19"/>
                </w:rPr>
                <m:t>G</m:t>
              </m:r>
            </m:e>
            <m:sub>
              <m:r>
                <w:rPr>
                  <w:rFonts w:ascii="Cambria Math" w:hAnsi="Cambria Math"/>
                  <w:sz w:val="19"/>
                </w:rPr>
                <m:t>v</m:t>
              </m:r>
            </m:sub>
          </m:sSub>
          <m:r>
            <w:rPr>
              <w:rFonts w:ascii="Cambria Math" w:hAnsi="Cambria Math"/>
              <w:sz w:val="19"/>
            </w:rPr>
            <m:t>(</m:t>
          </m:r>
          <m:r>
            <w:rPr>
              <w:rFonts w:ascii="Cambria Math" w:hAnsi="Cambria Math"/>
              <w:sz w:val="19"/>
            </w:rPr>
            <m:t>s</m:t>
          </m:r>
          <m:r>
            <w:rPr>
              <w:rFonts w:ascii="Cambria Math" w:hAnsi="Cambria Math"/>
              <w:sz w:val="19"/>
            </w:rPr>
            <m:t>)</m:t>
          </m:r>
          <m:r>
            <w:rPr>
              <w:rFonts w:ascii="Cambria Math" w:hAnsi="Cambria Math"/>
              <w:sz w:val="19"/>
            </w:rPr>
            <m:t>=</m:t>
          </m:r>
          <m:f>
            <m:num>
              <m:r>
                <w:rPr>
                  <w:rFonts w:ascii="Cambria Math" w:hAnsi="Cambria Math"/>
                  <w:sz w:val="19"/>
                </w:rPr>
                <m:t>n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b</m:t>
                  </m:r>
                  <m:r>
                    <w:rPr>
                      <w:rFonts w:ascii="Cambria Math" w:hAnsi="Cambria Math"/>
                      <w:sz w:val="19"/>
                    </w:rPr>
                    <m:t>u</m:t>
                  </m:r>
                  <m:r>
                    <w:rPr>
                      <w:rFonts w:ascii="Cambria Math" w:hAnsi="Cambria Math"/>
                      <w:sz w:val="19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(</m:t>
              </m:r>
              <m:r>
                <w:rPr>
                  <w:rFonts w:ascii="Cambria Math" w:hAnsi="Cambria Math"/>
                  <w:sz w:val="19"/>
                </w:rPr>
                <m:t>1</m:t>
              </m:r>
              <m:r>
                <w:rPr>
                  <w:rFonts w:ascii="Cambria Math" w:hAnsi="Cambria Math"/>
                  <w:sz w:val="19"/>
                </w:rPr>
                <m:t>+</m:t>
              </m:r>
              <m:r>
                <w:rPr>
                  <w:rFonts w:ascii="Cambria Math" w:hAnsi="Cambria Math"/>
                  <w:sz w:val="19"/>
                </w:rPr>
                <m:t>s</m:t>
              </m:r>
              <m:r>
                <w:rPr>
                  <w:rFonts w:ascii="Cambria Math" w:hAnsi="Cambria Math"/>
                  <w:sz w:val="19"/>
                </w:rPr>
                <m:t>C</m:t>
              </m:r>
              <m:r>
                <w:rPr>
                  <w:rFonts w:ascii="Cambria Math" w:hAnsi="Cambria Math"/>
                  <w:sz w:val="19"/>
                </w:rPr>
                <m:t>r</m:t>
              </m:r>
              <m:r>
                <w:rPr>
                  <w:rFonts w:ascii="Cambria Math" w:hAnsi="Cambria Math"/>
                  <w:sz w:val="19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19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(</m:t>
              </m:r>
              <m:r>
                <w:rPr>
                  <w:rFonts w:ascii="Cambria Math" w:hAnsi="Cambria Math"/>
                  <w:sz w:val="19"/>
                </w:rPr>
                <m:t>s</m:t>
              </m:r>
              <m:r>
                <w:rPr>
                  <w:rFonts w:ascii="Cambria Math" w:hAnsi="Cambria Math"/>
                  <w:sz w:val="19"/>
                </w:rPr>
                <m:t>)</m:t>
              </m:r>
            </m:den>
          </m:f>
          <m:r>
            <m:t>   (8)</m:t>
          </m:r>
        </m:oMath>
      </m:oMathPara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19"/>
                </w:rPr>
                <m:t>G</m:t>
              </m:r>
            </m:e>
            <m:sub>
              <m:r>
                <w:rPr>
                  <w:rFonts w:ascii="Cambria Math" w:hAnsi="Cambria Math"/>
                  <w:sz w:val="19"/>
                </w:rPr>
                <m:t>i</m:t>
              </m:r>
            </m:sub>
          </m:sSub>
          <m:r>
            <w:rPr>
              <w:rFonts w:ascii="Cambria Math" w:hAnsi="Cambria Math"/>
              <w:sz w:val="19"/>
            </w:rPr>
            <m:t>(</m:t>
          </m:r>
          <m:r>
            <w:rPr>
              <w:rFonts w:ascii="Cambria Math" w:hAnsi="Cambria Math"/>
              <w:sz w:val="19"/>
            </w:rPr>
            <m:t>s</m:t>
          </m:r>
          <m:r>
            <w:rPr>
              <w:rFonts w:ascii="Cambria Math" w:hAnsi="Cambria Math"/>
              <w:sz w:val="19"/>
            </w:rPr>
            <m:t>)</m:t>
          </m:r>
          <m:r>
            <w:rPr>
              <w:rFonts w:ascii="Cambria Math" w:hAnsi="Cambria Math"/>
              <w:sz w:val="19"/>
            </w:rPr>
            <m:t>=</m:t>
          </m:r>
          <m:f>
            <m:num>
              <m:r>
                <w:rPr>
                  <w:rFonts w:ascii="Cambria Math" w:hAnsi="Cambria Math"/>
                  <w:sz w:val="19"/>
                </w:rPr>
                <m:t>n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b</m:t>
                  </m:r>
                  <m:r>
                    <w:rPr>
                      <w:rFonts w:ascii="Cambria Math" w:hAnsi="Cambria Math"/>
                      <w:sz w:val="19"/>
                    </w:rPr>
                    <m:t>u</m:t>
                  </m:r>
                  <m:r>
                    <w:rPr>
                      <w:rFonts w:ascii="Cambria Math" w:hAnsi="Cambria Math"/>
                      <w:sz w:val="19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[</m:t>
              </m:r>
              <m:r>
                <w:rPr>
                  <w:rFonts w:ascii="Cambria Math" w:hAnsi="Cambria Math"/>
                  <w:sz w:val="19"/>
                </w:rPr>
                <m:t>1</m:t>
              </m:r>
              <m:r>
                <w:rPr>
                  <w:rFonts w:ascii="Cambria Math" w:hAnsi="Cambria Math"/>
                  <w:sz w:val="19"/>
                </w:rPr>
                <m:t>+</m:t>
              </m:r>
              <m:r>
                <w:rPr>
                  <w:rFonts w:ascii="Cambria Math" w:hAnsi="Cambria Math"/>
                  <w:sz w:val="19"/>
                </w:rPr>
                <m:t>s</m:t>
              </m:r>
              <m:r>
                <w:rPr>
                  <w:rFonts w:ascii="Cambria Math" w:hAnsi="Cambria Math"/>
                  <w:sz w:val="19"/>
                </w:rPr>
                <m:t>C</m:t>
              </m:r>
              <m:r>
                <w:rPr>
                  <w:rFonts w:ascii="Cambria Math" w:hAnsi="Cambria Math"/>
                  <w:sz w:val="19"/>
                </w:rPr>
                <m:t>(</m:t>
              </m:r>
              <m:r>
                <w:rPr>
                  <w:rFonts w:ascii="Cambria Math" w:hAnsi="Cambria Math"/>
                  <w:sz w:val="19"/>
                </w:rPr>
                <m:t>R</m:t>
              </m:r>
              <m:r>
                <w:rPr>
                  <w:rFonts w:ascii="Cambria Math" w:hAnsi="Cambria Math"/>
                  <w:sz w:val="19"/>
                </w:rPr>
                <m:t>+</m:t>
              </m:r>
              <m:r>
                <w:rPr>
                  <w:rFonts w:ascii="Cambria Math" w:hAnsi="Cambria Math"/>
                  <w:sz w:val="19"/>
                </w:rPr>
                <m:t>r</m:t>
              </m:r>
              <m:r>
                <w:rPr>
                  <w:rFonts w:ascii="Cambria Math" w:hAnsi="Cambria Math"/>
                  <w:sz w:val="19"/>
                </w:rPr>
                <m:t>)</m:t>
              </m:r>
              <m:r>
                <w:rPr>
                  <w:rFonts w:ascii="Cambria Math" w:hAnsi="Cambria Math"/>
                  <w:sz w:val="19"/>
                </w:rPr>
                <m:t>]</m:t>
              </m:r>
            </m:num>
            <m:den>
              <m:r>
                <w:rPr>
                  <w:rFonts w:ascii="Cambria Math" w:hAnsi="Cambria Math"/>
                  <w:sz w:val="19"/>
                </w:rPr>
                <m:t>R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(</m:t>
              </m:r>
              <m:r>
                <w:rPr>
                  <w:rFonts w:ascii="Cambria Math" w:hAnsi="Cambria Math"/>
                  <w:sz w:val="19"/>
                </w:rPr>
                <m:t>s</m:t>
              </m:r>
              <m:r>
                <w:rPr>
                  <w:rFonts w:ascii="Cambria Math" w:hAnsi="Cambria Math"/>
                  <w:sz w:val="19"/>
                </w:rPr>
                <m:t>)</m:t>
              </m:r>
            </m:den>
          </m:f>
          <m:r>
            <m:t>   (9)</m:t>
          </m:r>
        </m:oMath>
      </m:oMathPara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Gv tem unidade V/duty e Gi, A/duty. A reconstrução despreza DCR, shunt e quedas para comparar com [1]; o circuito comutado inclui perdas de condução. A impedância de bateria ou curto não equivale à carga resistiva, de modo que essas margens não provam estabilidade em todos os modos. O zero da planta de tensão original é 657,7 Hz; o da corrente é aproximadamente 37,9 Hz, e não o mesmo zero repetido em [1].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Os sensores têm Hv=2,5/27 e Hi=1/6 V/A, com shunt de 10 mΩ e ganho diferencial de 16,6667. O PWM usa portadora triangular de 0 a 2,1 V e ganho médio Fm=1/2,1. Os laços são Tv=CvFmHvGv e Ti=CiFmHiGi. São controladores alternadamente dominantes por seleção mínima, e não malhas em cascata.</w:t>
      </w:r>
    </w:p>
    <w:p>
      <w:pPr>
        <w:pStyle w:val="equation"/>
        <w:numPr>
          <w:numId w:val="0"/>
        </w:numPr>
        <w:widowControl/>
        <w:jc w:val="center"/>
        <w:spacing w:after="6pt"/>
        <w:ind w:firstLine="0pt" w:start="0pt" w:end="0pt"/>
        <w:keepLines/>
        <w:spacing w:before="4pt" w:after="6pt" w:line="12pt" w:lineRule="atLeast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19"/>
                </w:rPr>
                <m:t>C</m:t>
              </m:r>
            </m:e>
            <m:sub>
              <m:r>
                <w:rPr>
                  <w:rFonts w:ascii="Cambria Math" w:hAnsi="Cambria Math"/>
                  <w:sz w:val="19"/>
                </w:rPr>
                <m:t>x</m:t>
              </m:r>
            </m:sub>
          </m:sSub>
          <m:r>
            <w:rPr>
              <w:rFonts w:ascii="Cambria Math" w:hAnsi="Cambria Math"/>
              <w:sz w:val="19"/>
            </w:rPr>
            <m:t>(</m:t>
          </m:r>
          <m:r>
            <w:rPr>
              <w:rFonts w:ascii="Cambria Math" w:hAnsi="Cambria Math"/>
              <w:sz w:val="19"/>
            </w:rPr>
            <m:t>s</m:t>
          </m:r>
          <m:r>
            <w:rPr>
              <w:rFonts w:ascii="Cambria Math" w:hAnsi="Cambria Math"/>
              <w:sz w:val="19"/>
            </w:rPr>
            <m:t>)</m:t>
          </m:r>
          <m:r>
            <w:rPr>
              <w:rFonts w:ascii="Cambria Math" w:hAnsi="Cambria Math"/>
              <w:sz w:val="19"/>
            </w:rPr>
            <m:t>=</m:t>
          </m:r>
          <m:f>
            <m:num>
              <m:r>
                <w:rPr>
                  <w:rFonts w:ascii="Cambria Math" w:hAnsi="Cambria Math"/>
                  <w:sz w:val="19"/>
                </w:rPr>
                <m:t>1</m:t>
              </m:r>
              <m:r>
                <w:rPr>
                  <w:rFonts w:ascii="Cambria Math" w:hAnsi="Cambria Math"/>
                  <w:sz w:val="19"/>
                </w:rPr>
                <m:t>+</m:t>
              </m:r>
              <m:r>
                <w:rPr>
                  <w:rFonts w:ascii="Cambria Math" w:hAnsi="Cambria Math"/>
                  <w:sz w:val="19"/>
                </w:rPr>
                <m:t>s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19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19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s</m:t>
              </m:r>
              <m:r>
                <w:rPr>
                  <w:rFonts w:ascii="Cambria Math" w:hAnsi="Cambria Math"/>
                  <w:sz w:val="19"/>
                </w:rPr>
                <m:t>(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+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+</m:t>
              </m:r>
              <m:r>
                <w:rPr>
                  <w:rFonts w:ascii="Cambria Math" w:hAnsi="Cambria Math"/>
                  <w:sz w:val="19"/>
                </w:rPr>
                <m:t>s</m:t>
              </m:r>
              <m:sSub>
                <m:e>
                  <m:r>
                    <w:rPr>
                      <w:rFonts w:ascii="Cambria Math" w:hAnsi="Cambria Math"/>
                      <w:sz w:val="19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19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19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9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9"/>
                </w:rPr>
                <m:t>)</m:t>
              </m:r>
            </m:den>
          </m:f>
          <m:r>
            <m:t>   (10)</m:t>
          </m:r>
        </m:oMath>
      </m:oMathPara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 compensador tipo II é sintetizado impondo ganho unitário e fase no cruzamento. Para avanço α, usa-se K=tan[(α+90°)/2], fz=fc/K e fp=fcK. A compensação deve atenuar quando a planta tem ganho maior que um. O memorial contém equações de síntese, substituições e código reproduzível.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B. Auditoria e revisão das malhas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Com os componentes publicados da malha de tensão, obtêm-se fc≈4999 Hz e margem de fase de 60,306°. Entretanto, há dois cruzamentos de −180° em baixa frequência com módulo acima de um; a afirmação genérica de margem de ganho infinita não descreve esse laço. As margens negativas nesses pontos indicam estabilidade condicional à redução de ganho, sem implicar instabilidade nominal: os polos fechados têm parte real negativa.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Na malha de corrente original, a planta com sensores e PWM apresenta +6,3407 dB em 5 kHz e −1,6379 dB em 12,5 kHz. A síntese publicada utiliza a primeira frequência na avaliação do ganho. Os componentes apresentados cruzam efetivamente em 19,995 kHz com margem de fase de 57,376°, em vez dos 12,5 kHz pretendidos. Essa largura de banda é elevada diante dos 50 kHz de comutação.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redução da ESR altera a planta. Adotam-se novos cruzamentos de 2,5 kHz para tensão e 5 kHz para corrente, com margem contínua alvo de 65° em 373 V e 1,8 Ω. A Tabela II apresenta os valores simulados; arredondamentos comerciais exigem reavaliação. As Figs. 2 e 3 mostram os Bodes calculados.</w:t>
      </w:r>
    </w:p>
    <w:p>
      <w:pPr>
        <w:pStyle w:val="tablehead"/>
        <w:numPr>
          <w:numId w:val="0"/>
        </w:numPr>
        <w:keepNext/>
        <w:widowControl/>
        <w:jc w:val="center"/>
        <w:ind w:firstLine="0pt" w:start="0pt" w:end="0pt"/>
      </w:pPr>
      <w:r>
        <w:rPr>
          <w:color w:val="000000"/>
          <w:lang w:val="pt-BR"/>
        </w:rPr>
        <w:t xml:space="preserve">TABELA II — Compensadores revisados</w:t>
      </w:r>
    </w:p>
    <w:tbl>
      <w:tblPr>
        <w:tblW w:w="4680" w:type="dxa"/>
        <w:tblLayout w:type="fixed"/>
        <w:tblBorders>
          <w:top w:val="single" w:sz="4" w:color="888888"/>
          <w:bottom w:val="single" w:sz="4" w:color="888888"/>
          <w:insideH w:val="single" w:sz="4" w:color="888888"/>
        </w:tblBorders>
        <w:tblCellMar>
          <w:top w:w="35" w:type="dxa"/>
          <w:bottom w:w="35" w:type="dxa"/>
          <w:start w:w="50" w:type="dxa"/>
          <w:end w:w="50" w:type="dxa"/>
        </w:tblCellMar>
      </w:tblPr>
      <w:tblGrid>
        <w:gridCol w:w="1685"/>
        <w:gridCol w:w="1498"/>
        <w:gridCol w:w="1498"/>
      </w:tblGrid>
      <w:tr>
        <w:trPr>
          <w:cantSplit/>
          <w:tblHeader/>
        </w:trPr>
        <w:tc>
          <w:tcPr>
            <w:tcW w:w="1685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Parâmetro</w:t>
            </w:r>
          </w:p>
        </w:tc>
        <w:tc>
          <w:tcPr>
            <w:tcW w:w="1498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Tensão</w:t>
            </w:r>
          </w:p>
        </w:tc>
        <w:tc>
          <w:tcPr>
            <w:tcW w:w="1498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Corrente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R1 (kΩ)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10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10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R2 (kΩ)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79,2299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5,09002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C1 (nF)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7,55294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27,3992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C2 (pF)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86,4589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1505,77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fc (kHz)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2,5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5,0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MF contínua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65°</w:t>
            </w:r>
          </w:p>
        </w:tc>
        <w:tc>
          <w:tcPr>
            <w:tcW w:w="1498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65°</w:t>
            </w:r>
          </w:p>
        </w:tc>
      </w:tr>
    </w:tbl>
    <w:p>
      <w:pPr>
        <w:pStyle w:val="BodyText"/>
        <w:numPr>
          <w:numId w:val="0"/>
        </w:numPr>
        <w:widowControl/>
        <w:spacing w:after="2pt"/>
      </w:pP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547257"/>
            <wp:docPr id="1002" name="final_v_bode" descr="final v bode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2" name="final_v_bode"/>
                    <ns0:cNvPicPr/>
                  </ns0:nvPicPr>
                  <ns0:blipFill>
                    <ns0:blip xmlns:ns0="http://purl.oclc.org/ooxml/drawingml/main" r:embed="rIdArtigo2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547257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2. Bode analítico da malha revisada de tensão em 373 V, R=1,8 Ω, C=4400 µF e ESR=55 mΩ.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547257"/>
            <wp:docPr id="1003" name="final_i_bode" descr="final i bode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3" name="final_i_bode"/>
                    <ns0:cNvPicPr/>
                  </ns0:nvPicPr>
                  <ns0:blipFill>
                    <ns0:blip xmlns:ns0="http://purl.oclc.org/ooxml/drawingml/main" r:embed="rIdArtigo3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547257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3. Bode analítico da malha revisada de corrente nas mesmas condições. As margens não foram medidas por injeção no PLECS.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Nos seis pontos formados por 225/310/373 V e 1,8/9 Ω, os polos fechados permanecem no semiplano esquerdo. As margens de fase variam de 57,36° a 65° na tensão e de 63,12° a 65,02° na corrente. Um atraso hipotético de Ts/2 reduziria as margens nominais para 56° e 47°. É uma sensibilidade analítica, não uma representação exata do PWM natural nem uma margem medida do circuito comutado.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C. Implementação e seleção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Cada compensador usa dois estados contínuos, x e z, com derivadas Ki·e e ωp(e−z), e saída x+Kp·z. As constantes decorrem dos componentes da Tabela II. Aplica-se a saturação entre zero e 2,1Dlim do mínimo de uv e ui. Acrescenta-se ao integrador o rastreamento 30000(u−ux), e a referência de corrente cresce em 5 ms. O C-Script implementa apenas o controle; os estados elétricos e eventos de potência são resolvidos pelo PLECS.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 rastreamento é nulo no regulador dominante não saturado, mas atua nas transições e pode gerar erro médio quando os sinais alternam de dominância dentro do período. Esse efeito exige confrontar a análise linear com dados comutados. Não se pressupõe regulação perfeita na fronteira de 27 V e 15 A.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VI. Ensaios e resultados no PLECS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A. Procedimento e rastreabilidade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Foram gerados cinco modelos nativos e concluídos oito ensaios. O transformador ideal 60:18 possui ramo magnetizante externo de 19,08 mH; o filtro usa 136,6 µH e o banco revisado. MOSFETs têm Ron=0,15 Ω; diodos de saída, 0,7 V e 5 mΩ. Saída inicial de 27 V nos ensaios resistivos e 20 V na bateria, corrente inicial do indutor nula e barramento pré-carregado definem partida funcional, sem inrush da rede.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Empregou-se solver Radau, tolerância relativa de 10⁻⁶ e absoluta de 10⁻⁸. Passo máximo e grade de saída são 2 µs nos ensaios centrais, 1 µs no curto e 0,2 µs no ripple detalhado. A detecção de eventos resolve comutações entre pontos de saída. Registros guardam parâmetros, opções, data, hashes dos modelos e CSVs e resposta RPC original compactada. Gráficos globais reduzem pontos apenas para exibição; as métricas usam a grade completa.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B. Degraus e faixa de rede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carga muda de 9 Ω para 1,8 Ω em 0,12 s e retorna em 0,24 s, com duração total de 0,36 s. Em 220 V, a tensão média a 20% é 26,9999 V. Em plena carga, a média é 26,7510 V e IL=14,8621 A. A Fig. 4 mostra a resposta. O mínimo após aplicação é 26,3064 V e o máximo após retirada, 27,4526 V, medidos nos 40 ms seguintes a cada evento.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334986"/>
            <wp:docPr id="1004" name="degrau_220" descr="degrau 220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4" name="degrau_220"/>
                    <ns0:cNvPicPr/>
                  </ns0:nvPicPr>
                  <ns0:blipFill>
                    <ns0:blip xmlns:ns0="http://purl.oclc.org/ooxml/drawingml/main" r:embed="rIdArtigo4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334986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4. Ensaio PLECS com rede de 220 V. Carga de 20% para 100% em 0,12 s e retorno em 0,24 s. Condição inicial pré-carregada.</w:t>
      </w:r>
    </w:p>
    <w:p>
      <w:pPr>
        <w:pStyle w:val="tablehead"/>
        <w:numPr>
          <w:numId w:val="0"/>
        </w:numPr>
        <w:keepNext/>
        <w:widowControl/>
        <w:jc w:val="center"/>
        <w:ind w:firstLine="0pt" w:start="0pt" w:end="0pt"/>
      </w:pPr>
      <w:r>
        <w:rPr>
          <w:color w:val="000000"/>
          <w:lang w:val="pt-BR"/>
        </w:rPr>
        <w:t xml:space="preserve">TABELA III — Regime de plena carga nas três redes</w:t>
      </w:r>
    </w:p>
    <w:tbl>
      <w:tblPr>
        <w:tblW w:w="4680" w:type="dxa"/>
        <w:tblLayout w:type="fixed"/>
        <w:tblBorders>
          <w:top w:val="single" w:sz="4" w:color="888888"/>
          <w:bottom w:val="single" w:sz="4" w:color="888888"/>
          <w:insideH w:val="single" w:sz="4" w:color="888888"/>
        </w:tblBorders>
        <w:tblCellMar>
          <w:top w:w="35" w:type="dxa"/>
          <w:bottom w:w="35" w:type="dxa"/>
          <w:start w:w="50" w:type="dxa"/>
          <w:end w:w="50" w:type="dxa"/>
        </w:tblCellMar>
      </w:tblPr>
      <w:tblGrid>
        <w:gridCol w:w="1030"/>
        <w:gridCol w:w="1264"/>
        <w:gridCol w:w="1264"/>
        <w:gridCol w:w="1123"/>
      </w:tblGrid>
      <w:tr>
        <w:trPr>
          <w:cantSplit/>
          <w:tblHeader/>
        </w:trPr>
        <w:tc>
          <w:tcPr>
            <w:tcW w:w="1030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Rede (V)</w:t>
            </w:r>
          </w:p>
        </w:tc>
        <w:tc>
          <w:tcPr>
            <w:tcW w:w="1264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Vo (V)</w:t>
            </w:r>
          </w:p>
        </w:tc>
        <w:tc>
          <w:tcPr>
            <w:tcW w:w="1264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IL (A)</w:t>
            </w:r>
          </w:p>
        </w:tc>
        <w:tc>
          <w:tcPr>
            <w:tcW w:w="1123" w:type="dxa"/>
            <w:vAlign w:val="center"/>
            <w:shd w:fill="EEEEEE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FP</w:t>
            </w:r>
          </w:p>
        </w:tc>
      </w:tr>
      <w:tr>
        <w:trPr>
          <w:cantSplit/>
        </w:trPr>
        <w:tc>
          <w:tcPr>
            <w:tcW w:w="103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176</w:t>
            </w:r>
          </w:p>
        </w:tc>
        <w:tc>
          <w:tcPr>
            <w:tcW w:w="1264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26,7810</w:t>
            </w:r>
          </w:p>
        </w:tc>
        <w:tc>
          <w:tcPr>
            <w:tcW w:w="1264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14,8820</w:t>
            </w:r>
          </w:p>
        </w:tc>
        <w:tc>
          <w:tcPr>
            <w:tcW w:w="1123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0,5219</w:t>
            </w:r>
          </w:p>
        </w:tc>
      </w:tr>
      <w:tr>
        <w:trPr>
          <w:cantSplit/>
        </w:trPr>
        <w:tc>
          <w:tcPr>
            <w:tcW w:w="103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220</w:t>
            </w:r>
          </w:p>
        </w:tc>
        <w:tc>
          <w:tcPr>
            <w:tcW w:w="1264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26,7510</w:t>
            </w:r>
          </w:p>
        </w:tc>
        <w:tc>
          <w:tcPr>
            <w:tcW w:w="1264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14,8621</w:t>
            </w:r>
          </w:p>
        </w:tc>
        <w:tc>
          <w:tcPr>
            <w:tcW w:w="1123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keepNext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0,4884</w:t>
            </w:r>
          </w:p>
        </w:tc>
      </w:tr>
      <w:tr>
        <w:trPr>
          <w:cantSplit/>
        </w:trPr>
        <w:tc>
          <w:tcPr>
            <w:tcW w:w="1030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start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264</w:t>
            </w:r>
          </w:p>
        </w:tc>
        <w:tc>
          <w:tcPr>
            <w:tcW w:w="1264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26,7316</w:t>
            </w:r>
          </w:p>
        </w:tc>
        <w:tc>
          <w:tcPr>
            <w:tcW w:w="1264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14,8525</w:t>
            </w:r>
          </w:p>
        </w:tc>
        <w:tc>
          <w:tcPr>
            <w:tcW w:w="1123" w:type="dxa"/>
            <w:vAlign w:val="center"/>
          </w:tcPr>
          <w:p>
            <w:pPr>
              <w:pStyle w:val="tablecopy"/>
              <w:numPr>
                <w:numId w:val="0"/>
              </w:numPr>
              <w:widowControl/>
              <w:jc w:val="center"/>
              <w:spacing w:after="0pt"/>
              <w:ind w:firstLine="0pt" w:start="0pt" w:end="0pt"/>
              <w:spacing w:line="10pt" w:lineRule="atLeast" w:after="0pt"/>
            </w:pPr>
            <w:r>
              <w:rPr>
                <w:color w:val="000000"/>
                <w:lang w:val="pt-BR"/>
                <w:sz w:val="16"/>
              </w:rPr>
              <w:t xml:space="preserve">0,4632</w:t>
            </w:r>
          </w:p>
        </w:tc>
      </w:tr>
    </w:tbl>
    <w:p>
      <w:pPr>
        <w:pStyle w:val="BodyText"/>
        <w:numPr>
          <w:numId w:val="0"/>
        </w:numPr>
        <w:widowControl/>
        <w:spacing w:after="2pt"/>
      </w:pP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As médias da Tabela III usam 0,18–0,20 s. O FP usa dois períodos completos de rede iniciados em 0,18 s. A tensão média satisfaz ±1% nos três pontos, com pequena margem na rede alta. Em 176 V, o barramento mínimo é 231,885 V e o duty de comando médio é 0,4019, confirmando a necessidade de superar 0,4. Não se demonstrou robustez a todas as tolerâncias físicas.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Fig. 5 mostra corrente pulsada na entrada nominal. Obtêm-se 439,98 W, 4,0947 A eficazes e FP≈0,4884 em 220 V. Em 176 V, FP=0,5219; portanto, FP&lt;0,5 não é universal. Impedância de fonte e banco capacitivo influenciam esses números. A potência simulada não permite afirmar rendimento físico, pois faltam perdas de comutação e núcleo.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264229"/>
            <wp:docPr id="1005" name="retificador_220" descr="retificador 220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5" name="retificador_220"/>
                    <ns0:cNvPicPr/>
                  </ns0:nvPicPr>
                  <ns0:blipFill>
                    <ns0:blip xmlns:ns0="http://purl.oclc.org/ooxml/drawingml/main" r:embed="rIdArtigo5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264229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5. Tensões de rede e barramento e corrente de entrada em plena carga nominal. PLECS com Rrede=0,5 Ω e Lrede=100 µH.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C. Curto e descarga capacitiva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Um ramo de 1 mΩ é conectado em paralelo com 1,8 Ω entre 0,12 e 0,24 s. Em regime de curto, IL médio=15,00001 A e Vo=14,99168 mV. A corrente do ramo é 14,99168 A; a diferença alimenta a carga permanente. As Figs. 6 e 7 distinguem a corrente do indutor da descarga do banco.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334986"/>
            <wp:docPr id="1006" name="curto_220" descr="curto 220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6" name="curto_220"/>
                    <ns0:cNvPicPr/>
                  </ns0:nvPicPr>
                  <ns0:blipFill>
                    <ns0:blip xmlns:ns0="http://purl.oclc.org/ooxml/drawingml/main" r:embed="rIdArtigo6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334986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6. Aplicação e retirada do curto de 1 mΩ. A limitação observada é de corrente média; o modelo não contém proteção instantânea de pico.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264229"/>
            <wp:docPr id="1007" name="curto_detalhe" descr="curto detalhe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7" name="curto_detalhe"/>
                    <ns0:cNvPicPr/>
                  </ns0:nvPicPr>
                  <ns0:blipFill>
                    <ns0:blip xmlns:ns0="http://purl.oclc.org/ooxml/drawingml/main" r:embed="rIdArtigo7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264229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7. Detalhe do curto. Corrente do ramo calculada por Vo/1 mΩ a partir do CSV, com resolução de 1 µs.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 pico amostrado do indutor é 20,991 A, enquanto o ramo de curto atinge 491,97 A. O banco armazena cerca de 1,6 J a 27 V; sua ESR limita a descarga no circuito idealizado. A corrente preexistente no indutor também alimenta o ramo. Limitar o conversor a 15 A não limita instantaneamente o curto. Indutâncias de cabos, ESL, contatos e saturação podem alterar o pico físico. Após a retirada, a tensão recupera a região de 26,75 V sem crescimento sustentado de oscilação no intervalo observado.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D. Recarga com modelo acelerado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bateria é representada por fonte de 20 V, resistência de 10 mΩ e capacitor de 0,4 F em série, conforme [1]. Na janela 0,04–0,06 s, IL médio=15,0007 A e Ibat médio=14,8373 A. A diferença de 0,1634 A carrega o banco de saída de 4,4 mF, coerente com Co·dVo/dt≈0,0044×37. Distinguir a corrente do indutor da corrente efetiva da bateria é necessário durante a rampa.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334986"/>
            <wp:docPr id="1008" name="bateria_220" descr="bateria 220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8" name="bateria_220"/>
                    <ns0:cNvPicPr/>
                  </ns0:nvPicPr>
                  <ns0:blipFill>
                    <ns0:blip xmlns:ns0="http://purl.oclc.org/ooxml/drawingml/main" r:embed="rIdArtigo8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334986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8. Recarga emulada no PLECS em 220 V, Ebat=20 V, Rbat=10 mΩ e Cbat=0,4 F. Escala temporal artificialmente acelerada.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tensão chega a 26,9 V em 0,185084 s, coerente com a estimativa ideal Cbat·7/15=0,186667 s. A escala próxima de 0,37 s na figura de referência não resulta automaticamente dos parâmetros escritos; não se alterou Cbat para forçar concordância visual. A carga terminal integrada em 0,6 s é 2,81003 C e a energia terminal é 66,4791 J, grandezas do emulador.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Na cauda, o circuito entra em DCM e a corrente tende a zero. A tensão permanece em aproximadamente 27,02484 V, pois o modelo não oferece autodescarga ou caminho reverso que elimine toda a sobre-elevação. Para 150 Ah em 7 V, o equivalente coulômbico seria 77142,86 F, cerca de 192857 vezes maior. A simulação não prevê tempo real de carga, SOC, envelhecimento ou eficiência eletroquímica.</w:t>
      </w:r>
    </w:p>
    <w:p>
      <w:pPr>
        <w:pStyle w:val="Heading2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E. Ripple, PWM e convergência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Dois ensaios em 373 Vcc comparam somente o banco de saída, mantendo os compensadores revisados. A janela 0,1900–0,1901 s contém cinco períodos a 50 kHz. O capacitor original fornece ripple de 0,321095 V; o banco revisado, 0,165516 V, redução de 48,45%. A revisão atende 0,27 Vpp e o original não atende. A Fig. 9 apresenta o caso revisado, com ΔIL=3,10080 A.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122714"/>
            <wp:docPr id="1009" name="ripple_revisado" descr="ripple revisado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09" name="ripple_revisado"/>
                    <ns0:cNvPicPr/>
                  </ns0:nvPicPr>
                  <ns0:blipFill>
                    <ns0:blip xmlns:ns0="http://purl.oclc.org/ooxml/drawingml/main" r:embed="rIdArtigo9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122714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9. Cinco períodos da saída e da corrente do indutor em 373 Vcc com banco revisado. Dados PLECS em grade de 0,2 µs.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Nesse ensaio, a tensão média revisada é 26,7280 V, erro de −1,0073%. O ponto ultrapassa marginalmente ±1%, embora atenda ao ripple. A comparação com o capacitor original, cuja média é 26,9822 V, evidencia a influência da alternância CC/CV e do rastreamento integral. A maior capacitância não é melhoria sem ressalvas; filtragem do sensor ou seleção revisada exige ensaio próprio.</w:t>
      </w:r>
    </w:p>
    <w:p>
      <w:pPr>
        <w:pStyle w:val="BodyText"/>
        <w:numPr>
          <w:numId w:val="0"/>
        </w:numPr>
        <w:keepNext/>
        <w:widowControl/>
        <w:jc w:val="center"/>
        <w:spacing w:after="0pt"/>
        <w:ind w:firstLine="0pt" w:start="0pt" w:end="0pt"/>
      </w:pPr>
      <w:r>
        <w:drawing>
          <wp:inline distT="0" distB="0" distL="0" distR="0">
            <wp:extent cx="2971800" cy="2688771"/>
            <wp:docPr id="1010" name="pwm_cinco_periodos" descr="pwm cinco periodos"/>
            <ns0:graphic xmlns:ns0="http://purl.oclc.org/ooxml/drawingml/main">
              <ns0:graphicData uri="http://purl.oclc.org/ooxml/drawingml/picture">
                <ns0:pic xmlns:ns0="http://purl.oclc.org/ooxml/drawingml/picture">
                  <ns0:nvPicPr>
                    <ns0:cNvPr id="1010" name="pwm_cinco_periodos"/>
                    <ns0:cNvPicPr/>
                  </ns0:nvPicPr>
                  <ns0:blipFill>
                    <ns0:blip xmlns:ns0="http://purl.oclc.org/ooxml/drawingml/main" r:embed="rIdArtigo10"/>
                    <ns0:stretch xmlns:ns0="http://purl.oclc.org/ooxml/drawingml/main">
                      <ns0:fillRect/>
                    </ns0:stretch>
                  </ns0:blipFill>
                  <ns0:spPr>
                    <ns0:xfrm xmlns:ns0="http://purl.oclc.org/ooxml/drawingml/main">
                      <ns0:off x="0" y="0"/>
                      <ns0:ext cx="2971800" cy="2688771"/>
                    </ns0:xfrm>
                    <ns0:prstGeom xmlns:ns0="http://purl.oclc.org/ooxml/drawingml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figurecaption"/>
        <w:numPr>
          <w:numId w:val="0"/>
        </w:numPr>
        <w:widowControl/>
        <w:spacing w:after="7pt"/>
        <w:ind w:firstLine="0pt" w:start="0pt" w:end="0pt"/>
      </w:pPr>
      <w:r>
        <w:rPr>
          <w:color w:val="000000"/>
          <w:lang w:val="pt-BR"/>
        </w:rPr>
        <w:t xml:space="preserve">Fig. 10. Portadora, comando, gate comum e tensões de primário e Q1 em cinco períodos. As duas chaves são acionadas simultaneamente.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 Fig. 10 confirma excitação e reset com polaridades opostas no primário. A corrente magnetizante atinge 99,03 mA e retorna aproximadamente a zero em cada ciclo, com mínimo numérico de −0,12 mA. Q1 alcança 373,701 V e 4,99585 A sem parasitas. A média comando/2,1 não equivale exatamente ao duty efetivo quando o comando varia no período; a média do PWM amostrado também sofre quantização das bordas.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Repetindo o degrau nominal com passo máximo de 1 µs e tolerância relativa de 10⁻⁷, as diferenças nas médias de plena carga são 0,011465% em Vo, 0,001625% em IL e 0,000480% em Vbus. O refinamento sustenta as médias, mas não certifica picos submicrossegundo. O desvio CC/CV permanece. Não houve campanha independente completa de convergência para cada modo.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VII. Melhorias e implementação futura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Foram incorporados o retificador completo, a lista funcional de componentes e os cinco períodos PWM. Outra topologia isolada ficou como extensão, pois exigiria novas equações de ganho, reset e esforços. A lista do memorial separa valores exatos simulados, valores comerciais sugeridos e seleção física ainda dependente de dissipação, tolerância e isolação.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 UC3525A possui saídas alternadas e não pode comandar Q1 e Q2 em oposição de fase. Uma arquitetura possível utiliza uma saída a 50 kHz, com oscilador de 100 kHz, distribuída a dois drivers adequados, incluindo isolação ou alimentação flutuante superior. Com CT=1 nF e RD=100 Ω, a relação do catálogo fornece RT≈13,857 kΩ [7]. As saídas totem-pole não devem ser simplesmente colocadas em paralelo. Rampa, limiares, atrasos e amplificador interno diferem do PWM funcional de 2,1 V; não se entrega um circuito executivo de PCB validado.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As próximas verificações incluem perdas AC e núcleo, térmica, recuperação dos diodos, gate drive, fonte auxiliar, isolação da realimentação, inrush, EMI e proteção de pico ciclo a ciclo. Para precisão, deve-se reavaliar a seleção CC/CV com filtragem e tolerâncias, preservando resposta ao curto. Também é necessário ensaiar referências intermediárias e usar modelo de bateria apropriado antes de extrapolar a recarga acelerada.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VIII. Conclusões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Estabeleceu-se uma cadeia reproduzível entre dimensionamento, modelo nativo, execução no PLECS, dados e artigo. A auditoria corrige a escolha de ESR, identifica o cruzamento de corrente original próximo de 20 kHz e reprojeta os compensadores para 2,5 e 5 kHz. O duty máximo de 0,45 acomoda as perdas modeladas na rede mínima e mantém reset no circuito idealizado.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Os ensaios confirmam regulação média dentro de ±1% nas três redes, redução do ripple para 0,166 V, limitação média de 15 A no curto e recarga compatível com 0,4 F. Entretanto, o ensaio em 373 Vcc registra erro médio de −1,0073%, e o curto produz aproximadamente 492 A pela descarga capacitiva. Essas observações delimitam a validação e impedem equiparar limitação média à proteção instantânea.</w:t>
      </w:r>
    </w:p>
    <w:p>
      <w:pPr>
        <w:pStyle w:val="BodyText"/>
        <w:numPr>
          <w:numId w:val="0"/>
        </w:numPr>
        <w:widowControl/>
      </w:pPr>
      <w:r>
        <w:rPr>
          <w:color w:val="000000"/>
          <w:lang w:val="pt-BR"/>
        </w:rPr>
        <w:t xml:space="preserve">Os resultados sustentam o funcionamento do projeto simulado e permitem sua evolução. A construção física exige resolver proteção, perdas, isolação e precisão CC/CV, além de substituir a bateria acelerada por representação apropriada. A entrega distingue Bodes analíticos, curvas de referência e medições efetivamente obtidas no PLECS.</w:t>
      </w:r>
    </w:p>
    <w:p>
      <w:pPr>
        <w:pStyle w:val="Heading1"/>
        <w:numPr>
          <w:numId w:val="0"/>
        </w:numPr>
        <w:keepNext/>
        <w:widowControl/>
        <w:ind w:firstLine="0pt" w:start="0pt" w:end="0pt"/>
      </w:pPr>
      <w:r>
        <w:rPr>
          <w:color w:val="000000"/>
          <w:lang w:val="pt-BR"/>
        </w:rPr>
        <w:t xml:space="preserve">Referências</w:t>
      </w:r>
    </w:p>
    <w:p>
      <w:pPr>
        <w:pStyle w:val="references"/>
        <w:numPr>
          <w:numId w:val="0"/>
        </w:numPr>
        <w:widowControl/>
        <w:spacing w:after="4pt"/>
        <w:ind w:firstLine="0pt" w:start="0pt" w:end="0pt"/>
      </w:pPr>
      <w:r>
        <w:rPr>
          <w:color w:val="000000"/>
          <w:lang w:val="pt-BR"/>
          <w:sz w:val="16"/>
        </w:rPr>
        <w:t xml:space="preserve">[1] R. P. Torrico-Bascopé, “Projeto de um carregador de baterias de 15 A baseado no conversor Forward de duas chaves,” UFC, material didático de circulação restrita, set. 2026.</w:t>
      </w:r>
    </w:p>
    <w:p>
      <w:pPr>
        <w:pStyle w:val="references"/>
        <w:numPr>
          <w:numId w:val="0"/>
        </w:numPr>
        <w:widowControl/>
        <w:spacing w:after="4pt"/>
        <w:ind w:firstLine="0pt" w:start="0pt" w:end="0pt"/>
      </w:pPr>
      <w:r>
        <w:rPr>
          <w:color w:val="000000"/>
          <w:lang w:val="pt-BR"/>
          <w:sz w:val="16"/>
        </w:rPr>
        <w:t xml:space="preserve">[2] Texas Instruments, “How to Approach a Power-Supply Design — Part 7,” SLVAFW4. Disponível: https:/​/​www.ti.com/​lit/​pdf/​slvafw4.</w:t>
      </w:r>
    </w:p>
    <w:p>
      <w:pPr>
        <w:pStyle w:val="references"/>
        <w:numPr>
          <w:numId w:val="0"/>
        </w:numPr>
        <w:widowControl/>
        <w:spacing w:after="4pt"/>
        <w:ind w:firstLine="0pt" w:start="0pt" w:end="0pt"/>
      </w:pPr>
      <w:r>
        <w:rPr>
          <w:color w:val="000000"/>
          <w:lang w:val="pt-BR"/>
          <w:sz w:val="16"/>
        </w:rPr>
        <w:t xml:space="preserve">[3] Plexim, “PLECS Documentation — Simulation Scripts.” Disponível: https:/​/​docs.plexim.com/​plecs/​latest/​scripting/​. Versão utilizada: PLECS Standalone 5.0.6.</w:t>
      </w:r>
    </w:p>
    <w:p>
      <w:pPr>
        <w:pStyle w:val="references"/>
        <w:numPr>
          <w:numId w:val="0"/>
        </w:numPr>
        <w:widowControl/>
        <w:spacing w:after="4pt"/>
        <w:ind w:firstLine="0pt" w:start="0pt" w:end="0pt"/>
      </w:pPr>
      <w:r>
        <w:rPr>
          <w:color w:val="000000"/>
          <w:lang w:val="pt-BR"/>
          <w:sz w:val="16"/>
        </w:rPr>
        <w:t xml:space="preserve">[4] TDK/EPCOS, “Aluminum electrolytic capacitors — B41821/B43821,” 2013. Disponível: https:/​/​www.tdk-​electronics.tdk.com/​inf/​20/​30/​db/​aec_​2013/​B41821_​B43821.pdf.</w:t>
      </w:r>
    </w:p>
    <w:p>
      <w:pPr>
        <w:pStyle w:val="references"/>
        <w:numPr>
          <w:numId w:val="0"/>
        </w:numPr>
        <w:widowControl/>
        <w:spacing w:after="4pt"/>
        <w:ind w:firstLine="0pt" w:start="0pt" w:end="0pt"/>
      </w:pPr>
      <w:r>
        <w:rPr>
          <w:color w:val="000000"/>
          <w:lang w:val="pt-BR"/>
          <w:sz w:val="16"/>
        </w:rPr>
        <w:t xml:space="preserve">[5] TDK, “ETD 59/31/22 — Core and accessories,” out. 2024. Disponível: https:/​/​www.tdk-​electronics.tdk.com/​inf/​80/​db/​fer/​etd_​59_​31_​22.pdf.</w:t>
      </w:r>
    </w:p>
    <w:p>
      <w:pPr>
        <w:pStyle w:val="references"/>
        <w:numPr>
          <w:numId w:val="0"/>
        </w:numPr>
        <w:widowControl/>
        <w:spacing w:after="4pt"/>
        <w:ind w:firstLine="0pt" w:start="0pt" w:end="0pt"/>
      </w:pPr>
      <w:r>
        <w:rPr>
          <w:color w:val="000000"/>
          <w:lang w:val="pt-BR"/>
          <w:sz w:val="16"/>
        </w:rPr>
        <w:t xml:space="preserve">[6] TDK, “E 65/32/27DG — Core and accessories,” out. 2022. Disponível: https:/​/​www.tdk-​electronics.tdk.com/​inf/​80/​db/​fer/​e_​65_​32_​27_​dg.pdf.</w:t>
      </w:r>
    </w:p>
    <w:p>
      <w:pPr>
        <w:pStyle w:val="references"/>
        <w:numPr>
          <w:numId w:val="0"/>
        </w:numPr>
        <w:widowControl/>
        <w:spacing w:after="4pt"/>
        <w:ind w:firstLine="0pt" w:start="0pt" w:end="0pt"/>
      </w:pPr>
      <w:r>
        <w:rPr>
          <w:color w:val="000000"/>
          <w:lang w:val="pt-BR"/>
          <w:sz w:val="16"/>
        </w:rPr>
        <w:t xml:space="preserve">[7] Texas Instruments, “UCx52xA Regulating Pulse Width Modulators,” SLUS191D, jul. 2017. Disponível: https:/​/​www.ti.com/​lit/​ds/​symlink/​uc3525a.pdf.</w:t>
      </w:r>
    </w:p>
    <w:p>
      <w:pPr>
        <w:pStyle w:val="references"/>
        <w:numPr>
          <w:numId w:val="0"/>
        </w:numPr>
        <w:widowControl/>
        <w:spacing w:after="4pt"/>
        <w:ind w:firstLine="0pt" w:start="0pt" w:end="0pt"/>
      </w:pPr>
      <w:r>
        <w:rPr>
          <w:color w:val="000000"/>
          <w:lang w:val="pt-BR"/>
          <w:sz w:val="16"/>
        </w:rPr>
        <w:t xml:space="preserve">[8] Yuasa, “Maximise Performance and Longevity: The Benefits of Correctly Charging VRLA Batteries.” Disponível: https:/​/​www.yuasa.com/​uk/​info-​hub/​Benefits-​of-​correctly-​charging-​VRLA-​batteries.</w:t>
      </w:r>
    </w:p>
    <w:p>
      <w:pPr>
        <w:pStyle w:val="references"/>
        <w:numPr>
          <w:numId w:val="0"/>
        </w:numPr>
        <w:widowControl/>
        <w:spacing w:after="0pt"/>
        <w:ind w:firstLine="0pt" w:start="0pt" w:end="0p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rPr>
          <w:color w:val="000000"/>
          <w:lang w:val="pt-BR"/>
          <w:sz w:val="16"/>
        </w:rPr>
        <w:t xml:space="preserve">Fontes on-line consultadas em 19 de outubro de 2026.</w:t>
      </w:r>
    </w:p>
    <w:sectPr>
      <w:type w:val="continuous"/>
      <w:pgSz w:w="595.30pt" w:h="841.90pt" w:code="9"/>
      <w:pgMar w:top="54pt" w:right="45.35pt" w:bottom="72pt" w:left="45.35pt" w:header="36pt" w:footer="36pt" w:gutter="0pt"/>
      <w:cols w:num="1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B44A76" w:rsidRDefault="00B44A76" w:rsidP="001A3B3D">
      <w:r>
        <w:separator/>
      </w:r>
    </w:p>
  </w:endnote>
  <w:endnote w:type="continuationSeparator" w:id="0">
    <w:p w:rsidR="00B44A76" w:rsidRDefault="00B44A76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B44A76" w:rsidRDefault="00B44A76" w:rsidP="001A3B3D">
      <w:r>
        <w:separator/>
      </w:r>
    </w:p>
  </w:footnote>
  <w:footnote w:type="continuationSeparator" w:id="0">
    <w:p w:rsidR="00B44A76" w:rsidRDefault="00B44A76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Relationship Id="rIdArtigo1" Type="http://purl.oclc.org/ooxml/officeDocument/relationships/image" Target="media/artigo_fig_1.png"/><Relationship Id="rIdArtigo2" Type="http://purl.oclc.org/ooxml/officeDocument/relationships/image" Target="media/artigo_fig_2.png"/><Relationship Id="rIdArtigo3" Type="http://purl.oclc.org/ooxml/officeDocument/relationships/image" Target="media/artigo_fig_3.png"/><Relationship Id="rIdArtigo4" Type="http://purl.oclc.org/ooxml/officeDocument/relationships/image" Target="media/artigo_fig_4.png"/><Relationship Id="rIdArtigo5" Type="http://purl.oclc.org/ooxml/officeDocument/relationships/image" Target="media/artigo_fig_5.png"/><Relationship Id="rIdArtigo6" Type="http://purl.oclc.org/ooxml/officeDocument/relationships/image" Target="media/artigo_fig_6.png"/><Relationship Id="rIdArtigo7" Type="http://purl.oclc.org/ooxml/officeDocument/relationships/image" Target="media/artigo_fig_7.png"/><Relationship Id="rIdArtigo8" Type="http://purl.oclc.org/ooxml/officeDocument/relationships/image" Target="media/artigo_fig_8.png"/><Relationship Id="rIdArtigo9" Type="http://purl.oclc.org/ooxml/officeDocument/relationships/image" Target="media/artigo_fig_9.png"/><Relationship Id="rIdArtigo10" Type="http://purl.oclc.org/ooxml/officeDocument/relationships/image" Target="media/artigo_fig_10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3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um Carregador de Baterias de 15 A Baseado no Conversor Forward de Duas Chaves</dc:title>
  <dc:subject/>
  <dc:creator>Jonatas Manoel Assunção Felix — 539729; Jose Carlos Moreira de Brito Neto — 536962</dc:creator>
  <cp:keywords/>
  <cp:lastModifiedBy>Young, Sherri</cp:lastModifiedBy>
  <cp:revision>3</cp:revision>
  <dcterms:created xsi:type="dcterms:W3CDTF">2019-01-08T18:42:00Z</dcterms:created>
  <dcterms:modified xsi:type="dcterms:W3CDTF">2019-01-08T20:11:00Z</dcterms:modified>
</cp:coreProperties>
</file>