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 w:conformance="strict">
  <w:body>
    <w:p>
      <w:pPr>
        <w:pStyle w:val="papertitle"/>
        <w:numPr>
          <w:numId w:val="0"/>
        </w:numPr>
        <w:keepNext/>
        <w:widowControl/>
        <w:jc w:val="center"/>
        <w:ind w:firstLine="0pt" w:start="0pt" w:end="0pt"/>
      </w:pPr>
      <w:r>
        <w:rPr>
          <w:color w:val="000000"/>
          <w:lang w:val="pt-BR"/>
        </w:rPr>
        <w:t xml:space="preserve">Projeto de um Carregador de Baterias de 15 A Baseado no Conversor Forward de Duas Chaves</w:t>
      </w:r>
    </w:p>
    <w:p>
      <w:pPr>
        <w:pStyle w:val="Author"/>
        <w:numPr>
          <w:numId w:val="0"/>
        </w:numPr>
        <w:keepNext/>
        <w:widowControl/>
        <w:jc w:val="center"/>
        <w:spacing w:after="1pt" w:before="0pt"/>
        <w:ind w:firstLine="0pt" w:start="0pt" w:end="0pt"/>
      </w:pPr>
      <w:r>
        <w:rPr>
          <w:color w:val="000000"/>
          <w:lang w:val="pt-BR"/>
        </w:rPr>
        <w:t xml:space="preserve">Jonatas Manoel Assunção Felix — 539729</w:t>
      </w:r>
    </w:p>
    <w:p>
      <w:pPr>
        <w:pStyle w:val="Author"/>
        <w:numPr>
          <w:numId w:val="0"/>
        </w:numPr>
        <w:keepNext/>
        <w:widowControl/>
        <w:jc w:val="center"/>
        <w:spacing w:after="1pt" w:before="0pt"/>
        <w:ind w:firstLine="0pt" w:start="0pt" w:end="0pt"/>
      </w:pPr>
      <w:r>
        <w:rPr>
          <w:color w:val="000000"/>
          <w:lang w:val="pt-BR"/>
        </w:rPr>
        <w:t xml:space="preserve">Jose Carlos Moreira de Brito Neto — 536962</w:t>
      </w:r>
    </w:p>
    <w:p>
      <w:pPr>
        <w:pStyle w:val="Author"/>
        <w:numPr>
          <w:numId w:val="0"/>
        </w:numPr>
        <w:keepNext/>
        <w:widowControl/>
        <w:jc w:val="center"/>
        <w:spacing w:after="1pt" w:before="0pt"/>
        <w:ind w:firstLine="0pt" w:start="0pt" w:end="0pt"/>
      </w:pPr>
      <w:r>
        <w:rPr>
          <w:color w:val="000000"/>
          <w:lang w:val="pt-BR"/>
          <w:sz w:val="20"/>
        </w:rPr>
        <w:t xml:space="preserve">Universidade Federal do Ceará — Eletrônica Industrial</w:t>
      </w:r>
    </w:p>
    <w:p>
      <w:pPr>
        <w:pStyle w:val="Author"/>
        <w:numPr>
          <w:numId w:val="0"/>
        </w:numPr>
        <w:widowControl/>
        <w:jc w:val="center"/>
        <w:spacing w:after="12pt" w:before="0pt"/>
        <w:ind w:firstLine="0pt" w:start="0pt" w:end="0pt"/>
        <w:sectPr>
          <w:pgSz w:w="595.30pt" w:h="841.90pt" w:code="9"/>
          <w:pgMar w:top="27pt" w:right="44.65pt" w:bottom="72pt" w:left="44.65pt" w:header="36pt" w:footer="36pt" w:gutter="0pt"/>
          <w:cols w:space="36pt"/>
          <w:docGrid w:linePitch="360"/>
        </w:sectPr>
      </w:pPr>
      <w:r>
        <w:rPr>
          <w:color w:val="000000"/>
          <w:lang w:val="pt-BR"/>
          <w:sz w:val="18"/>
        </w:rPr>
        <w:t xml:space="preserve">Prof. Dr. René Pastor Torrico-Bascopé • Outubro de 2026</w:t>
      </w:r>
    </w:p>
    <w:p>
      <w:pPr>
        <w:pStyle w:val="Abstract"/>
        <w:numPr>
          <w:numId w:val="0"/>
        </w:numPr>
        <w:widowControl/>
        <w:spacing w:after="6pt"/>
        <w:ind w:firstLine="0pt" w:start="0pt" w:end="0pt"/>
      </w:pPr>
      <w:r>
        <w:rPr>
          <w:color w:val="000000"/>
          <w:lang w:val="pt-BR"/>
        </w:rPr>
        <w:t xml:space="preserve">Resumo—Apresenta-se o dimensionamento e a verificação de um carregador isolado de 405 W, com ponte retificadora capacitiva, conversor Forward de duas chaves a 50 kHz e seleção entre controle de tensão e de corrente. A reconstrução dos cálculos identifica divergências no dimensionamento da ESR e na frequência de cruzamento da malha de corrente do material de referência. Adotam-se banco de 4400 µF, limite de duty de 0,45 e compensadores reprojetados. Oito ensaios efetivamente executados no PLECS verificam degraus de carga, três tensões de rede, curto-circuito, recarga emulada, ripple e convergência numérica. A ondulação em 373 Vcc diminui de 0,321 V para 0,166 V. O curto mantém corrente média do indutor de 15 A, mas apresenta descarga capacitiva de aproximadamente 492 A. A análise explicita o pequeno erro de regulação na fronteira CC/CV e distingue a emulação acelerada da bateria de uma previsão eletroquímica de recarga.</w:t>
      </w:r>
    </w:p>
    <w:p>
      <w:pPr>
        <w:pStyle w:val="Keywords"/>
        <w:numPr>
          <w:numId w:val="0"/>
        </w:numPr>
        <w:widowControl/>
        <w:spacing w:after="6pt"/>
        <w:ind w:firstLine="0pt" w:start="0pt" w:end="0pt"/>
      </w:pPr>
      <w:r>
        <w:rPr>
          <w:color w:val="000000"/>
          <w:lang w:val="pt-BR"/>
        </w:rPr>
        <w:t xml:space="preserve">Palavras-chave—Forward de duas chaves; carregador de baterias; controle CC/CV; PLECS; eletrônica de potência.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I. Introdução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Carregadores estacionários devem conciliar limitação de corrente, regulação de tensão e isolamento galvânico. O Forward de duas chaves transfere energia à saída durante a condução simultânea dos MOSFETs e devolve a energia magnetizante ao barramento durante o reset. A configuração limita idealmente a tensão de bloqueio de cada chave à tensão de entrada, mas exige equilíbrio volt-segundo e duty inferior a 0,5 [1], [2].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Este trabalho completa e audita o projeto didático de [1]. Refaz os cálculos, desenvolve magnéticos preliminares, reconstrói as malhas e substitui os ensaios em PSIM por circuitos nativos efetivamente executados no PLECS 5.0.6 [3]. Valores calculados, dados fornecidos e resultados simulados são identificados. A circulação restrita do documento-base é respeitada: as figuras apresentadas são próprias, produzidas a partir dos modelos e dados desta entrega.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redução da ESR resolve a ondulação excessiva, enquanto a transição entre as malhas revela um pequeno desvio de tensão. O projeto funcional é reproduzível, mas não equivale a protótipo físico validado: perdas de comutação, isolação construtiva, proteção instantânea e comportamento eletroquímico permanecem fora do escopo dos ensaios.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1202871"/>
            <wp:docPr id="1001" name="arquitetura" descr="arquitetura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1" name="arquitetura"/>
                    <ns0:cNvPicPr/>
                  </ns0:nvPicPr>
                  <ns0:blipFill>
                    <ns0:blip xmlns:ns0="http://purl.oclc.org/ooxml/drawingml/main" r:embed="rIdArtigo1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1202871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1. Arquitetura do carregador. O seletor CC/CV comanda simultaneamente as duas chaves do Forward.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II. Especificações e critérios</w:t>
      </w:r>
    </w:p>
    <w:p>
      <w:pPr>
        <w:pStyle w:val="tablehead"/>
        <w:numPr>
          <w:numId w:val="0"/>
        </w:numPr>
        <w:keepNext/>
        <w:widowControl/>
        <w:jc w:val="center"/>
        <w:ind w:firstLine="0pt" w:start="0pt" w:end="0pt"/>
      </w:pPr>
      <w:r>
        <w:rPr>
          <w:color w:val="000000"/>
          <w:lang w:val="pt-BR"/>
        </w:rPr>
        <w:t xml:space="preserve">TABELA I — Especificações de projeto</w:t>
      </w:r>
    </w:p>
    <w:tbl>
      <w:tblPr>
        <w:tblW w:w="4680" w:type="dxa"/>
        <w:tblLayout w:type="fixed"/>
        <w:tblBorders>
          <w:top w:val="single" w:sz="4" w:color="888888"/>
          <w:bottom w:val="single" w:sz="4" w:color="888888"/>
          <w:insideH w:val="single" w:sz="4" w:color="888888"/>
        </w:tblBorders>
        <w:tblCellMar>
          <w:top w:w="35" w:type="dxa"/>
          <w:bottom w:w="35" w:type="dxa"/>
          <w:start w:w="50" w:type="dxa"/>
          <w:end w:w="50" w:type="dxa"/>
        </w:tblCellMar>
      </w:tblPr>
      <w:tblGrid>
        <w:gridCol w:w="2200"/>
        <w:gridCol w:w="2480"/>
      </w:tblGrid>
      <w:tr>
        <w:trPr>
          <w:cantSplit/>
          <w:tblHeader/>
        </w:trPr>
        <w:tc>
          <w:tcPr>
            <w:tcW w:w="2200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Grandeza</w:t>
            </w:r>
          </w:p>
        </w:tc>
        <w:tc>
          <w:tcPr>
            <w:tcW w:w="2480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Rede nominal e faixa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220 V; 176–264 Vrms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Frequência da rede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60 Hz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Faixa da bateria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20–27 V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Corrente ajustável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0–15 A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Potência nominal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405 W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Comutação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50 kHz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Referência de corrente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0–2,5 V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Ripple de projeto</w:t>
            </w:r>
          </w:p>
        </w:tc>
        <w:tc>
          <w:tcPr>
            <w:tcW w:w="248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3 A no indutor; 0,27 V na saída</w:t>
            </w:r>
          </w:p>
        </w:tc>
      </w:tr>
    </w:tbl>
    <w:p>
      <w:pPr>
        <w:pStyle w:val="BodyText"/>
        <w:numPr>
          <w:numId w:val="0"/>
        </w:numPr>
        <w:widowControl/>
        <w:spacing w:after="2pt"/>
      </w:pP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Tabela I reúne os dados de [1]. A corrente de 15 A corresponde a 0,1C para uma bateria de 150 Ah; uma bateria de 7 Ah exige referência próxima de 0,7 A sob esse critério. A referência é ajustável, mas a campanha central usa 15 A. Os 27 V equivalem a 2,25 V por célula num banco de doze células e não constituem tensão universal de equalização. A seleção real depende do fabricante, da temperatura e do regime de uso [8].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Adotam-se como critérios tensão média dentro de ±1% de 27 V, corrente média limitada a 15 A com tolerância de ±2%, ripple até 0,27 Vpp e reset por ciclo. Esses critérios são avaliados separadamente: atender ao ripple não comprova precisão CC/CV, e limitar a média não elimina picos transitórios. O orçamento de entrada de 450 W, obtido com 90% de rendimento, serve ao dimensionamento e não é uma eficiência medida.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III. Retificador e barramento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Emprega-se ponte monofásica e dois capacitores de 470 µF/450 V em paralelo. Na rede mínima, o pico ideal é 248,9016 V. Reservando 10% de ondulação, o vale é 224,0114 V e θ=acos(0,9)=0,451027 rad. Durante a descarga com potência constante, a energia do capacitor fornece [1]:</w:t>
      </w:r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19"/>
                </w:rPr>
                <m:t>C</m:t>
              </m:r>
            </m:e>
            <m:sub>
              <m:r>
                <w:rPr>
                  <w:rFonts w:ascii="Cambria Math" w:hAnsi="Cambria Math"/>
                  <w:sz w:val="19"/>
                </w:rPr>
                <m:t>i</m:t>
              </m:r>
              <m:r>
                <w:rPr>
                  <w:rFonts w:ascii="Cambria Math" w:hAnsi="Cambria Math"/>
                  <w:sz w:val="19"/>
                </w:rPr>
                <m:t>n</m:t>
              </m:r>
            </m:sub>
          </m:sSub>
          <m:r>
            <w:rPr>
              <w:rFonts w:ascii="Cambria Math" w:hAnsi="Cambria Math"/>
              <w:sz w:val="19"/>
            </w:rPr>
            <m:t>=</m:t>
          </m:r>
          <m:f>
            <m:num>
              <m:r>
                <w:rPr>
                  <w:rFonts w:ascii="Cambria Math" w:hAnsi="Cambria Math"/>
                  <w:sz w:val="19"/>
                </w:rPr>
                <m:t>P</m:t>
              </m:r>
              <m:r>
                <w:rPr>
                  <w:rFonts w:ascii="Cambria Math" w:hAnsi="Cambria Math"/>
                  <w:sz w:val="19"/>
                </w:rPr>
                <m:t>(</m:t>
              </m:r>
              <m:r>
                <w:rPr>
                  <w:rFonts w:ascii="Cambria Math" w:hAnsi="Cambria Math"/>
                  <w:sz w:val="19"/>
                </w:rPr>
                <m:t>π</m:t>
              </m:r>
              <m:r>
                <w:rPr>
                  <w:rFonts w:ascii="Cambria Math" w:hAnsi="Cambria Math"/>
                  <w:sz w:val="19"/>
                </w:rPr>
                <m:t>−</m:t>
              </m:r>
              <m:r>
                <w:rPr>
                  <w:rFonts w:ascii="Cambria Math" w:hAnsi="Cambria Math"/>
                  <w:sz w:val="19"/>
                </w:rPr>
                <m:t>θ</m:t>
              </m:r>
              <m:r>
                <w:rPr>
                  <w:rFonts w:ascii="Cambria Math" w:hAnsi="Cambria Math"/>
                  <w:sz w:val="19"/>
                </w:rPr>
                <m:t>)</m:t>
              </m:r>
            </m:num>
            <m:den>
              <m:r>
                <w:rPr>
                  <w:rFonts w:ascii="Cambria Math" w:hAnsi="Cambria Math"/>
                  <w:sz w:val="19"/>
                </w:rPr>
                <m:t>π</m:t>
              </m:r>
              <m:r>
                <w:rPr>
                  <w:rFonts w:ascii="Cambria Math" w:hAnsi="Cambria Math"/>
                  <w:sz w:val="19"/>
                </w:rPr>
                <m:t> 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(</m:t>
              </m:r>
              <m:sSup>
                <m:e>
                  <m:sSub>
                    <m:e>
                      <m:r>
                        <w:rPr>
                          <w:rFonts w:ascii="Cambria Math" w:hAnsi="Cambria Math"/>
                          <w:sz w:val="19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19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19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9"/>
                </w:rPr>
                <m:t>−</m:t>
              </m:r>
              <m:sSup>
                <m:e>
                  <m:sSub>
                    <m:e>
                      <m:r>
                        <w:rPr>
                          <w:rFonts w:ascii="Cambria Math" w:hAnsi="Cambria Math"/>
                          <w:sz w:val="19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19"/>
                        </w:rPr>
                        <m:t>m</m:t>
                      </m:r>
                      <m:r>
                        <w:rPr>
                          <w:rFonts w:ascii="Cambria Math" w:hAnsi="Cambria Math"/>
                          <w:sz w:val="19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19"/>
                        </w:rPr>
                        <m:t>n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19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19"/>
                </w:rPr>
                <m:t>)</m:t>
              </m:r>
            </m:den>
          </m:f>
          <m:r>
            <w:rPr>
              <w:rFonts w:ascii="Cambria Math" w:hAnsi="Cambria Math"/>
              <w:sz w:val="19"/>
            </w:rPr>
            <m:t>=</m:t>
          </m:r>
          <m:r>
            <w:rPr>
              <w:rFonts w:ascii="Cambria Math" w:hAnsi="Cambria Math"/>
              <w:sz w:val="19"/>
            </w:rPr>
            <m:t>5</m:t>
          </m:r>
          <m:r>
            <w:rPr>
              <w:rFonts w:ascii="Cambria Math" w:hAnsi="Cambria Math"/>
              <w:sz w:val="19"/>
            </w:rPr>
            <m:t>4</m:t>
          </m:r>
          <m:r>
            <w:rPr>
              <w:rFonts w:ascii="Cambria Math" w:hAnsi="Cambria Math"/>
              <w:sz w:val="19"/>
            </w:rPr>
            <m:t>5</m:t>
          </m:r>
          <m:r>
            <w:rPr>
              <w:rFonts w:ascii="Cambria Math" w:hAnsi="Cambria Math"/>
              <w:sz w:val="19"/>
            </w:rPr>
            <m:t>,</m:t>
          </m:r>
          <m:r>
            <w:rPr>
              <w:rFonts w:ascii="Cambria Math" w:hAnsi="Cambria Math"/>
              <w:sz w:val="19"/>
            </w:rPr>
            <m:t>6</m:t>
          </m:r>
          <m:r>
            <w:rPr>
              <w:rFonts w:ascii="Cambria Math" w:hAnsi="Cambria Math"/>
              <w:sz w:val="19"/>
            </w:rPr>
            <m:t>9</m:t>
          </m:r>
          <m:r>
            <w:rPr>
              <w:rFonts w:ascii="Cambria Math" w:hAnsi="Cambria Math"/>
              <w:sz w:val="19"/>
            </w:rPr>
            <m:t> </m:t>
          </m:r>
          <m:r>
            <w:rPr>
              <w:rFonts w:ascii="Cambria Math" w:hAnsi="Cambria Math"/>
              <w:sz w:val="19"/>
            </w:rPr>
            <m:t>μ</m:t>
          </m:r>
          <m:r>
            <w:rPr>
              <w:rFonts w:ascii="Cambria Math" w:hAnsi="Cambria Math"/>
              <w:sz w:val="19"/>
            </w:rPr>
            <m:t>F</m:t>
          </m:r>
          <m:r>
            <m:t>   (1)</m:t>
          </m:r>
        </m:oMath>
      </m:oMathPara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Com P=450 W e fr=60 Hz, a unidade W/(Hz·V²) resulta em farads. O banco de 940 µF supera o mínimo ideal inclusive com tolerância de −20%, que resulta em 752 µF. A discrepância entre 470 µF na figura do circuito de [1] e 940 µF no dimensionamento é resolvida em favor do banco calculado. O pico na rede máxima é 373,35 V; a classe de 450 V não substitui proteção contra surtos.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Na aproximação de pulso retangular, a corrente equivalente de saída da ponte é 1,9031 A, o tempo de reposição é 1,1964 ms e o pico de recarga é 13,2559 A. Cada diodo apresenta corrente média aproximada de 0,9515 A e eficaz de 3,5516 A. O capacitor apresenta 4,6482 A eficazes no ponto ideal original. Esses esforços dependem do pulso e devem ser revistos para o banco e a impedância efetivos; não aprovam qualquer capacitor de 470 µF.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No PLECS, os diodos da ponte têm queda de 0,7 V e resistência de 10 mΩ. A rede inclui 0,5 Ω e 100 µH, hipóteses explícitas de fonte. O barramento é pré-carregado ao pico menos 1,4 V. Essa condição permite examinar regulação, mas exclui partida a frio e inrush. O fator de potência é calculado por potência ativa dividida por Vrms·Irms, e não apenas por cosφ.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IV. Estágio Forward e magnéticos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A. Ganho e filtro de saída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Quando Q1 e Q2 conduzem, o primário recebe aproximadamente Vbus e o secundário alimenta o filtro. No desligamento, os diodos de reset aplicam tensão negativa ao primário e devolvem energia ao barramento. O diodo de roda livre sustenta a corrente do indutor. Com tensões simétricas de excitação e reset, o tempo de desmagnetização é aproximadamente igual ao tempo ligado [2].</w:t>
      </w:r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r>
            <w:rPr>
              <w:rFonts w:ascii="Cambria Math" w:hAnsi="Cambria Math"/>
              <w:sz w:val="19"/>
            </w:rPr>
            <m:t>n</m:t>
          </m:r>
          <m:r>
            <w:rPr>
              <w:rFonts w:ascii="Cambria Math" w:hAnsi="Cambria Math"/>
              <w:sz w:val="19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  <w:sz w:val="19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</m:num>
            <m:den>
              <m:sSub>
                <m:e>
                  <m:r>
                    <w:rPr>
                      <w:rFonts w:ascii="Cambria Math" w:hAnsi="Cambria Math"/>
                      <w:sz w:val="19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p</m:t>
                  </m:r>
                </m:sub>
              </m:sSub>
            </m:den>
          </m:f>
          <m:r>
            <w:rPr>
              <w:rFonts w:ascii="Cambria Math" w:hAnsi="Cambria Math"/>
              <w:sz w:val="19"/>
            </w:rPr>
            <m:t>=</m:t>
          </m:r>
          <m:r>
            <w:rPr>
              <w:rFonts w:ascii="Cambria Math" w:hAnsi="Cambria Math"/>
              <w:sz w:val="19"/>
            </w:rPr>
            <m:t>0</m:t>
          </m:r>
          <m:r>
            <w:rPr>
              <w:rFonts w:ascii="Cambria Math" w:hAnsi="Cambria Math"/>
              <w:sz w:val="19"/>
            </w:rPr>
            <m:t>,</m:t>
          </m:r>
          <m:r>
            <w:rPr>
              <w:rFonts w:ascii="Cambria Math" w:hAnsi="Cambria Math"/>
              <w:sz w:val="19"/>
            </w:rPr>
            <m:t>3</m:t>
          </m:r>
          <m:r>
            <w:rPr>
              <w:rFonts w:ascii="Cambria Math" w:hAnsi="Cambria Math"/>
              <w:sz w:val="19"/>
            </w:rPr>
            <m:t>,</m:t>
          </m:r>
          <m:r>
            <w:rPr>
              <w:rFonts w:ascii="Cambria Math" w:hAnsi="Cambria Math"/>
              <w:sz w:val="19"/>
            </w:rPr>
            <m:t> </m:t>
          </m:r>
          <m:r>
            <w:rPr>
              <w:rFonts w:ascii="Cambria Math" w:hAnsi="Cambria Math"/>
              <w:sz w:val="19"/>
            </w:rPr>
            <m:t> </m:t>
          </m:r>
          <m:r>
            <w:rPr>
              <w:rFonts w:ascii="Cambria Math" w:hAnsi="Cambria Math"/>
              <w:sz w:val="19"/>
            </w:rPr>
            <m:t> </m:t>
          </m:r>
          <m:sSub>
            <m:e>
              <m:r>
                <w:rPr>
                  <w:rFonts w:ascii="Cambria Math" w:hAnsi="Cambria Math"/>
                  <w:sz w:val="19"/>
                </w:rPr>
                <m:t>V</m:t>
              </m:r>
            </m:e>
            <m:sub>
              <m:r>
                <w:rPr>
                  <w:rFonts w:ascii="Cambria Math" w:hAnsi="Cambria Math"/>
                  <w:sz w:val="19"/>
                </w:rPr>
                <m:t>o</m:t>
              </m:r>
            </m:sub>
          </m:sSub>
          <m:r>
            <w:rPr>
              <w:rFonts w:ascii="Cambria Math" w:hAnsi="Cambria Math"/>
              <w:sz w:val="19"/>
            </w:rPr>
            <m:t>=</m:t>
          </m:r>
          <m:r>
            <w:rPr>
              <w:rFonts w:ascii="Cambria Math" w:hAnsi="Cambria Math"/>
              <w:sz w:val="19"/>
            </w:rPr>
            <m:t>n</m:t>
          </m:r>
          <m:sSub>
            <m:e>
              <m:r>
                <w:rPr>
                  <w:rFonts w:ascii="Cambria Math" w:hAnsi="Cambria Math"/>
                  <w:sz w:val="19"/>
                </w:rPr>
                <m:t>V</m:t>
              </m:r>
            </m:e>
            <m:sub>
              <m:r>
                <w:rPr>
                  <w:rFonts w:ascii="Cambria Math" w:hAnsi="Cambria Math"/>
                  <w:sz w:val="19"/>
                </w:rPr>
                <m:t>b</m:t>
              </m:r>
              <m:r>
                <w:rPr>
                  <w:rFonts w:ascii="Cambria Math" w:hAnsi="Cambria Math"/>
                  <w:sz w:val="19"/>
                </w:rPr>
                <m:t>u</m:t>
              </m:r>
              <m:r>
                <w:rPr>
                  <w:rFonts w:ascii="Cambria Math" w:hAnsi="Cambria Math"/>
                  <w:sz w:val="19"/>
                </w:rPr>
                <m:t>s</m:t>
              </m:r>
            </m:sub>
          </m:sSub>
          <m:r>
            <w:rPr>
              <w:rFonts w:ascii="Cambria Math" w:hAnsi="Cambria Math"/>
              <w:sz w:val="19"/>
            </w:rPr>
            <m:t>D</m:t>
          </m:r>
          <m:r>
            <m:t>   (2)</m:t>
          </m:r>
        </m:oMath>
      </m:oMathPara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 projeto ideal fornece D=0,4 em 225 V e D=0,241287 em 373 V. Adota-se Dlim=0,45 para acomodar quedas nos diodos, shunt e enrolamentos, mantendo reserva ideal de 10% do período além da excitação e do reset. Uma estimativa de 29 V requeridos no secundário filtrado resulta em D≈0,4296 a 225 V; limitar a 0,4 impediria atingir a especificação com essas perdas.</w:t>
      </w:r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19"/>
                </w:rPr>
                <m:t>L</m:t>
              </m:r>
            </m:e>
            <m:sub>
              <m:r>
                <w:rPr>
                  <w:rFonts w:ascii="Cambria Math" w:hAnsi="Cambria Math"/>
                  <w:sz w:val="19"/>
                </w:rPr>
                <m:t>o</m:t>
              </m:r>
            </m:sub>
          </m:sSub>
          <m:r>
            <w:rPr>
              <w:rFonts w:ascii="Cambria Math" w:hAnsi="Cambria Math"/>
              <w:sz w:val="19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  <w:sz w:val="19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(</m:t>
              </m:r>
              <m:r>
                <w:rPr>
                  <w:rFonts w:ascii="Cambria Math" w:hAnsi="Cambria Math"/>
                  <w:sz w:val="19"/>
                </w:rPr>
                <m:t>1</m:t>
              </m:r>
              <m:r>
                <w:rPr>
                  <w:rFonts w:ascii="Cambria Math" w:hAnsi="Cambria Math"/>
                  <w:sz w:val="19"/>
                </w:rPr>
                <m:t>−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m</m:t>
                  </m:r>
                  <m:r>
                    <w:rPr>
                      <w:rFonts w:ascii="Cambria Math" w:hAnsi="Cambria Math"/>
                      <w:sz w:val="19"/>
                    </w:rPr>
                    <m:t>i</m:t>
                  </m:r>
                  <m:r>
                    <w:rPr>
                      <w:rFonts w:ascii="Cambria Math" w:hAnsi="Cambria Math"/>
                      <w:sz w:val="19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)</m:t>
              </m:r>
            </m:num>
            <m:den>
              <m:sSub>
                <m:e>
                  <m:r>
                    <w:rPr>
                      <w:rFonts w:ascii="Cambria Math" w:hAnsi="Cambria Math"/>
                      <w:sz w:val="19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  <w:sz w:val="19"/>
            </w:rPr>
            <m:t>=</m:t>
          </m:r>
          <m:r>
            <w:rPr>
              <w:rFonts w:ascii="Cambria Math" w:hAnsi="Cambria Math"/>
              <w:sz w:val="19"/>
            </w:rPr>
            <m:t>1</m:t>
          </m:r>
          <m:r>
            <w:rPr>
              <w:rFonts w:ascii="Cambria Math" w:hAnsi="Cambria Math"/>
              <w:sz w:val="19"/>
            </w:rPr>
            <m:t>3</m:t>
          </m:r>
          <m:r>
            <w:rPr>
              <w:rFonts w:ascii="Cambria Math" w:hAnsi="Cambria Math"/>
              <w:sz w:val="19"/>
            </w:rPr>
            <m:t>6</m:t>
          </m:r>
          <m:r>
            <w:rPr>
              <w:rFonts w:ascii="Cambria Math" w:hAnsi="Cambria Math"/>
              <w:sz w:val="19"/>
            </w:rPr>
            <m:t>,</m:t>
          </m:r>
          <m:r>
            <w:rPr>
              <w:rFonts w:ascii="Cambria Math" w:hAnsi="Cambria Math"/>
              <w:sz w:val="19"/>
            </w:rPr>
            <m:t>5</m:t>
          </m:r>
          <m:r>
            <w:rPr>
              <w:rFonts w:ascii="Cambria Math" w:hAnsi="Cambria Math"/>
              <w:sz w:val="19"/>
            </w:rPr>
            <m:t>6</m:t>
          </m:r>
          <m:r>
            <w:rPr>
              <w:rFonts w:ascii="Cambria Math" w:hAnsi="Cambria Math"/>
              <w:sz w:val="19"/>
            </w:rPr>
            <m:t>8</m:t>
          </m:r>
          <m:r>
            <w:rPr>
              <w:rFonts w:ascii="Cambria Math" w:hAnsi="Cambria Math"/>
              <w:sz w:val="19"/>
            </w:rPr>
            <m:t> </m:t>
          </m:r>
          <m:r>
            <w:rPr>
              <w:rFonts w:ascii="Cambria Math" w:hAnsi="Cambria Math"/>
              <w:sz w:val="19"/>
            </w:rPr>
            <m:t>μ</m:t>
          </m:r>
          <m:r>
            <w:rPr>
              <w:rFonts w:ascii="Cambria Math" w:hAnsi="Cambria Math"/>
              <w:sz w:val="19"/>
            </w:rPr>
            <m:t>H</m:t>
          </m:r>
          <m:r>
            <m:t>   (3)</m:t>
          </m:r>
        </m:oMath>
      </m:oMathPara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Adota-se Lo=136,6 µH. O pico ideal em 15 A é 16,5 A e a corrente eficaz é 15,025 A. A carga de 20%, correspondente a 3 A, permanece em CCM pelo critério ideal Io&gt;ΔIL/2. A cauda de recarga entra em DCM e exige interpretação distinta das plantas lineares em CCM.</w:t>
      </w:r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19"/>
                </w:rPr>
                <m:t>C</m:t>
              </m:r>
            </m:e>
            <m:sub>
              <m:r>
                <w:rPr>
                  <w:rFonts w:ascii="Cambria Math" w:hAnsi="Cambria Math"/>
                  <w:sz w:val="19"/>
                </w:rPr>
                <m:t>m</m:t>
              </m:r>
              <m:r>
                <w:rPr>
                  <w:rFonts w:ascii="Cambria Math" w:hAnsi="Cambria Math"/>
                  <w:sz w:val="19"/>
                </w:rPr>
                <m:t>i</m:t>
              </m:r>
              <m:r>
                <w:rPr>
                  <w:rFonts w:ascii="Cambria Math" w:hAnsi="Cambria Math"/>
                  <w:sz w:val="19"/>
                </w:rPr>
                <m:t>n</m:t>
              </m:r>
            </m:sub>
          </m:sSub>
          <m:r>
            <w:rPr>
              <w:rFonts w:ascii="Cambria Math" w:hAnsi="Cambria Math"/>
              <w:sz w:val="19"/>
            </w:rPr>
            <m:t>=</m:t>
          </m:r>
          <m:f>
            <m:num>
              <m:r>
                <w:rPr>
                  <w:rFonts w:ascii="Cambria Math" w:hAnsi="Cambria Math"/>
                  <w:sz w:val="19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  <w:sz w:val="19"/>
                </w:rPr>
                <m:t>8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o</m:t>
                  </m:r>
                </m:sub>
              </m:sSub>
            </m:den>
          </m:f>
          <m:r>
            <w:rPr>
              <w:rFonts w:ascii="Cambria Math" w:hAnsi="Cambria Math"/>
              <w:sz w:val="19"/>
            </w:rPr>
            <m:t>=</m:t>
          </m:r>
          <m:r>
            <w:rPr>
              <w:rFonts w:ascii="Cambria Math" w:hAnsi="Cambria Math"/>
              <w:sz w:val="19"/>
            </w:rPr>
            <m:t>2</m:t>
          </m:r>
          <m:r>
            <w:rPr>
              <w:rFonts w:ascii="Cambria Math" w:hAnsi="Cambria Math"/>
              <w:sz w:val="19"/>
            </w:rPr>
            <m:t>7</m:t>
          </m:r>
          <m:r>
            <w:rPr>
              <w:rFonts w:ascii="Cambria Math" w:hAnsi="Cambria Math"/>
              <w:sz w:val="19"/>
            </w:rPr>
            <m:t>,</m:t>
          </m:r>
          <m:r>
            <w:rPr>
              <w:rFonts w:ascii="Cambria Math" w:hAnsi="Cambria Math"/>
              <w:sz w:val="19"/>
            </w:rPr>
            <m:t>7</m:t>
          </m:r>
          <m:r>
            <w:rPr>
              <w:rFonts w:ascii="Cambria Math" w:hAnsi="Cambria Math"/>
              <w:sz w:val="19"/>
            </w:rPr>
            <m:t>7</m:t>
          </m:r>
          <m:r>
            <w:rPr>
              <w:rFonts w:ascii="Cambria Math" w:hAnsi="Cambria Math"/>
              <w:sz w:val="19"/>
            </w:rPr>
            <m:t>8</m:t>
          </m:r>
          <m:r>
            <w:rPr>
              <w:rFonts w:ascii="Cambria Math" w:hAnsi="Cambria Math"/>
              <w:sz w:val="19"/>
            </w:rPr>
            <m:t> </m:t>
          </m:r>
          <m:r>
            <w:rPr>
              <w:rFonts w:ascii="Cambria Math" w:hAnsi="Cambria Math"/>
              <w:sz w:val="19"/>
            </w:rPr>
            <m:t>μ</m:t>
          </m:r>
          <m:r>
            <w:rPr>
              <w:rFonts w:ascii="Cambria Math" w:hAnsi="Cambria Math"/>
              <w:sz w:val="19"/>
            </w:rPr>
            <m:t>F</m:t>
          </m:r>
          <m:r>
            <m:t>   (4)</m:t>
          </m:r>
        </m:oMath>
      </m:oMathPara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r>
            <w:rPr>
              <w:rFonts w:ascii="Cambria Math" w:hAnsi="Cambria Math"/>
              <w:sz w:val="19"/>
            </w:rPr>
            <m:t>Δ</m:t>
          </m:r>
          <m:sSub>
            <m:e>
              <m:r>
                <w:rPr>
                  <w:rFonts w:ascii="Cambria Math" w:hAnsi="Cambria Math"/>
                  <w:sz w:val="19"/>
                </w:rPr>
                <m:t>V</m:t>
              </m:r>
            </m:e>
            <m:sub>
              <m:r>
                <w:rPr>
                  <w:rFonts w:ascii="Cambria Math" w:hAnsi="Cambria Math"/>
                  <w:sz w:val="19"/>
                </w:rPr>
                <m:t>o</m:t>
              </m:r>
            </m:sub>
          </m:sSub>
          <m:r>
            <w:rPr>
              <w:rFonts w:ascii="Cambria Math" w:hAnsi="Cambria Math"/>
              <w:sz w:val="19"/>
            </w:rPr>
            <m:t>≤</m:t>
          </m:r>
          <m:r>
            <w:rPr>
              <w:rFonts w:ascii="Cambria Math" w:hAnsi="Cambria Math"/>
              <w:sz w:val="19"/>
            </w:rPr>
            <m:t>Δ</m:t>
          </m:r>
          <m:sSub>
            <m:e>
              <m:r>
                <w:rPr>
                  <w:rFonts w:ascii="Cambria Math" w:hAnsi="Cambria Math"/>
                  <w:sz w:val="19"/>
                </w:rPr>
                <m:t>I</m:t>
              </m:r>
            </m:e>
            <m:sub>
              <m:r>
                <w:rPr>
                  <w:rFonts w:ascii="Cambria Math" w:hAnsi="Cambria Math"/>
                  <w:sz w:val="19"/>
                </w:rPr>
                <m:t>L</m:t>
              </m:r>
            </m:sub>
          </m:sSub>
          <m:r>
            <w:rPr>
              <w:rFonts w:ascii="Cambria Math" w:hAnsi="Cambria Math"/>
              <w:sz w:val="19"/>
            </w:rPr>
            <m:t>(</m:t>
          </m:r>
          <m:r>
            <w:rPr>
              <w:rFonts w:ascii="Cambria Math" w:hAnsi="Cambria Math"/>
              <w:sz w:val="19"/>
            </w:rPr>
            <m:t>r</m:t>
          </m:r>
          <m:r>
            <w:rPr>
              <w:rFonts w:ascii="Cambria Math" w:hAnsi="Cambria Math"/>
              <w:sz w:val="19"/>
            </w:rPr>
            <m:t>+</m:t>
          </m:r>
          <m:f>
            <m:num>
              <m:r>
                <w:rPr>
                  <w:rFonts w:ascii="Cambria Math" w:hAnsi="Cambria Math"/>
                  <w:sz w:val="19"/>
                </w:rPr>
                <m:t>1</m:t>
              </m:r>
            </m:num>
            <m:den>
              <m:r>
                <w:rPr>
                  <w:rFonts w:ascii="Cambria Math" w:hAnsi="Cambria Math"/>
                  <w:sz w:val="19"/>
                </w:rPr>
                <m:t>8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C</m:t>
              </m:r>
            </m:den>
          </m:f>
          <m:r>
            <w:rPr>
              <w:rFonts w:ascii="Cambria Math" w:hAnsi="Cambria Math"/>
              <w:sz w:val="19"/>
            </w:rPr>
            <m:t>)</m:t>
          </m:r>
          <m:r>
            <m:t>   (5)</m:t>
          </m:r>
        </m:oMath>
      </m:oMathPara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última expressão soma conservadoramente as parcelas resistiva e capacitiva, cujos máximos não precisam ser simultâneos. Para 2200 µF e ESR de 0,11 Ω, a estimativa é 0,33341 Vpp, acima de 0,27 V. Adotam-se dois capacitores de 2200 µF/50 V em paralelo, totalizando 4400 µF e 55 mΩ, com previsão de 0,16670 Vpp para ΔIL=3 A.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 catálogo B41821F6228M*** informa ESR máxima de 0,11 Ω a 120 Hz e 20 °C [4]. Usar esse valor constante a 50 kHz é hipótese de engenharia, não medição nessa frequência. A ondulação triangular de 3 A representa 0,866 A eficazes no banco, ou 0,433 A por capacitor com compartilhamento ideal. Transientes e temperatura exigem análise adicional.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B. Dimensionamento preliminar dos magnéticos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Para o transformador seleciona-se ETD59/31/22 em N87, com Ae=368 mm², AL=5300 nH e janela de 365,6 mm² [5]. O limite de excursão de fluxo de 0,18 T no pior produto Vbus·D fornece Np mínimo de 50,68 espiras. Adotam-se Np=60 e Ns=18, com Lm=19,08 mH. A excursão máxima em 373 V e duty 0,45 é 0,1520 T; no ponto ideal regulado é 0,0815 T.</w:t>
      </w:r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r>
            <w:rPr>
              <w:rFonts w:ascii="Cambria Math" w:hAnsi="Cambria Math"/>
              <w:sz w:val="19"/>
            </w:rPr>
            <m:t>Δ</m:t>
          </m:r>
          <m:r>
            <w:rPr>
              <w:rFonts w:ascii="Cambria Math" w:hAnsi="Cambria Math"/>
              <w:sz w:val="19"/>
            </w:rPr>
            <m:t>B</m:t>
          </m:r>
          <m:r>
            <w:rPr>
              <w:rFonts w:ascii="Cambria Math" w:hAnsi="Cambria Math"/>
              <w:sz w:val="19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  <w:sz w:val="19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b</m:t>
                  </m:r>
                  <m:r>
                    <w:rPr>
                      <w:rFonts w:ascii="Cambria Math" w:hAnsi="Cambria Math"/>
                      <w:sz w:val="19"/>
                    </w:rPr>
                    <m:t>u</m:t>
                  </m:r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D</m:t>
              </m:r>
            </m:num>
            <m:den>
              <m:sSub>
                <m:e>
                  <m:r>
                    <w:rPr>
                      <w:rFonts w:ascii="Cambria Math" w:hAnsi="Cambria Math"/>
                      <w:sz w:val="19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19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19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  <w:sz w:val="19"/>
            </w:rPr>
            <m:t>,</m:t>
          </m:r>
          <m:r>
            <w:rPr>
              <w:rFonts w:ascii="Cambria Math" w:hAnsi="Cambria Math"/>
              <w:sz w:val="19"/>
            </w:rPr>
            <m:t> </m:t>
          </m:r>
          <m:r>
            <w:rPr>
              <w:rFonts w:ascii="Cambria Math" w:hAnsi="Cambria Math"/>
              <w:sz w:val="19"/>
            </w:rPr>
            <m:t> </m:t>
          </m:r>
          <m:r>
            <w:rPr>
              <w:rFonts w:ascii="Cambria Math" w:hAnsi="Cambria Math"/>
              <w:sz w:val="19"/>
            </w:rPr>
            <m:t> </m:t>
          </m:r>
          <m:sSub>
            <m:e>
              <m:r>
                <w:rPr>
                  <w:rFonts w:ascii="Cambria Math" w:hAnsi="Cambria Math"/>
                  <w:sz w:val="19"/>
                </w:rPr>
                <m:t>L</m:t>
              </m:r>
            </m:e>
            <m:sub>
              <m:r>
                <w:rPr>
                  <w:rFonts w:ascii="Cambria Math" w:hAnsi="Cambria Math"/>
                  <w:sz w:val="19"/>
                </w:rPr>
                <m:t>m</m:t>
              </m:r>
            </m:sub>
          </m:sSub>
          <m:r>
            <w:rPr>
              <w:rFonts w:ascii="Cambria Math" w:hAnsi="Cambria Math"/>
              <w:sz w:val="19"/>
            </w:rPr>
            <m:t>=</m:t>
          </m:r>
          <m:sSub>
            <m:e>
              <m:r>
                <w:rPr>
                  <w:rFonts w:ascii="Cambria Math" w:hAnsi="Cambria Math"/>
                  <w:sz w:val="19"/>
                </w:rPr>
                <m:t>A</m:t>
              </m:r>
            </m:e>
            <m:sub>
              <m:r>
                <w:rPr>
                  <w:rFonts w:ascii="Cambria Math" w:hAnsi="Cambria Math"/>
                  <w:sz w:val="19"/>
                </w:rPr>
                <m:t>L</m:t>
              </m:r>
            </m:sub>
          </m:sSub>
          <m:sSup>
            <m:e>
              <m:sSub>
                <m:e>
                  <m:r>
                    <w:rPr>
                      <w:rFonts w:ascii="Cambria Math" w:hAnsi="Cambria Math"/>
                      <w:sz w:val="19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p</m:t>
                  </m:r>
                </m:sub>
              </m:sSub>
            </m:e>
            <m:sup>
              <m:r>
                <w:rPr>
                  <w:rFonts w:ascii="Cambria Math" w:hAnsi="Cambria Math"/>
                  <w:sz w:val="19"/>
                </w:rPr>
                <m:t>2</m:t>
              </m:r>
            </m:sup>
          </m:sSup>
          <m:r>
            <m:t>   (6)</m:t>
          </m:r>
        </m:oMath>
      </m:oMathPara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Propõem-se dez fios de 0,32 mm em paralelo no primário e 33 no secundário, áreas de cobre de 0,804 e 2,654 mm². A ocupação estimada de cobre é 26,3% da janela, antes de avaliar isolação e terminais. As resistências a 20 °C são 0,1365 Ω e 0,01241 Ω; as perdas de cobre de primeira ordem são 2,51 W no limite de duty 0,45. Perdas AC, proximidade e núcleo não estão incluídas.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Para Lo, escolhe-se E65/32/27DG N87 com AL=100 nH, Ae=535 mm² e área mínima de 529 mm² [6]. Com 37 espiras, obtém-se 136,9 µH, diferença de 0,22% para o modelo. Um feixe de 48 fios de 0,32 mm fornece 3,860 mm² e ocupação de 33,5%. A resistência DC estimada é 31,06 mΩ, superior aos 20 mΩ agregados simulados, impedindo usar o circuito como balanço térmico final. No pico de curto de 20,991 A, o fluxo calculado é 0,1468 T, ou 0,1615 T com indutância +10%. O indutor simulado é linear e não valida saturação real.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C. Esforços e componentes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Cada MOSFET bloqueia aproximadamente Vbus e conduz nIL+Im. A classe preliminar é de pelo menos 600 V e 10 A, sujeita a SOA, dissipação e parasitas. Os diodos de saída devem suportar aproximadamente 112 V reversos ideais; considera-se classe de 200 V e 25–30 A como ponto de partida. O diodo de bloqueio impede retorno da bateria ao estágio, mas dissipa pelo menos 10,5 W sob queda de 0,7 V em 15 A e não impede descarga do capacitor num curto. A seleção final exige análise térmica e de recuperação reversa.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V. Modelagem e controle CC/CV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A. Plantas e compensadores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tensão média aplicada ao filtro permite modelar a pequena perturbação em CCM. Para carga R, capacitância C e ESR r, definem-se:</w:t>
      </w:r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19"/>
                </w:rPr>
                <m:t>D</m:t>
              </m:r>
            </m:e>
            <m:sub>
              <m:r>
                <w:rPr>
                  <w:rFonts w:ascii="Cambria Math" w:hAnsi="Cambria Math"/>
                  <w:sz w:val="19"/>
                </w:rPr>
                <m:t>p</m:t>
              </m:r>
            </m:sub>
          </m:sSub>
          <m:r>
            <w:rPr>
              <w:rFonts w:ascii="Cambria Math" w:hAnsi="Cambria Math"/>
              <w:sz w:val="19"/>
            </w:rPr>
            <m:t>(</m:t>
          </m:r>
          <m:r>
            <w:rPr>
              <w:rFonts w:ascii="Cambria Math" w:hAnsi="Cambria Math"/>
              <w:sz w:val="19"/>
            </w:rPr>
            <m:t>s</m:t>
          </m:r>
          <m:r>
            <w:rPr>
              <w:rFonts w:ascii="Cambria Math" w:hAnsi="Cambria Math"/>
              <w:sz w:val="19"/>
            </w:rPr>
            <m:t>)</m:t>
          </m:r>
          <m:r>
            <w:rPr>
              <w:rFonts w:ascii="Cambria Math" w:hAnsi="Cambria Math"/>
              <w:sz w:val="19"/>
            </w:rPr>
            <m:t>=</m:t>
          </m:r>
          <m:r>
            <w:rPr>
              <w:rFonts w:ascii="Cambria Math" w:hAnsi="Cambria Math"/>
              <w:sz w:val="19"/>
            </w:rPr>
            <m:t>L</m:t>
          </m:r>
          <m:r>
            <w:rPr>
              <w:rFonts w:ascii="Cambria Math" w:hAnsi="Cambria Math"/>
              <w:sz w:val="19"/>
            </w:rPr>
            <m:t>C</m:t>
          </m:r>
          <m:r>
            <w:rPr>
              <w:rFonts w:ascii="Cambria Math" w:hAnsi="Cambria Math"/>
              <w:sz w:val="19"/>
            </w:rPr>
            <m:t>(</m:t>
          </m:r>
          <m:r>
            <w:rPr>
              <w:rFonts w:ascii="Cambria Math" w:hAnsi="Cambria Math"/>
              <w:sz w:val="19"/>
            </w:rPr>
            <m:t>1</m:t>
          </m:r>
          <m:r>
            <w:rPr>
              <w:rFonts w:ascii="Cambria Math" w:hAnsi="Cambria Math"/>
              <w:sz w:val="19"/>
            </w:rPr>
            <m:t>+</m:t>
          </m:r>
          <m:r>
            <w:rPr>
              <w:rFonts w:ascii="Cambria Math" w:hAnsi="Cambria Math"/>
              <w:sz w:val="19"/>
            </w:rPr>
            <m:t>r</m:t>
          </m:r>
          <m:r>
            <w:rPr>
              <w:rFonts w:ascii="Cambria Math" w:hAnsi="Cambria Math"/>
              <w:sz w:val="19"/>
            </w:rPr>
            <m:t>/</m:t>
          </m:r>
          <m:r>
            <w:rPr>
              <w:rFonts w:ascii="Cambria Math" w:hAnsi="Cambria Math"/>
              <w:sz w:val="19"/>
            </w:rPr>
            <m:t>R</m:t>
          </m:r>
          <m:r>
            <w:rPr>
              <w:rFonts w:ascii="Cambria Math" w:hAnsi="Cambria Math"/>
              <w:sz w:val="19"/>
            </w:rPr>
            <m:t>)</m:t>
          </m:r>
          <m:sSup>
            <m:e>
              <m:r>
                <w:rPr>
                  <w:rFonts w:ascii="Cambria Math" w:hAnsi="Cambria Math"/>
                  <w:sz w:val="19"/>
                </w:rPr>
                <m:t>s</m:t>
              </m:r>
            </m:e>
            <m:sup>
              <m:r>
                <w:rPr>
                  <w:rFonts w:ascii="Cambria Math" w:hAnsi="Cambria Math"/>
                  <w:sz w:val="19"/>
                </w:rPr>
                <m:t>2</m:t>
              </m:r>
            </m:sup>
          </m:sSup>
          <m:r>
            <w:rPr>
              <w:rFonts w:ascii="Cambria Math" w:hAnsi="Cambria Math"/>
              <w:sz w:val="19"/>
            </w:rPr>
            <m:t>+</m:t>
          </m:r>
          <m:r>
            <w:rPr>
              <w:rFonts w:ascii="Cambria Math" w:hAnsi="Cambria Math"/>
              <w:sz w:val="19"/>
            </w:rPr>
            <m:t>(</m:t>
          </m:r>
          <m:r>
            <w:rPr>
              <w:rFonts w:ascii="Cambria Math" w:hAnsi="Cambria Math"/>
              <w:sz w:val="19"/>
            </w:rPr>
            <m:t>L</m:t>
          </m:r>
          <m:r>
            <w:rPr>
              <w:rFonts w:ascii="Cambria Math" w:hAnsi="Cambria Math"/>
              <w:sz w:val="19"/>
            </w:rPr>
            <m:t>/</m:t>
          </m:r>
          <m:r>
            <w:rPr>
              <w:rFonts w:ascii="Cambria Math" w:hAnsi="Cambria Math"/>
              <w:sz w:val="19"/>
            </w:rPr>
            <m:t>R</m:t>
          </m:r>
          <m:r>
            <w:rPr>
              <w:rFonts w:ascii="Cambria Math" w:hAnsi="Cambria Math"/>
              <w:sz w:val="19"/>
            </w:rPr>
            <m:t>+</m:t>
          </m:r>
          <m:r>
            <w:rPr>
              <w:rFonts w:ascii="Cambria Math" w:hAnsi="Cambria Math"/>
              <w:sz w:val="19"/>
            </w:rPr>
            <m:t>C</m:t>
          </m:r>
          <m:r>
            <w:rPr>
              <w:rFonts w:ascii="Cambria Math" w:hAnsi="Cambria Math"/>
              <w:sz w:val="19"/>
            </w:rPr>
            <m:t>r</m:t>
          </m:r>
          <m:r>
            <w:rPr>
              <w:rFonts w:ascii="Cambria Math" w:hAnsi="Cambria Math"/>
              <w:sz w:val="19"/>
            </w:rPr>
            <m:t>)</m:t>
          </m:r>
          <m:r>
            <w:rPr>
              <w:rFonts w:ascii="Cambria Math" w:hAnsi="Cambria Math"/>
              <w:sz w:val="19"/>
            </w:rPr>
            <m:t>s</m:t>
          </m:r>
          <m:r>
            <w:rPr>
              <w:rFonts w:ascii="Cambria Math" w:hAnsi="Cambria Math"/>
              <w:sz w:val="19"/>
            </w:rPr>
            <m:t>+</m:t>
          </m:r>
          <m:r>
            <w:rPr>
              <w:rFonts w:ascii="Cambria Math" w:hAnsi="Cambria Math"/>
              <w:sz w:val="19"/>
            </w:rPr>
            <m:t>1</m:t>
          </m:r>
          <m:r>
            <m:t>   (7)</m:t>
          </m:r>
        </m:oMath>
      </m:oMathPara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19"/>
                </w:rPr>
                <m:t>G</m:t>
              </m:r>
            </m:e>
            <m:sub>
              <m:r>
                <w:rPr>
                  <w:rFonts w:ascii="Cambria Math" w:hAnsi="Cambria Math"/>
                  <w:sz w:val="19"/>
                </w:rPr>
                <m:t>v</m:t>
              </m:r>
            </m:sub>
          </m:sSub>
          <m:r>
            <w:rPr>
              <w:rFonts w:ascii="Cambria Math" w:hAnsi="Cambria Math"/>
              <w:sz w:val="19"/>
            </w:rPr>
            <m:t>(</m:t>
          </m:r>
          <m:r>
            <w:rPr>
              <w:rFonts w:ascii="Cambria Math" w:hAnsi="Cambria Math"/>
              <w:sz w:val="19"/>
            </w:rPr>
            <m:t>s</m:t>
          </m:r>
          <m:r>
            <w:rPr>
              <w:rFonts w:ascii="Cambria Math" w:hAnsi="Cambria Math"/>
              <w:sz w:val="19"/>
            </w:rPr>
            <m:t>)</m:t>
          </m:r>
          <m:r>
            <w:rPr>
              <w:rFonts w:ascii="Cambria Math" w:hAnsi="Cambria Math"/>
              <w:sz w:val="19"/>
            </w:rPr>
            <m:t>=</m:t>
          </m:r>
          <m:f>
            <m:num>
              <m:r>
                <w:rPr>
                  <w:rFonts w:ascii="Cambria Math" w:hAnsi="Cambria Math"/>
                  <w:sz w:val="19"/>
                </w:rPr>
                <m:t>n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b</m:t>
                  </m:r>
                  <m:r>
                    <w:rPr>
                      <w:rFonts w:ascii="Cambria Math" w:hAnsi="Cambria Math"/>
                      <w:sz w:val="19"/>
                    </w:rPr>
                    <m:t>u</m:t>
                  </m:r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(</m:t>
              </m:r>
              <m:r>
                <w:rPr>
                  <w:rFonts w:ascii="Cambria Math" w:hAnsi="Cambria Math"/>
                  <w:sz w:val="19"/>
                </w:rPr>
                <m:t>1</m:t>
              </m:r>
              <m:r>
                <w:rPr>
                  <w:rFonts w:ascii="Cambria Math" w:hAnsi="Cambria Math"/>
                  <w:sz w:val="19"/>
                </w:rPr>
                <m:t>+</m:t>
              </m:r>
              <m:r>
                <w:rPr>
                  <w:rFonts w:ascii="Cambria Math" w:hAnsi="Cambria Math"/>
                  <w:sz w:val="19"/>
                </w:rPr>
                <m:t>s</m:t>
              </m:r>
              <m:r>
                <w:rPr>
                  <w:rFonts w:ascii="Cambria Math" w:hAnsi="Cambria Math"/>
                  <w:sz w:val="19"/>
                </w:rPr>
                <m:t>C</m:t>
              </m:r>
              <m:r>
                <w:rPr>
                  <w:rFonts w:ascii="Cambria Math" w:hAnsi="Cambria Math"/>
                  <w:sz w:val="19"/>
                </w:rPr>
                <m:t>r</m:t>
              </m:r>
              <m:r>
                <w:rPr>
                  <w:rFonts w:ascii="Cambria Math" w:hAnsi="Cambria Math"/>
                  <w:sz w:val="19"/>
                </w:rPr>
                <m:t>)</m:t>
              </m:r>
            </m:num>
            <m:den>
              <m:sSub>
                <m:e>
                  <m:r>
                    <w:rPr>
                      <w:rFonts w:ascii="Cambria Math" w:hAnsi="Cambria Math"/>
                      <w:sz w:val="19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(</m:t>
              </m:r>
              <m:r>
                <w:rPr>
                  <w:rFonts w:ascii="Cambria Math" w:hAnsi="Cambria Math"/>
                  <w:sz w:val="19"/>
                </w:rPr>
                <m:t>s</m:t>
              </m:r>
              <m:r>
                <w:rPr>
                  <w:rFonts w:ascii="Cambria Math" w:hAnsi="Cambria Math"/>
                  <w:sz w:val="19"/>
                </w:rPr>
                <m:t>)</m:t>
              </m:r>
            </m:den>
          </m:f>
          <m:r>
            <m:t>   (8)</m:t>
          </m:r>
        </m:oMath>
      </m:oMathPara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19"/>
                </w:rPr>
                <m:t>G</m:t>
              </m:r>
            </m:e>
            <m:sub>
              <m:r>
                <w:rPr>
                  <w:rFonts w:ascii="Cambria Math" w:hAnsi="Cambria Math"/>
                  <w:sz w:val="19"/>
                </w:rPr>
                <m:t>i</m:t>
              </m:r>
            </m:sub>
          </m:sSub>
          <m:r>
            <w:rPr>
              <w:rFonts w:ascii="Cambria Math" w:hAnsi="Cambria Math"/>
              <w:sz w:val="19"/>
            </w:rPr>
            <m:t>(</m:t>
          </m:r>
          <m:r>
            <w:rPr>
              <w:rFonts w:ascii="Cambria Math" w:hAnsi="Cambria Math"/>
              <w:sz w:val="19"/>
            </w:rPr>
            <m:t>s</m:t>
          </m:r>
          <m:r>
            <w:rPr>
              <w:rFonts w:ascii="Cambria Math" w:hAnsi="Cambria Math"/>
              <w:sz w:val="19"/>
            </w:rPr>
            <m:t>)</m:t>
          </m:r>
          <m:r>
            <w:rPr>
              <w:rFonts w:ascii="Cambria Math" w:hAnsi="Cambria Math"/>
              <w:sz w:val="19"/>
            </w:rPr>
            <m:t>=</m:t>
          </m:r>
          <m:f>
            <m:num>
              <m:r>
                <w:rPr>
                  <w:rFonts w:ascii="Cambria Math" w:hAnsi="Cambria Math"/>
                  <w:sz w:val="19"/>
                </w:rPr>
                <m:t>n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b</m:t>
                  </m:r>
                  <m:r>
                    <w:rPr>
                      <w:rFonts w:ascii="Cambria Math" w:hAnsi="Cambria Math"/>
                      <w:sz w:val="19"/>
                    </w:rPr>
                    <m:t>u</m:t>
                  </m:r>
                  <m:r>
                    <w:rPr>
                      <w:rFonts w:ascii="Cambria Math" w:hAnsi="Cambria Math"/>
                      <w:sz w:val="19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[</m:t>
              </m:r>
              <m:r>
                <w:rPr>
                  <w:rFonts w:ascii="Cambria Math" w:hAnsi="Cambria Math"/>
                  <w:sz w:val="19"/>
                </w:rPr>
                <m:t>1</m:t>
              </m:r>
              <m:r>
                <w:rPr>
                  <w:rFonts w:ascii="Cambria Math" w:hAnsi="Cambria Math"/>
                  <w:sz w:val="19"/>
                </w:rPr>
                <m:t>+</m:t>
              </m:r>
              <m:r>
                <w:rPr>
                  <w:rFonts w:ascii="Cambria Math" w:hAnsi="Cambria Math"/>
                  <w:sz w:val="19"/>
                </w:rPr>
                <m:t>s</m:t>
              </m:r>
              <m:r>
                <w:rPr>
                  <w:rFonts w:ascii="Cambria Math" w:hAnsi="Cambria Math"/>
                  <w:sz w:val="19"/>
                </w:rPr>
                <m:t>C</m:t>
              </m:r>
              <m:r>
                <w:rPr>
                  <w:rFonts w:ascii="Cambria Math" w:hAnsi="Cambria Math"/>
                  <w:sz w:val="19"/>
                </w:rPr>
                <m:t>(</m:t>
              </m:r>
              <m:r>
                <w:rPr>
                  <w:rFonts w:ascii="Cambria Math" w:hAnsi="Cambria Math"/>
                  <w:sz w:val="19"/>
                </w:rPr>
                <m:t>R</m:t>
              </m:r>
              <m:r>
                <w:rPr>
                  <w:rFonts w:ascii="Cambria Math" w:hAnsi="Cambria Math"/>
                  <w:sz w:val="19"/>
                </w:rPr>
                <m:t>+</m:t>
              </m:r>
              <m:r>
                <w:rPr>
                  <w:rFonts w:ascii="Cambria Math" w:hAnsi="Cambria Math"/>
                  <w:sz w:val="19"/>
                </w:rPr>
                <m:t>r</m:t>
              </m:r>
              <m:r>
                <w:rPr>
                  <w:rFonts w:ascii="Cambria Math" w:hAnsi="Cambria Math"/>
                  <w:sz w:val="19"/>
                </w:rPr>
                <m:t>)</m:t>
              </m:r>
              <m:r>
                <w:rPr>
                  <w:rFonts w:ascii="Cambria Math" w:hAnsi="Cambria Math"/>
                  <w:sz w:val="19"/>
                </w:rPr>
                <m:t>]</m:t>
              </m:r>
            </m:num>
            <m:den>
              <m:r>
                <w:rPr>
                  <w:rFonts w:ascii="Cambria Math" w:hAnsi="Cambria Math"/>
                  <w:sz w:val="19"/>
                </w:rPr>
                <m:t>R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(</m:t>
              </m:r>
              <m:r>
                <w:rPr>
                  <w:rFonts w:ascii="Cambria Math" w:hAnsi="Cambria Math"/>
                  <w:sz w:val="19"/>
                </w:rPr>
                <m:t>s</m:t>
              </m:r>
              <m:r>
                <w:rPr>
                  <w:rFonts w:ascii="Cambria Math" w:hAnsi="Cambria Math"/>
                  <w:sz w:val="19"/>
                </w:rPr>
                <m:t>)</m:t>
              </m:r>
            </m:den>
          </m:f>
          <m:r>
            <m:t>   (9)</m:t>
          </m:r>
        </m:oMath>
      </m:oMathPara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Gv tem unidade V/duty e Gi, A/duty. A reconstrução despreza DCR, shunt e quedas para comparar com [1]; o circuito comutado inclui perdas de condução. A impedância de bateria ou curto não equivale à carga resistiva, de modo que essas margens não provam estabilidade em todos os modos. O zero da planta de tensão original é 657,7 Hz; o da corrente é aproximadamente 37,9 Hz, e não o mesmo zero repetido em [1].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Os sensores têm Hv=2,5/27 e Hi=1/6 V/A, com shunt de 10 mΩ e ganho diferencial de 16,6667. O PWM usa portadora triangular de 0 a 2,1 V e ganho médio Fm=1/2,1. Os laços são Tv=CvFmHvGv e Ti=CiFmHiGi. São controladores alternadamente dominantes por seleção mínima, e não malhas em cascata.</w:t>
      </w:r>
    </w:p>
    <w:p>
      <w:pPr>
        <w:pStyle w:val="equation"/>
        <w:numPr>
          <w:numId w:val="0"/>
        </w:numPr>
        <w:widowControl/>
        <w:jc w:val="center"/>
        <w:spacing w:after="6pt"/>
        <w:ind w:firstLine="0pt" w:start="0pt" w:end="0pt"/>
        <w:keepLines/>
        <w:spacing w:before="4pt" w:after="6pt" w:line="12pt" w:lineRule="atLeast"/>
      </w:pPr>
      <m:oMathPara>
        <m:oMathParaPr>
          <m:jc m:val="center"/>
        </m:oMathParaPr>
        <m:oMath>
          <m:sSub>
            <m:e>
              <m:r>
                <w:rPr>
                  <w:rFonts w:ascii="Cambria Math" w:hAnsi="Cambria Math"/>
                  <w:sz w:val="19"/>
                </w:rPr>
                <m:t>C</m:t>
              </m:r>
            </m:e>
            <m:sub>
              <m:r>
                <w:rPr>
                  <w:rFonts w:ascii="Cambria Math" w:hAnsi="Cambria Math"/>
                  <w:sz w:val="19"/>
                </w:rPr>
                <m:t>x</m:t>
              </m:r>
            </m:sub>
          </m:sSub>
          <m:r>
            <w:rPr>
              <w:rFonts w:ascii="Cambria Math" w:hAnsi="Cambria Math"/>
              <w:sz w:val="19"/>
            </w:rPr>
            <m:t>(</m:t>
          </m:r>
          <m:r>
            <w:rPr>
              <w:rFonts w:ascii="Cambria Math" w:hAnsi="Cambria Math"/>
              <w:sz w:val="19"/>
            </w:rPr>
            <m:t>s</m:t>
          </m:r>
          <m:r>
            <w:rPr>
              <w:rFonts w:ascii="Cambria Math" w:hAnsi="Cambria Math"/>
              <w:sz w:val="19"/>
            </w:rPr>
            <m:t>)</m:t>
          </m:r>
          <m:r>
            <w:rPr>
              <w:rFonts w:ascii="Cambria Math" w:hAnsi="Cambria Math"/>
              <w:sz w:val="19"/>
            </w:rPr>
            <m:t>=</m:t>
          </m:r>
          <m:f>
            <m:num>
              <m:r>
                <w:rPr>
                  <w:rFonts w:ascii="Cambria Math" w:hAnsi="Cambria Math"/>
                  <w:sz w:val="19"/>
                </w:rPr>
                <m:t>1</m:t>
              </m:r>
              <m:r>
                <w:rPr>
                  <w:rFonts w:ascii="Cambria Math" w:hAnsi="Cambria Math"/>
                  <w:sz w:val="19"/>
                </w:rPr>
                <m:t>+</m:t>
              </m:r>
              <m:r>
                <w:rPr>
                  <w:rFonts w:ascii="Cambria Math" w:hAnsi="Cambria Math"/>
                  <w:sz w:val="19"/>
                </w:rPr>
                <m:t>s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2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19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1</m:t>
                  </m:r>
                </m:sub>
              </m:sSub>
            </m:num>
            <m:den>
              <m:sSub>
                <m:e>
                  <m:r>
                    <w:rPr>
                      <w:rFonts w:ascii="Cambria Math" w:hAnsi="Cambria Math"/>
                      <w:sz w:val="19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s</m:t>
              </m:r>
              <m:r>
                <w:rPr>
                  <w:rFonts w:ascii="Cambria Math" w:hAnsi="Cambria Math"/>
                  <w:sz w:val="19"/>
                </w:rPr>
                <m:t>(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+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+</m:t>
              </m:r>
              <m:r>
                <w:rPr>
                  <w:rFonts w:ascii="Cambria Math" w:hAnsi="Cambria Math"/>
                  <w:sz w:val="19"/>
                </w:rPr>
                <m:t>s</m:t>
              </m:r>
              <m:sSub>
                <m:e>
                  <m:r>
                    <w:rPr>
                      <w:rFonts w:ascii="Cambria Math" w:hAnsi="Cambria Math"/>
                      <w:sz w:val="19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2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19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1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19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19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19"/>
                </w:rPr>
                <m:t>)</m:t>
              </m:r>
            </m:den>
          </m:f>
          <m:r>
            <m:t>   (10)</m:t>
          </m:r>
        </m:oMath>
      </m:oMathPara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 compensador tipo II é sintetizado impondo ganho unitário e fase no cruzamento. Para avanço α, usa-se K=tan[(α+90°)/2], fz=fc/K e fp=fcK. A compensação deve atenuar quando a planta tem ganho maior que um. O memorial contém equações de síntese, substituições e código reproduzível.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B. Auditoria e revisão das malhas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Com os componentes publicados da malha de tensão, obtêm-se fc≈4999 Hz e margem de fase de 60,306°. Entretanto, há dois cruzamentos de −180° em baixa frequência com módulo acima de um; a afirmação genérica de margem de ganho infinita não descreve esse laço. As margens negativas nesses pontos indicam estabilidade condicional à redução de ganho, sem implicar instabilidade nominal: os polos fechados têm parte real negativa.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Na malha de corrente original, a planta com sensores e PWM apresenta +6,3407 dB em 5 kHz e −1,6379 dB em 12,5 kHz. A síntese publicada utiliza a primeira frequência na avaliação do ganho. Os componentes apresentados cruzam efetivamente em 19,995 kHz com margem de fase de 57,376°, em vez dos 12,5 kHz pretendidos. Essa largura de banda é elevada diante dos 50 kHz de comutação.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redução da ESR altera a planta. Adotam-se novos cruzamentos de 2,5 kHz para tensão e 5 kHz para corrente, com margem contínua alvo de 65° em 373 V e 1,8 Ω. A Tabela II apresenta os valores simulados; arredondamentos comerciais exigem reavaliação. As Figs. 2 e 3 mostram os Bodes calculados.</w:t>
      </w:r>
    </w:p>
    <w:p>
      <w:pPr>
        <w:pStyle w:val="tablehead"/>
        <w:numPr>
          <w:numId w:val="0"/>
        </w:numPr>
        <w:keepNext/>
        <w:widowControl/>
        <w:jc w:val="center"/>
        <w:ind w:firstLine="0pt" w:start="0pt" w:end="0pt"/>
      </w:pPr>
      <w:r>
        <w:rPr>
          <w:color w:val="000000"/>
          <w:lang w:val="pt-BR"/>
        </w:rPr>
        <w:t xml:space="preserve">TABELA II — Compensadores revisados</w:t>
      </w:r>
    </w:p>
    <w:tbl>
      <w:tblPr>
        <w:tblW w:w="4680" w:type="dxa"/>
        <w:tblLayout w:type="fixed"/>
        <w:tblBorders>
          <w:top w:val="single" w:sz="4" w:color="888888"/>
          <w:bottom w:val="single" w:sz="4" w:color="888888"/>
          <w:insideH w:val="single" w:sz="4" w:color="888888"/>
        </w:tblBorders>
        <w:tblCellMar>
          <w:top w:w="35" w:type="dxa"/>
          <w:bottom w:w="35" w:type="dxa"/>
          <w:start w:w="50" w:type="dxa"/>
          <w:end w:w="50" w:type="dxa"/>
        </w:tblCellMar>
      </w:tblPr>
      <w:tblGrid>
        <w:gridCol w:w="1685"/>
        <w:gridCol w:w="1498"/>
        <w:gridCol w:w="1498"/>
      </w:tblGrid>
      <w:tr>
        <w:trPr>
          <w:cantSplit/>
          <w:tblHeader/>
        </w:trPr>
        <w:tc>
          <w:tcPr>
            <w:tcW w:w="1685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Parâmetro</w:t>
            </w:r>
          </w:p>
        </w:tc>
        <w:tc>
          <w:tcPr>
            <w:tcW w:w="1498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Tensão</w:t>
            </w:r>
          </w:p>
        </w:tc>
        <w:tc>
          <w:tcPr>
            <w:tcW w:w="1498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Corrente</w:t>
            </w:r>
          </w:p>
        </w:tc>
      </w:tr>
      <w:tr>
        <w:trPr>
          <w:cantSplit/>
        </w:trPr>
        <w:tc>
          <w:tcPr>
            <w:tcW w:w="1685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R1 (kΩ)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10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10</w:t>
            </w:r>
          </w:p>
        </w:tc>
      </w:tr>
      <w:tr>
        <w:trPr>
          <w:cantSplit/>
        </w:trPr>
        <w:tc>
          <w:tcPr>
            <w:tcW w:w="1685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R2 (kΩ)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79,2299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5,09002</w:t>
            </w:r>
          </w:p>
        </w:tc>
      </w:tr>
      <w:tr>
        <w:trPr>
          <w:cantSplit/>
        </w:trPr>
        <w:tc>
          <w:tcPr>
            <w:tcW w:w="1685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C1 (nF)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7,55294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27,3992</w:t>
            </w:r>
          </w:p>
        </w:tc>
      </w:tr>
      <w:tr>
        <w:trPr>
          <w:cantSplit/>
        </w:trPr>
        <w:tc>
          <w:tcPr>
            <w:tcW w:w="1685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C2 (pF)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86,4589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1505,77</w:t>
            </w:r>
          </w:p>
        </w:tc>
      </w:tr>
      <w:tr>
        <w:trPr>
          <w:cantSplit/>
        </w:trPr>
        <w:tc>
          <w:tcPr>
            <w:tcW w:w="1685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fc (kHz)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2,5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5,0</w:t>
            </w:r>
          </w:p>
        </w:tc>
      </w:tr>
      <w:tr>
        <w:trPr>
          <w:cantSplit/>
        </w:trPr>
        <w:tc>
          <w:tcPr>
            <w:tcW w:w="1685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MF contínua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65°</w:t>
            </w:r>
          </w:p>
        </w:tc>
        <w:tc>
          <w:tcPr>
            <w:tcW w:w="1498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65°</w:t>
            </w:r>
          </w:p>
        </w:tc>
      </w:tr>
    </w:tbl>
    <w:p>
      <w:pPr>
        <w:pStyle w:val="BodyText"/>
        <w:numPr>
          <w:numId w:val="0"/>
        </w:numPr>
        <w:widowControl/>
        <w:spacing w:after="2pt"/>
      </w:pP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547257"/>
            <wp:docPr id="1002" name="final_v_bode" descr="final v bode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2" name="final_v_bode"/>
                    <ns0:cNvPicPr/>
                  </ns0:nvPicPr>
                  <ns0:blipFill>
                    <ns0:blip xmlns:ns0="http://purl.oclc.org/ooxml/drawingml/main" r:embed="rIdArtigo2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547257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2. Bode analítico da malha revisada de tensão em 373 V, R=1,8 Ω, C=4400 µF e ESR=55 mΩ.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547257"/>
            <wp:docPr id="1003" name="final_i_bode" descr="final i bode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3" name="final_i_bode"/>
                    <ns0:cNvPicPr/>
                  </ns0:nvPicPr>
                  <ns0:blipFill>
                    <ns0:blip xmlns:ns0="http://purl.oclc.org/ooxml/drawingml/main" r:embed="rIdArtigo3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547257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3. Bode analítico da malha revisada de corrente nas mesmas condições. As margens não foram medidas por injeção no PLECS.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Nos seis pontos formados por 225/310/373 V e 1,8/9 Ω, os polos fechados permanecem no semiplano esquerdo. As margens de fase variam de 57,36° a 65° na tensão e de 63,12° a 65,02° na corrente. Um atraso hipotético de Ts/2 reduziria as margens nominais para 56° e 47°. É uma sensibilidade analítica, não uma representação exata do PWM natural nem uma margem medida do circuito comutado.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C. Implementação e seleção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Cada compensador usa dois estados contínuos, x e z, com derivadas Ki·e e ωp(e−z), e saída x+Kp·z. As constantes decorrem dos componentes da Tabela II. Aplica-se a saturação entre zero e 2,1Dlim do mínimo de uv e ui. Acrescenta-se ao integrador o rastreamento 30000(u−ux), e a referência de corrente cresce em 5 ms. O C-Script implementa apenas o controle; os estados elétricos e eventos de potência são resolvidos pelo PLECS.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 rastreamento é nulo no regulador dominante não saturado, mas atua nas transições e pode gerar erro médio quando os sinais alternam de dominância dentro do período. Esse efeito exige confrontar a análise linear com dados comutados. Não se pressupõe regulação perfeita na fronteira de 27 V e 15 A.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VI. Ensaios e resultados no PLECS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A. Procedimento e rastreabilidade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Foram gerados cinco modelos nativos e concluídos oito ensaios. O transformador ideal 60:18 possui ramo magnetizante externo de 19,08 mH; o filtro usa 136,6 µH e o banco revisado. MOSFETs têm Ron=0,15 Ω; diodos de saída, 0,7 V e 5 mΩ. Saída inicial de 27 V nos ensaios resistivos e 20 V na bateria, corrente inicial do indutor nula e barramento pré-carregado definem partida funcional, sem inrush da rede.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Os modelos compartilham o desenho da Fig. 4. À esquerda ficam a rede com Rrede, Lrede e o medidor Irede, a ponte de quatro diodos, o banco Cbus e o voltímetro Vbarramento. No centro, Q1 e Q2 formam com ResetInferior e ResetSuperior as duas pernas do Forward, e Lmag fica em paralelo com o primário de T1. No secundário, Dforward e Dlivre alimentam Lo, RLo, o medidor IL e Dbloqueio; Rsh liga o retorno do secundário ao retorno de saída, aterrado em GND, e o banco ESR/Co, o voltímetro Vo e a carga ficam em paralelo na saída. O controle ocupa a faixa inferior: C-Script, portadora e comparador PWM. Vo, IL, o comando das chaves e a seleção da carga cruzam o esquema por etiquetas (Vo_fb, IL_fb, pwm e sel_carga), de modo que nenhum fio de sinal atravessa a potência. Os terminais de saída numerados exportam os sinais analisados.</w:t>
      </w:r>
    </w:p>
    <w:p>
      <w:pPr>
        <w:pStyle w:val="BodyText"/>
        <w:numPr>
          <w:numId w:val="0"/>
        </w:numPr>
        <w:widowControl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rPr>
          <w:color w:val="000000"/>
          <w:lang w:val="pt-BR"/>
        </w:rPr>
        <w:t xml:space="preserve">forward_degrau e forward_curto usam esse mesmo esquema e diferem nos valores de Rbase e Rdegrau, 9 Ω e 2,25 Ω no degrau e 1,8 Ω e 1 mΩ no curto. O modelo de recarga (Fig. 10) troca o ramo resistivo pela série Ibat, Rbat, Cbat e Ebat. Os modelos em 373 Vcc (Fig. 13) substituem rede e ponte por uma fonte CC e diferem entre si apenas no banco de saída.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6400800" cy="2447463"/>
            <wp:docPr id="1004" name="circuito_rede" descr="circuito rede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4" name="circuito_rede"/>
                    <ns0:cNvPicPr/>
                  </ns0:nvPicPr>
                  <ns0:blipFill>
                    <ns0:blip xmlns:ns0="http://purl.oclc.org/ooxml/drawingml/main" r:embed="rIdArtigo4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6400800" cy="2447463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1" w:space="18pt"/>
          <w:docGrid w:linePitch="360"/>
        </w:sectPr>
      </w:pPr>
      <w:r>
        <w:rPr>
          <w:color w:val="000000"/>
          <w:lang w:val="pt-BR"/>
        </w:rPr>
        <w:t xml:space="preserve">Fig. 4. Modelo PLECS de forward_degrau e forward_curto: rede, ponte e banco Cbus à esquerda; Forward de duas chaves, filtro de saída e carga com o ramo do degrau (Rdegrau e Scarga) à direita; controle CC/CV e PWM abaixo.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Empregou-se solver Radau, tolerância relativa de 10⁻⁶ e absoluta de 10⁻⁸. Passo máximo e grade de saída são 2 µs nos ensaios centrais, 1 µs no curto e 0,2 µs no ripple detalhado. A detecção de eventos resolve comutações entre pontos de saída. Registros guardam parâmetros, opções, data, hashes dos modelos e CSVs e resposta RPC original compactada. Gráficos globais reduzem pontos apenas para exibição; as métricas usam a grade completa.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B. Degraus e faixa de rede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carga muda de 9 Ω para 1,8 Ω em 0,12 s e retorna em 0,24 s, com duração total de 0,36 s. Em 220 V, a tensão média a 20% é 26,9999 V. Em plena carga, a média é 26,7510 V e IL=14,8621 A. A Fig. 5 mostra a resposta. O mínimo após aplicação é 26,3064 V e o máximo após retirada, 27,4526 V, medidos nos 40 ms seguintes a cada evento.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334986"/>
            <wp:docPr id="1005" name="degrau_220" descr="degrau 220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5" name="degrau_220"/>
                    <ns0:cNvPicPr/>
                  </ns0:nvPicPr>
                  <ns0:blipFill>
                    <ns0:blip xmlns:ns0="http://purl.oclc.org/ooxml/drawingml/main" r:embed="rIdArtigo5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334986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5. Ensaio PLECS com rede de 220 V. Carga de 20% para 100% em 0,12 s e retorno em 0,24 s. Condição inicial pré-carregada.</w:t>
      </w:r>
    </w:p>
    <w:p>
      <w:pPr>
        <w:pStyle w:val="tablehead"/>
        <w:numPr>
          <w:numId w:val="0"/>
        </w:numPr>
        <w:keepNext/>
        <w:widowControl/>
        <w:jc w:val="center"/>
        <w:ind w:firstLine="0pt" w:start="0pt" w:end="0pt"/>
      </w:pPr>
      <w:r>
        <w:rPr>
          <w:color w:val="000000"/>
          <w:lang w:val="pt-BR"/>
        </w:rPr>
        <w:t xml:space="preserve">TABELA III — Regime de plena carga nas três redes</w:t>
      </w:r>
    </w:p>
    <w:tbl>
      <w:tblPr>
        <w:tblW w:w="4680" w:type="dxa"/>
        <w:tblLayout w:type="fixed"/>
        <w:tblBorders>
          <w:top w:val="single" w:sz="4" w:color="888888"/>
          <w:bottom w:val="single" w:sz="4" w:color="888888"/>
          <w:insideH w:val="single" w:sz="4" w:color="888888"/>
        </w:tblBorders>
        <w:tblCellMar>
          <w:top w:w="35" w:type="dxa"/>
          <w:bottom w:w="35" w:type="dxa"/>
          <w:start w:w="50" w:type="dxa"/>
          <w:end w:w="50" w:type="dxa"/>
        </w:tblCellMar>
      </w:tblPr>
      <w:tblGrid>
        <w:gridCol w:w="1030"/>
        <w:gridCol w:w="1264"/>
        <w:gridCol w:w="1264"/>
        <w:gridCol w:w="1123"/>
      </w:tblGrid>
      <w:tr>
        <w:trPr>
          <w:cantSplit/>
          <w:tblHeader/>
        </w:trPr>
        <w:tc>
          <w:tcPr>
            <w:tcW w:w="1030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Rede (V)</w:t>
            </w:r>
          </w:p>
        </w:tc>
        <w:tc>
          <w:tcPr>
            <w:tcW w:w="1264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Vo (V)</w:t>
            </w:r>
          </w:p>
        </w:tc>
        <w:tc>
          <w:tcPr>
            <w:tcW w:w="1264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IL (A)</w:t>
            </w:r>
          </w:p>
        </w:tc>
        <w:tc>
          <w:tcPr>
            <w:tcW w:w="1123" w:type="dxa"/>
            <w:vAlign w:val="center"/>
            <w:shd w:fill="EEEEEE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FP</w:t>
            </w:r>
          </w:p>
        </w:tc>
      </w:tr>
      <w:tr>
        <w:trPr>
          <w:cantSplit/>
        </w:trPr>
        <w:tc>
          <w:tcPr>
            <w:tcW w:w="103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176</w:t>
            </w:r>
          </w:p>
        </w:tc>
        <w:tc>
          <w:tcPr>
            <w:tcW w:w="1264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26,7810</w:t>
            </w:r>
          </w:p>
        </w:tc>
        <w:tc>
          <w:tcPr>
            <w:tcW w:w="1264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14,8820</w:t>
            </w:r>
          </w:p>
        </w:tc>
        <w:tc>
          <w:tcPr>
            <w:tcW w:w="1123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0,5219</w:t>
            </w:r>
          </w:p>
        </w:tc>
      </w:tr>
      <w:tr>
        <w:trPr>
          <w:cantSplit/>
        </w:trPr>
        <w:tc>
          <w:tcPr>
            <w:tcW w:w="103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220</w:t>
            </w:r>
          </w:p>
        </w:tc>
        <w:tc>
          <w:tcPr>
            <w:tcW w:w="1264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26,7510</w:t>
            </w:r>
          </w:p>
        </w:tc>
        <w:tc>
          <w:tcPr>
            <w:tcW w:w="1264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14,8621</w:t>
            </w:r>
          </w:p>
        </w:tc>
        <w:tc>
          <w:tcPr>
            <w:tcW w:w="1123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keepNext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0,4884</w:t>
            </w:r>
          </w:p>
        </w:tc>
      </w:tr>
      <w:tr>
        <w:trPr>
          <w:cantSplit/>
        </w:trPr>
        <w:tc>
          <w:tcPr>
            <w:tcW w:w="1030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start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264</w:t>
            </w:r>
          </w:p>
        </w:tc>
        <w:tc>
          <w:tcPr>
            <w:tcW w:w="1264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26,7316</w:t>
            </w:r>
          </w:p>
        </w:tc>
        <w:tc>
          <w:tcPr>
            <w:tcW w:w="1264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14,8525</w:t>
            </w:r>
          </w:p>
        </w:tc>
        <w:tc>
          <w:tcPr>
            <w:tcW w:w="1123" w:type="dxa"/>
            <w:vAlign w:val="center"/>
          </w:tcPr>
          <w:p>
            <w:pPr>
              <w:pStyle w:val="tablecopy"/>
              <w:numPr>
                <w:numId w:val="0"/>
              </w:numPr>
              <w:widowControl/>
              <w:jc w:val="center"/>
              <w:spacing w:after="0pt"/>
              <w:ind w:firstLine="0pt" w:start="0pt" w:end="0pt"/>
              <w:spacing w:line="10pt" w:lineRule="atLeast" w:after="0pt"/>
            </w:pPr>
            <w:r>
              <w:rPr>
                <w:color w:val="000000"/>
                <w:lang w:val="pt-BR"/>
                <w:sz w:val="16"/>
              </w:rPr>
              <w:t xml:space="preserve">0,4632</w:t>
            </w:r>
          </w:p>
        </w:tc>
      </w:tr>
    </w:tbl>
    <w:p>
      <w:pPr>
        <w:pStyle w:val="BodyText"/>
        <w:numPr>
          <w:numId w:val="0"/>
        </w:numPr>
        <w:widowControl/>
        <w:spacing w:after="2pt"/>
      </w:pP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As médias da Tabela III usam 0,18–0,20 s. O FP usa dois períodos completos de rede iniciados em 0,18 s. A tensão média satisfaz ±1% nos três pontos, com pequena margem na rede alta. Em 176 V, o barramento mínimo é 231,885 V e o duty de comando médio é 0,4019, confirmando a necessidade de superar 0,4. Não se demonstrou robustez a todas as tolerâncias físicas.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Fig. 6 mostra corrente pulsada na entrada nominal. Obtêm-se 439,98 W, 4,0947 A eficazes e FP≈0,4884 em 220 V. Em 176 V, FP=0,5219; portanto, FP&lt;0,5 não é universal. Impedância de fonte e banco capacitivo influenciam esses números. A potência simulada não permite afirmar rendimento físico, pois faltam perdas de comutação e núcleo.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264229"/>
            <wp:docPr id="1006" name="retificador_220" descr="retificador 220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6" name="retificador_220"/>
                    <ns0:cNvPicPr/>
                  </ns0:nvPicPr>
                  <ns0:blipFill>
                    <ns0:blip xmlns:ns0="http://purl.oclc.org/ooxml/drawingml/main" r:embed="rIdArtigo6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264229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6. Tensões de rede e barramento e corrente de entrada em plena carga nominal. PLECS com Rrede=0,5 Ω e Lrede=100 µH.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C. Curto e descarga capacitiva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Um ramo de 1 mΩ é conectado em paralelo com 1,8 Ω entre 0,12 e 0,24 s. Em regime de curto, IL médio=15,00001 A e Vo=14,99168 mV. A corrente do ramo é 14,99168 A; a diferença alimenta a carga permanente. As Figs. 7 e 8 distinguem a corrente do indutor da descarga do banco.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334986"/>
            <wp:docPr id="1007" name="curto_220" descr="curto 220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7" name="curto_220"/>
                    <ns0:cNvPicPr/>
                  </ns0:nvPicPr>
                  <ns0:blipFill>
                    <ns0:blip xmlns:ns0="http://purl.oclc.org/ooxml/drawingml/main" r:embed="rIdArtigo7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334986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7. Aplicação e retirada do curto de 1 mΩ. A limitação observada é de corrente média; o modelo não contém proteção instantânea de pico.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264229"/>
            <wp:docPr id="1008" name="curto_detalhe" descr="curto detalhe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8" name="curto_detalhe"/>
                    <ns0:cNvPicPr/>
                  </ns0:nvPicPr>
                  <ns0:blipFill>
                    <ns0:blip xmlns:ns0="http://purl.oclc.org/ooxml/drawingml/main" r:embed="rIdArtigo8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264229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8. Detalhe do curto. Corrente do ramo calculada por Vo/1 mΩ a partir do CSV, com resolução de 1 µs.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 pico amostrado do indutor é 20,991 A, enquanto o ramo de curto atinge 491,97 A. O banco armazena cerca de 1,6 J a 27 V; sua ESR limita a descarga no circuito idealizado. A corrente preexistente no indutor também alimenta o ramo. Limitar o conversor a 15 A não limita instantaneamente o curto. Indutâncias de cabos, ESL, contatos e saturação podem alterar o pico físico. Após a retirada, a tensão recupera a região de 26,75 V sem crescimento sustentado de oscilação no intervalo observado.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D. Recarga com modelo acelerado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bateria é representada por fonte de 20 V, resistência de 10 mΩ e capacitor de 0,4 F em série, conforme [1] e a Fig. 10. A Fig. 9 mostra a recarga. Na janela 0,04–0,06 s, IL médio=15,0007 A e Ibat médio=14,8373 A. A diferença de 0,1634 A carrega o banco de saída de 4,4 mF, coerente com Co·dVo/dt≈0,0044×37. Distinguir a corrente do indutor da corrente efetiva da bateria é necessário durante a rampa.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334986"/>
            <wp:docPr id="1009" name="bateria_220" descr="bateria 220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09" name="bateria_220"/>
                    <ns0:cNvPicPr/>
                  </ns0:nvPicPr>
                  <ns0:blipFill>
                    <ns0:blip xmlns:ns0="http://purl.oclc.org/ooxml/drawingml/main" r:embed="rIdArtigo9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334986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9. Recarga emulada no PLECS em 220 V, Ebat=20 V, Rbat=10 mΩ e Cbat=0,4 F. Escala temporal artificialmente acelerada.</w:t>
      </w:r>
    </w:p>
    <w:p>
      <w:pPr>
        <w:pStyle w:val="BodyText"/>
        <w:numPr>
          <w:numId w:val="0"/>
        </w:numPr>
        <w:widowControl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rPr>
          <w:color w:val="000000"/>
          <w:lang w:val="pt-BR"/>
        </w:rPr>
        <w:t xml:space="preserve">A tensão chega a 26,9 V em 0,185084 s, coerente com a estimativa ideal Cbat·7/15=0,186667 s. A escala próxima de 0,37 s na figura de referência não resulta automaticamente dos parâmetros escritos; não se alterou Cbat para forçar concordância visual. A carga terminal integrada em 0,6 s é 2,81003 C e a energia terminal é 66,4791 J, grandezas do emulador.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6400800" cy="2887502"/>
            <wp:docPr id="1010" name="circuito_bateria" descr="circuito bateria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10" name="circuito_bateria"/>
                    <ns0:cNvPicPr/>
                  </ns0:nvPicPr>
                  <ns0:blipFill>
                    <ns0:blip xmlns:ns0="http://purl.oclc.org/ooxml/drawingml/main" r:embed="rIdArtigo10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6400800" cy="2887502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1" w:space="18pt"/>
          <w:docGrid w:linePitch="360"/>
        </w:sectPr>
      </w:pPr>
      <w:r>
        <w:rPr>
          <w:color w:val="000000"/>
          <w:lang w:val="pt-BR"/>
        </w:rPr>
        <w:t xml:space="preserve">Fig. 10. Modelo PLECS de forward_bateria. O ramo de carga é a série Ibat, Rbat, Cbat e Ebat; o restante do esquema é o da Fig. 4.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Na cauda, o circuito entra em DCM e a corrente tende a zero. A tensão permanece em aproximadamente 27,02484 V, pois o modelo não oferece autodescarga ou caminho reverso que elimine toda a sobre-elevação. Para 150 Ah em 7 V, o equivalente coulômbico seria 77142,86 F, cerca de 192857 vezes maior. A simulação não prevê tempo real de carga, SOC, envelhecimento ou eficiência eletroquímica.</w:t>
      </w:r>
    </w:p>
    <w:p>
      <w:pPr>
        <w:pStyle w:val="Heading2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E. Ripple, PWM e convergência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Dois ensaios em 373 Vcc, com o circuito da Fig. 13, comparam somente o banco de saída, mantendo os compensadores revisados. A janela 0,1900–0,1901 s contém cinco períodos a 50 kHz. O capacitor original fornece ripple de 0,321095 V; o banco revisado, 0,165516 V, redução de 48,45%. A revisão atende 0,27 Vpp e o original não atende. A Fig. 11 apresenta o caso revisado, com ΔIL=3,10080 A.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122714"/>
            <wp:docPr id="1011" name="ripple_revisado" descr="ripple revisado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11" name="ripple_revisado"/>
                    <ns0:cNvPicPr/>
                  </ns0:nvPicPr>
                  <ns0:blipFill>
                    <ns0:blip xmlns:ns0="http://purl.oclc.org/ooxml/drawingml/main" r:embed="rIdArtigo11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122714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11. Cinco períodos da saída e da corrente do indutor em 373 Vcc com banco revisado. Dados PLECS em grade de 0,2 µs.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Nesse ensaio, a tensão média revisada é 26,7280 V, erro de −1,0073%. O ponto ultrapassa marginalmente ±1%, embora atenda ao ripple. A comparação com o capacitor original, cuja média é 26,9822 V, evidencia a influência da alternância CC/CV e do rastreamento integral. A maior capacitância não é melhoria sem ressalvas; filtragem do sensor ou seleção revisada exige ensaio próprio.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2971800" cy="2688771"/>
            <wp:docPr id="1012" name="pwm_cinco_periodos" descr="pwm cinco periodos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12" name="pwm_cinco_periodos"/>
                    <ns0:cNvPicPr/>
                  </ns0:nvPicPr>
                  <ns0:blipFill>
                    <ns0:blip xmlns:ns0="http://purl.oclc.org/ooxml/drawingml/main" r:embed="rIdArtigo12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2971800" cy="2688771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</w:pPr>
      <w:r>
        <w:rPr>
          <w:color w:val="000000"/>
          <w:lang w:val="pt-BR"/>
        </w:rPr>
        <w:t xml:space="preserve">Fig. 12. Portadora, comando, gate comum e tensões de primário e Q1 em cinco períodos. As duas chaves são acionadas simultaneamente.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 Fig. 12 confirma excitação e reset com polaridades opostas no primário. A corrente magnetizante atinge 99,03 mA e retorna aproximadamente a zero em cada ciclo, com mínimo numérico de −0,12 mA. Q1 alcança 373,701 V e 4,99585 A sem parasitas. A média comando/2,1 não equivale exatamente ao duty efetivo quando o comando varia no período; a média do PWM amostrado também sofre quantização das bordas.</w:t>
      </w:r>
    </w:p>
    <w:p>
      <w:pPr>
        <w:pStyle w:val="BodyText"/>
        <w:numPr>
          <w:numId w:val="0"/>
        </w:numPr>
        <w:widowControl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rPr>
          <w:color w:val="000000"/>
          <w:lang w:val="pt-BR"/>
        </w:rPr>
        <w:t xml:space="preserve">Repetindo o degrau nominal com passo máximo de 1 µs e tolerância relativa de 10⁻⁷, as diferenças nas médias de plena carga são 0,011465% em Vo, 0,001625% em IL e 0,000480% em Vbus. O refinamento sustenta as médias, mas não certifica picos submicrossegundo. O desvio CC/CV permanece. Não houve campanha independente completa de convergência para cada modo.</w:t>
      </w:r>
    </w:p>
    <w:p>
      <w:pPr>
        <w:pStyle w:val="BodyText"/>
        <w:numPr>
          <w:numId w:val="0"/>
        </w:numPr>
        <w:keepNext/>
        <w:widowControl/>
        <w:jc w:val="center"/>
        <w:spacing w:after="0pt"/>
        <w:ind w:firstLine="0pt" w:start="0pt" w:end="0pt"/>
      </w:pPr>
      <w:r>
        <w:drawing>
          <wp:inline distT="0" distB="0" distL="0" distR="0">
            <wp:extent cx="6400800" cy="3139946"/>
            <wp:docPr id="1013" name="circuito_barramento" descr="circuito barramento"/>
            <ns0:graphic xmlns:ns0="http://purl.oclc.org/ooxml/drawingml/main">
              <ns0:graphicData uri="http://purl.oclc.org/ooxml/drawingml/picture">
                <ns0:pic xmlns:ns0="http://purl.oclc.org/ooxml/drawingml/picture">
                  <ns0:nvPicPr>
                    <ns0:cNvPr id="1013" name="circuito_barramento"/>
                    <ns0:cNvPicPr/>
                  </ns0:nvPicPr>
                  <ns0:blipFill>
                    <ns0:blip xmlns:ns0="http://purl.oclc.org/ooxml/drawingml/main" r:embed="rIdArtigo13"/>
                    <ns0:stretch xmlns:ns0="http://purl.oclc.org/ooxml/drawingml/main">
                      <ns0:fillRect/>
                    </ns0:stretch>
                  </ns0:blipFill>
                  <ns0:spPr>
                    <ns0:xfrm xmlns:ns0="http://purl.oclc.org/ooxml/drawingml/main">
                      <ns0:off x="0" y="0"/>
                      <ns0:ext cx="6400800" cy="3139946"/>
                    </ns0:xfrm>
                    <ns0:prstGeom xmlns:ns0="http://purl.oclc.org/ooxml/drawingml/main" prst="rect">
                      <ns0:avLst/>
                    </ns0:prstGeom>
                  </ns0:spPr>
                </ns0:pic>
              </ns0:graphicData>
            </ns0:graphic>
          </wp:inline>
        </w:drawing>
      </w:r>
    </w:p>
    <w:p>
      <w:pPr>
        <w:pStyle w:val="figurecaption"/>
        <w:numPr>
          <w:numId w:val="0"/>
        </w:numPr>
        <w:widowControl/>
        <w:spacing w:after="7pt"/>
        <w:ind w:firstLine="0pt" w:start="0pt" w:end="0p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1" w:space="18pt"/>
          <w:docGrid w:linePitch="360"/>
        </w:sectPr>
      </w:pPr>
      <w:r>
        <w:rPr>
          <w:color w:val="000000"/>
          <w:lang w:val="pt-BR"/>
        </w:rPr>
        <w:t xml:space="preserve">Fig. 13. Modelo PLECS de forward_barramento_cc e forward_capacitor_original. A fonte Ventrada, ajustada em 373 V, substitui a rede e a ponte; os dois modelos diferem apenas em Co e ESR.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VII. Melhorias e implementação futura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Foram incorporados o retificador completo, a lista funcional de componentes e os cinco períodos PWM. Outra topologia isolada ficou como extensão, pois exigiria novas equações de ganho, reset e esforços. A lista do memorial separa valores exatos simulados, valores comerciais sugeridos e seleção física ainda dependente de dissipação, tolerância e isolação.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 UC3525A possui saídas alternadas e não pode comandar Q1 e Q2 em oposição de fase. Uma arquitetura possível utiliza uma saída a 50 kHz, com oscilador de 100 kHz, distribuída a dois drivers adequados, incluindo isolação ou alimentação flutuante superior. Com CT=1 nF e RD=100 Ω, a relação do catálogo fornece RT≈13,857 kΩ [7]. As saídas totem-pole não devem ser simplesmente colocadas em paralelo. Rampa, limiares, atrasos e amplificador interno diferem do PWM funcional de 2,1 V; não se entrega um circuito executivo de PCB validado.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As próximas verificações incluem perdas AC e núcleo, térmica, recuperação dos diodos, gate drive, fonte auxiliar, isolação da realimentação, inrush, EMI e proteção de pico ciclo a ciclo. Para precisão, deve-se reavaliar a seleção CC/CV com filtragem e tolerâncias, preservando resposta ao curto. Também é necessário ensaiar referências intermediárias e usar modelo de bateria apropriado antes de extrapolar a recarga acelerada.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VIII. Conclusões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Estabeleceu-se uma cadeia reproduzível entre dimensionamento, modelo nativo, execução no PLECS, dados e artigo. A auditoria corrige a escolha de ESR, identifica o cruzamento de corrente original próximo de 20 kHz e reprojeta os compensadores para 2,5 e 5 kHz. O duty máximo de 0,45 acomoda as perdas modeladas na rede mínima e mantém reset no circuito idealizado.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Os ensaios confirmam regulação média dentro de ±1% nas três redes, redução do ripple para 0,166 V, limitação média de 15 A no curto e recarga compatível com 0,4 F. Entretanto, o ensaio em 373 Vcc registra erro médio de −1,0073%, e o curto produz aproximadamente 492 A pela descarga capacitiva. Essas observações delimitam a validação e impedem equiparar limitação média à proteção instantânea.</w:t>
      </w:r>
    </w:p>
    <w:p>
      <w:pPr>
        <w:pStyle w:val="BodyText"/>
        <w:numPr>
          <w:numId w:val="0"/>
        </w:numPr>
        <w:widowControl/>
      </w:pPr>
      <w:r>
        <w:rPr>
          <w:color w:val="000000"/>
          <w:lang w:val="pt-BR"/>
        </w:rPr>
        <w:t xml:space="preserve">Os resultados sustentam o funcionamento do projeto simulado e permitem sua evolução. A construção física exige resolver proteção, perdas, isolação e precisão CC/CV, além de substituir a bateria acelerada por representação apropriada. A entrega distingue Bodes analíticos, curvas de referência e medições efetivamente obtidas no PLECS.</w:t>
      </w:r>
    </w:p>
    <w:p>
      <w:pPr>
        <w:pStyle w:val="Heading1"/>
        <w:numPr>
          <w:numId w:val="0"/>
        </w:numPr>
        <w:keepNext/>
        <w:widowControl/>
        <w:ind w:firstLine="0pt" w:start="0pt" w:end="0pt"/>
      </w:pPr>
      <w:r>
        <w:rPr>
          <w:color w:val="000000"/>
          <w:lang w:val="pt-BR"/>
        </w:rPr>
        <w:t xml:space="preserve">Referências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[1] R. P. Torrico-Bascopé, “Projeto de um carregador de baterias de 15 A baseado no conversor Forward de duas chaves,” UFC, material didático de circulação restrita, set. 2026.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[2] Texas Instruments, “How to Approach a Power-Supply Design — Part 7,” SLVAFW4. Disponível: https:/​/​www.ti.com/​lit/​pdf/​slvafw4.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[3] Plexim, “PLECS Documentation — Simulation Scripts.” Disponível: https:/​/​docs.plexim.com/​plecs/​latest/​scripting/​. Versão utilizada: PLECS Standalone 5.0.6.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[4] TDK/EPCOS, “Aluminum electrolytic capacitors — B41821/B43821,” 2013. Disponível: https:/​/​www.tdk-​electronics.tdk.com/​inf/​20/​30/​db/​aec_​2013/​B41821_​B43821.pdf.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[5] TDK, “ETD 59/31/22 — Core and accessories,” out. 2024. Disponível: https:/​/​www.tdk-​electronics.tdk.com/​inf/​80/​db/​fer/​etd_​59_​31_​22.pdf.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[6] TDK, “E 65/32/27DG — Core and accessories,” out. 2022. Disponível: https:/​/​www.tdk-​electronics.tdk.com/​inf/​80/​db/​fer/​e_​65_​32_​27_​dg.pdf.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[7] Texas Instruments, “UCx52xA Regulating Pulse Width Modulators,” SLUS191D, jul. 2017. Disponível: https:/​/​www.ti.com/​lit/​ds/​symlink/​uc3525a.pdf.</w:t>
      </w:r>
    </w:p>
    <w:p>
      <w:pPr>
        <w:pStyle w:val="references"/>
        <w:numPr>
          <w:numId w:val="0"/>
        </w:numPr>
        <w:widowControl/>
        <w:spacing w:after="4pt"/>
        <w:ind w:firstLine="0pt" w:start="0pt" w:end="0pt"/>
      </w:pPr>
      <w:r>
        <w:rPr>
          <w:color w:val="000000"/>
          <w:lang w:val="pt-BR"/>
          <w:sz w:val="16"/>
        </w:rPr>
        <w:t xml:space="preserve">[8] Yuasa, “Maximise Performance and Longevity: The Benefits of Correctly Charging VRLA Batteries.” Disponível: https:/​/​www.yuasa.com/​uk/​info-​hub/​Benefits-​of-​correctly-​charging-​VRLA-​batteries.</w:t>
      </w:r>
    </w:p>
    <w:p>
      <w:pPr>
        <w:pStyle w:val="references"/>
        <w:numPr>
          <w:numId w:val="0"/>
        </w:numPr>
        <w:widowControl/>
        <w:spacing w:after="0pt"/>
        <w:ind w:firstLine="0pt" w:start="0pt" w:end="0pt"/>
        <w:sectPr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rPr>
          <w:color w:val="000000"/>
          <w:lang w:val="pt-BR"/>
          <w:sz w:val="16"/>
        </w:rPr>
        <w:t xml:space="preserve">Fontes on-line consultadas em 19 de outubro de 2026.</w:t>
      </w:r>
    </w:p>
    <w:sectPr>
      <w:type w:val="continuous"/>
      <w:pgSz w:w="595.30pt" w:h="841.90pt" w:code="9"/>
      <w:pgMar w:top="54pt" w:right="45.35pt" w:bottom="72pt" w:left="45.35pt" w:header="36pt" w:footer="36pt" w:gutter="0pt"/>
      <w:cols w:num="1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endnote w:type="separator" w:id="-1">
    <w:p w:rsidR="00B44A76" w:rsidRDefault="00B44A76" w:rsidP="001A3B3D">
      <w:r>
        <w:separator/>
      </w:r>
    </w:p>
  </w:endnote>
  <w:endnote w:type="continuationSeparator" w:id="0">
    <w:p w:rsidR="00B44A76" w:rsidRDefault="00B44A76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p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footnote w:type="separator" w:id="-1">
    <w:p w:rsidR="00B44A76" w:rsidRDefault="00B44A76" w:rsidP="001A3B3D">
      <w:r>
        <w:separator/>
      </w:r>
    </w:p>
  </w:footnote>
  <w:footnote w:type="continuationSeparator" w:id="0">
    <w:p w:rsidR="00B44A76" w:rsidRDefault="00B44A76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14"/>
  </w:num>
  <w:num w:numId="2">
    <w:abstractNumId w:val="19"/>
  </w:num>
  <w:num w:numId="3">
    <w:abstractNumId w:val="13"/>
  </w:num>
  <w:num w:numId="4">
    <w:abstractNumId w:val="16"/>
  </w:num>
  <w:num w:numId="5">
    <w:abstractNumId w:val="16"/>
  </w:num>
  <w:num w:numId="6">
    <w:abstractNumId w:val="16"/>
  </w:num>
  <w:num w:numId="7">
    <w:abstractNumId w:val="16"/>
  </w:num>
  <w:num w:numId="8">
    <w:abstractNumId w:val="18"/>
  </w:num>
  <w:num w:numId="9">
    <w:abstractNumId w:val="20"/>
  </w:num>
  <w:num w:numId="10">
    <w:abstractNumId w:val="15"/>
  </w:num>
  <w:num w:numId="11">
    <w:abstractNumId w:val="12"/>
  </w:num>
  <w:num w:numId="12">
    <w:abstractNumId w:val="11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03D9"/>
    <w:rsid w:val="0004781E"/>
    <w:rsid w:val="0008758A"/>
    <w:rsid w:val="000C1E68"/>
    <w:rsid w:val="001A2EFD"/>
    <w:rsid w:val="001A3B3D"/>
    <w:rsid w:val="001B67DC"/>
    <w:rsid w:val="002254A9"/>
    <w:rsid w:val="00233D97"/>
    <w:rsid w:val="002347A2"/>
    <w:rsid w:val="002850E3"/>
    <w:rsid w:val="00354FCF"/>
    <w:rsid w:val="003A19E2"/>
    <w:rsid w:val="003B2B40"/>
    <w:rsid w:val="003B4E04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551B7F"/>
    <w:rsid w:val="0056610F"/>
    <w:rsid w:val="00575BCA"/>
    <w:rsid w:val="005B0344"/>
    <w:rsid w:val="005B520E"/>
    <w:rsid w:val="005E2800"/>
    <w:rsid w:val="00605825"/>
    <w:rsid w:val="00645D22"/>
    <w:rsid w:val="00651A08"/>
    <w:rsid w:val="00654204"/>
    <w:rsid w:val="00670434"/>
    <w:rsid w:val="006B6B66"/>
    <w:rsid w:val="006F6D3D"/>
    <w:rsid w:val="00715BEA"/>
    <w:rsid w:val="00740EEA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36367"/>
    <w:rsid w:val="00873603"/>
    <w:rsid w:val="008A2C7D"/>
    <w:rsid w:val="008B6524"/>
    <w:rsid w:val="008C4B23"/>
    <w:rsid w:val="008F6E2C"/>
    <w:rsid w:val="009303D9"/>
    <w:rsid w:val="00933C64"/>
    <w:rsid w:val="00972203"/>
    <w:rsid w:val="009F1D79"/>
    <w:rsid w:val="00A059B3"/>
    <w:rsid w:val="00AE3409"/>
    <w:rsid w:val="00B11A60"/>
    <w:rsid w:val="00B22613"/>
    <w:rsid w:val="00B44A76"/>
    <w:rsid w:val="00B768D1"/>
    <w:rsid w:val="00BA1025"/>
    <w:rsid w:val="00BC3420"/>
    <w:rsid w:val="00BD670B"/>
    <w:rsid w:val="00BE7D3C"/>
    <w:rsid w:val="00BF5FF6"/>
    <w:rsid w:val="00C0207F"/>
    <w:rsid w:val="00C16117"/>
    <w:rsid w:val="00C3075A"/>
    <w:rsid w:val="00C919A4"/>
    <w:rsid w:val="00CA4392"/>
    <w:rsid w:val="00CC393F"/>
    <w:rsid w:val="00D2176E"/>
    <w:rsid w:val="00D632BE"/>
    <w:rsid w:val="00D72D06"/>
    <w:rsid w:val="00D7522C"/>
    <w:rsid w:val="00D7536F"/>
    <w:rsid w:val="00D76668"/>
    <w:rsid w:val="00E07383"/>
    <w:rsid w:val="00E165BC"/>
    <w:rsid w:val="00E61E12"/>
    <w:rsid w:val="00E7596C"/>
    <w:rsid w:val="00E878F2"/>
    <w:rsid w:val="00ED0149"/>
    <w:rsid w:val="00EF7DE3"/>
    <w:rsid w:val="00F03103"/>
    <w:rsid w:val="00F271DE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Relationship Id="rIdArtigo1" Type="http://purl.oclc.org/ooxml/officeDocument/relationships/image" Target="media/artigo_fig_1.png"/><Relationship Id="rIdArtigo2" Type="http://purl.oclc.org/ooxml/officeDocument/relationships/image" Target="media/artigo_fig_2.png"/><Relationship Id="rIdArtigo3" Type="http://purl.oclc.org/ooxml/officeDocument/relationships/image" Target="media/artigo_fig_3.png"/><Relationship Id="rIdArtigo4" Type="http://purl.oclc.org/ooxml/officeDocument/relationships/image" Target="media/artigo_fig_4.png"/><Relationship Id="rIdArtigo5" Type="http://purl.oclc.org/ooxml/officeDocument/relationships/image" Target="media/artigo_fig_5.png"/><Relationship Id="rIdArtigo6" Type="http://purl.oclc.org/ooxml/officeDocument/relationships/image" Target="media/artigo_fig_6.png"/><Relationship Id="rIdArtigo7" Type="http://purl.oclc.org/ooxml/officeDocument/relationships/image" Target="media/artigo_fig_7.png"/><Relationship Id="rIdArtigo8" Type="http://purl.oclc.org/ooxml/officeDocument/relationships/image" Target="media/artigo_fig_8.png"/><Relationship Id="rIdArtigo9" Type="http://purl.oclc.org/ooxml/officeDocument/relationships/image" Target="media/artigo_fig_9.png"/><Relationship Id="rIdArtigo10" Type="http://purl.oclc.org/ooxml/officeDocument/relationships/image" Target="media/artigo_fig_10.png"/><Relationship Id="rIdArtigo11" Type="http://purl.oclc.org/ooxml/officeDocument/relationships/image" Target="media/artigo_fig_11.png"/><Relationship Id="rIdArtigo12" Type="http://purl.oclc.org/ooxml/officeDocument/relationships/image" Target="media/artigo_fig_12.png"/><Relationship Id="rIdArtigo13" Type="http://purl.oclc.org/ooxml/officeDocument/relationships/image" Target="media/artigo_fig_13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9</TotalTime>
  <Pages>3</Pages>
  <Words>2151</Words>
  <Characters>12267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um Carregador de Baterias de 15 A Baseado no Conversor Forward de Duas Chaves</dc:title>
  <dc:subject/>
  <dc:creator>Jonatas Manoel Assunção Felix — 539729; Jose Carlos Moreira de Brito Neto — 536962</dc:creator>
  <cp:keywords/>
  <cp:lastModifiedBy>Young, Sherri</cp:lastModifiedBy>
  <cp:revision>3</cp:revision>
  <dcterms:created xsi:type="dcterms:W3CDTF">2019-01-08T18:42:00Z</dcterms:created>
  <dcterms:modified xsi:type="dcterms:W3CDTF">2019-01-08T20:11:00Z</dcterms:modified>
</cp:coreProperties>
</file>