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3D6B"/>
          <w:sz w:val="40"/>
        </w:rPr>
        <w:t>Especificaciones de Calidad del Gas Natural</w:t>
      </w:r>
    </w:p>
    <w:p>
      <w:pPr>
        <w:jc w:val="center"/>
      </w:pPr>
      <w:r>
        <w:rPr>
          <w:b/>
          <w:i w:val="0"/>
          <w:color w:val="1F6FB2"/>
          <w:sz w:val="30"/>
        </w:rPr>
        <w:t>Valores Verificados — Comparación multinacional</w:t>
      </w:r>
    </w:p>
    <w:p>
      <w:pPr>
        <w:jc w:val="center"/>
      </w:pPr>
      <w:r>
        <w:rPr>
          <w:b w:val="0"/>
          <w:i/>
          <w:color w:val="555555"/>
          <w:sz w:val="22"/>
        </w:rPr>
        <w:t>Conjunto de datos verificado — revisión 2026-06  ·  ontología v3.1.0</w:t>
      </w:r>
    </w:p>
    <w:p>
      <w:pPr>
        <w:jc w:val="center"/>
      </w:pPr>
      <w:r>
        <w:rPr>
          <w:b w:val="0"/>
          <w:i/>
          <w:color w:val="555555"/>
          <w:sz w:val="22"/>
        </w:rPr>
        <w:t>Proyecto ENAGÁS — Calidad de gas natural en Europa (ES · PT · FR · UE)</w:t>
      </w:r>
    </w:p>
    <w:p/>
    <w:p>
      <w:pPr>
        <w:pStyle w:val="Heading1"/>
      </w:pPr>
      <w:r>
        <w:t>1. Alcance y metodología</w:t>
      </w:r>
    </w:p>
    <w:p>
      <w:r>
        <w:rPr>
          <w:b w:val="0"/>
          <w:i w:val="0"/>
        </w:rPr>
        <w:t>El proyecto compara los 10 parámetros de calidad del gas natural del alcance (excluye Polvo/Partículas) entre España, Portugal, Francia y el marco europeo. Cada valor de esta tabla está contrastado verbatim contra su documento oficial (artículo/tabla + página). Cuando una norma no fija un parámetro, se indica «No fija» y no se rellena con ninguna cifra.</w:t>
      </w:r>
    </w:p>
    <w:p>
      <w:r>
        <w:rPr>
          <w:b/>
          <w:i w:val="0"/>
        </w:rPr>
        <w:t xml:space="preserve">Cobertura verificada: </w:t>
      </w:r>
      <w:r>
        <w:rPr>
          <w:b w:val="0"/>
          <w:i w:val="0"/>
        </w:rPr>
        <w:t>ES 10/10 · FR 10/10 · PT 6/10 · UE 0/10 (el Reglamento (UE) 2015/703 no fija límites numéricos de calidad).</w:t>
      </w:r>
    </w:p>
    <w:p>
      <w:pPr>
        <w:pStyle w:val="Heading1"/>
      </w:pPr>
      <w:r>
        <w:t>2. Condiciones de referencia por jurisdicción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3D6B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Jurisdicción</w:t>
            </w:r>
          </w:p>
        </w:tc>
        <w:tc>
          <w:tcPr>
            <w:tcW w:type="dxa" w:w="4320"/>
            <w:shd w:val="clear" w:color="auto" w:fill="003D6B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Condiciones de referencia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color w:val="003D6B"/>
                <w:sz w:val="18"/>
              </w:rPr>
              <w:t>España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8"/>
              </w:rPr>
              <w:t>@0/0 — combustión 0 ºC, volumen V(0 ºC, 1,01325 bar)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color w:val="003D6B"/>
                <w:sz w:val="18"/>
              </w:rPr>
              <w:t>Portugal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8"/>
              </w:rPr>
              <w:t>@25/0 — combustión 25 ºC (ISO 13443), volumen 0 ºC, 1,01325 bar; volumen en m³(n)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color w:val="003D6B"/>
                <w:sz w:val="18"/>
              </w:rPr>
              <w:t>Francia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8"/>
              </w:rPr>
              <w:t>@0/0 — combustión 0 ºC, 1,01325 bar; volumen m³(n)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color w:val="003D6B"/>
                <w:sz w:val="18"/>
              </w:rPr>
              <w:t>Marco Europeo Común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8"/>
              </w:rPr>
              <w:t>@25/0 (sólo condiciones de reporte; sin límites numéricos)</w:t>
            </w:r>
          </w:p>
        </w:tc>
      </w:tr>
    </w:tbl>
    <w:p>
      <w:pPr>
        <w:pStyle w:val="Heading1"/>
      </w:pPr>
      <w:r>
        <w:t>3. Valores verificados (parámetro × jurisdicción)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3D6B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1728"/>
            <w:shd w:val="clear" w:color="auto" w:fill="003D6B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España (ES)</w:t>
            </w:r>
          </w:p>
        </w:tc>
        <w:tc>
          <w:tcPr>
            <w:tcW w:type="dxa" w:w="1728"/>
            <w:shd w:val="clear" w:color="auto" w:fill="003D6B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Portugal (PT)</w:t>
            </w:r>
          </w:p>
        </w:tc>
        <w:tc>
          <w:tcPr>
            <w:tcW w:type="dxa" w:w="1728"/>
            <w:shd w:val="clear" w:color="auto" w:fill="003D6B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Francia (FR)</w:t>
            </w:r>
          </w:p>
        </w:tc>
        <w:tc>
          <w:tcPr>
            <w:tcW w:type="dxa" w:w="1728"/>
            <w:shd w:val="clear" w:color="auto" w:fill="003D6B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Índice de Wobbe (IW)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13,403 – 16,058 kWh/m³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48,17 – 57,66 MJ/m³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13,64 – 15,7 kWh/m³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Poder Calorífico Superior (PCS)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10,26 – 13,26 kWh/m³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10,7 – 12,8 kWh/m³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Densidad Relativa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0,555 – 0,7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0,5549 – 0,7001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0,5 – 0,7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Azufre Total (S total)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50 mg/m³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50 mg/m³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30 mg/m³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H₂S + COS (expresado como 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15 mg/m³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5 mg/m³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5 mg/m³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Mercaptanos (RSH, expresado como 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17 mg/m³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6 mg/m³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Oxígeno (O₂)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0,01 % mol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1 % mol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0,01 % mol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Dióxido de Carbono (CO₂)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2,5 % mol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2,5 % mol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Punto de Rocío de Agua (PR H₂O)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2 ºC @ 70 bar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-8 ºC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-5 ºC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  <w:color w:val="003D6B"/>
                <w:sz w:val="18"/>
              </w:rPr>
              <w:t>Punto de Rocío de Hidrocarburos (PR HC)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5 ºC @ 1-70 bar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1E7A34"/>
                <w:sz w:val="18"/>
              </w:rPr>
              <w:t>≤ -2 ºC @ 1-70 bar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color w:val="999999"/>
                <w:sz w:val="18"/>
              </w:rPr>
              <w:t>No fija</w:t>
            </w:r>
          </w:p>
        </w:tc>
      </w:tr>
    </w:tbl>
    <w:p>
      <w:r>
        <w:rPr>
          <w:b w:val="0"/>
          <w:i/>
          <w:color w:val="555555"/>
          <w:sz w:val="17"/>
        </w:rPr>
        <w:t>Verde = VERIFICADO verbatim.  Gris = «No fija» (NO_VERIFICABLE_SIN_FUENTE).</w:t>
      </w:r>
    </w:p>
    <w:p>
      <w:pPr>
        <w:pStyle w:val="Heading1"/>
      </w:pPr>
      <w:r>
        <w:t>4. Fuentes oficiales</w:t>
      </w:r>
    </w:p>
    <w:p>
      <w:pPr>
        <w:pStyle w:val="ListBullet"/>
      </w:pPr>
      <w:r>
        <w:rPr>
          <w:b/>
          <w:i w:val="0"/>
          <w:sz w:val="19"/>
        </w:rPr>
        <w:t>[ES] Orden TED/181/2025, de 13 de febrero — Normas de Gestión Técnica del Sistema Gasista</w:t>
      </w:r>
      <w:r>
        <w:rPr>
          <w:b w:val="0"/>
          <w:i w:val="0"/>
          <w:color w:val="555555"/>
          <w:sz w:val="18"/>
        </w:rPr>
        <w:t xml:space="preserve"> — BOE-A-2025-3873, BOE núm. 50, de 27 de febrero de 2025 (texto consolidado, últ. mod. 30/09/2025)</w:t>
      </w:r>
    </w:p>
    <w:p>
      <w:pPr>
        <w:pStyle w:val="ListBullet"/>
      </w:pPr>
      <w:r>
        <w:rPr>
          <w:b/>
          <w:i w:val="0"/>
          <w:sz w:val="19"/>
        </w:rPr>
        <w:t>[ES] PD-01 — Medición, Calidad y Odorización de Gas (NGTS-06)</w:t>
      </w:r>
      <w:r>
        <w:rPr>
          <w:b w:val="0"/>
          <w:i w:val="0"/>
          <w:color w:val="555555"/>
          <w:sz w:val="18"/>
        </w:rPr>
        <w:t xml:space="preserve"> — Redacción previa vía Resolución 21/12/2012 (BOE-A-2013-185) y 8/10/2018 (BOE-A-2018-14557)</w:t>
      </w:r>
    </w:p>
    <w:p>
      <w:pPr>
        <w:pStyle w:val="ListBullet"/>
      </w:pPr>
      <w:r>
        <w:rPr>
          <w:b/>
          <w:i w:val="0"/>
          <w:sz w:val="19"/>
        </w:rPr>
        <w:t>[ES] Real Decreto 919/2006, de 28 de julio</w:t>
      </w:r>
      <w:r>
        <w:rPr>
          <w:b w:val="0"/>
          <w:i w:val="0"/>
          <w:color w:val="555555"/>
          <w:sz w:val="18"/>
        </w:rPr>
        <w:t xml:space="preserve"> — BOE-A-2006-15345, BOE núm. 211, de 4 de septiembre de 2006</w:t>
      </w:r>
    </w:p>
    <w:p>
      <w:pPr>
        <w:pStyle w:val="ListBullet"/>
      </w:pPr>
      <w:r>
        <w:rPr>
          <w:b/>
          <w:i w:val="0"/>
          <w:sz w:val="19"/>
        </w:rPr>
        <w:t>[PT] Regulamento n.º 826/2023 — Regulamento da Qualidade de Serviço dos Setores Elétrico e do Gás (RQS)</w:t>
      </w:r>
      <w:r>
        <w:rPr>
          <w:b w:val="0"/>
          <w:i w:val="0"/>
          <w:color w:val="555555"/>
          <w:sz w:val="18"/>
        </w:rPr>
        <w:t xml:space="preserve"> — Diário da República, 2.ª série, N.º 146, de 28 de julho de 2023</w:t>
      </w:r>
    </w:p>
    <w:p>
      <w:pPr>
        <w:pStyle w:val="ListBullet"/>
      </w:pPr>
      <w:r>
        <w:rPr>
          <w:b/>
          <w:i w:val="0"/>
          <w:sz w:val="19"/>
        </w:rPr>
        <w:t>[FR] GRTgaz — Annexe 4: caractéristiques physico-chimiques du méthane de synthèse destiné à être injecté</w:t>
      </w:r>
      <w:r>
        <w:rPr>
          <w:b w:val="0"/>
          <w:i w:val="0"/>
          <w:color w:val="555555"/>
          <w:sz w:val="18"/>
        </w:rPr>
        <w:t xml:space="preserve"> — Tabla «Prescriptions techniques» (pág. 1)</w:t>
      </w:r>
    </w:p>
    <w:p>
      <w:pPr>
        <w:pStyle w:val="ListBullet"/>
      </w:pPr>
      <w:r>
        <w:rPr>
          <w:b/>
          <w:i w:val="0"/>
          <w:sz w:val="19"/>
        </w:rPr>
        <w:t>[FR] GRDF — Prescriptions techniques du distributeur</w:t>
      </w:r>
      <w:r>
        <w:rPr>
          <w:b w:val="0"/>
          <w:i w:val="0"/>
          <w:color w:val="555555"/>
          <w:sz w:val="18"/>
        </w:rPr>
        <w:t xml:space="preserve"> — Abril 2017 (base reglamentaria: décret n.º 2016-348)</w:t>
      </w:r>
    </w:p>
    <w:p>
      <w:pPr>
        <w:pStyle w:val="ListBullet"/>
      </w:pPr>
      <w:r>
        <w:rPr>
          <w:b/>
          <w:i w:val="0"/>
          <w:sz w:val="19"/>
        </w:rPr>
        <w:t>[UE] Network Code on Interoperability and Data Exchange (NC INT)</w:t>
      </w:r>
      <w:r>
        <w:rPr>
          <w:b w:val="0"/>
          <w:i w:val="0"/>
          <w:color w:val="555555"/>
          <w:sz w:val="18"/>
        </w:rPr>
        <w:t xml:space="preserve"> — DOUE L 113, de 1 de mayo de 2015</w:t>
      </w:r>
    </w:p>
    <w:p>
      <w:pPr>
        <w:pStyle w:val="ListBullet"/>
      </w:pPr>
      <w:r>
        <w:rPr>
          <w:b/>
          <w:i w:val="0"/>
          <w:sz w:val="19"/>
        </w:rPr>
        <w:t>[UE] Network Code on Capacity Allocation Mechanisms (NC CAM) — Reglamento (UE) 2017/459</w:t>
      </w:r>
    </w:p>
    <w:p/>
    <w:p>
      <w:r>
        <w:rPr>
          <w:b w:val="0"/>
          <w:i/>
          <w:color w:val="555555"/>
          <w:sz w:val="18"/>
        </w:rPr>
        <w:t>Documento generado automáticamente desde la ontología verificada (ontologia_enagas.yaml v3.1.0). Ninguna cifra inventada.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