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nihub-car"/>
    <w:p>
      <w:pPr>
        <w:pStyle w:val="Heading1"/>
      </w:pPr>
      <w:r>
        <w:t xml:space="preserve">MiniHub Car</w:t>
      </w:r>
    </w:p>
    <w:bookmarkStart w:id="10" w:name="documento-de-visão-do-produto"/>
    <w:p>
      <w:pPr>
        <w:pStyle w:val="Heading2"/>
      </w:pPr>
      <w:r>
        <w:t xml:space="preserve">Documento de Visão do Produto</w:t>
      </w:r>
    </w:p>
    <w:bookmarkStart w:id="9" w:name="versão-1.2"/>
    <w:p>
      <w:pPr>
        <w:pStyle w:val="Heading3"/>
      </w:pPr>
      <w:r>
        <w:t xml:space="preserve">Versão 1.2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-do-produto"/>
    <w:p>
      <w:pPr>
        <w:pStyle w:val="Heading2"/>
      </w:pPr>
      <w:r>
        <w:t xml:space="preserve">1. Objetivo do Produto</w:t>
      </w:r>
    </w:p>
    <w:p>
      <w:pPr>
        <w:pStyle w:val="FirstParagraph"/>
      </w:pPr>
      <w:r>
        <w:t xml:space="preserve">O MiniHub Car é uma plataforma digital para gestão de acervos físicos de miniaturas automotivas, permitindo ao colecionador organizar, identificar, localizar, acompanhar e preservar o histórico de sua coleção.</w:t>
      </w:r>
    </w:p>
    <w:p>
      <w:pPr>
        <w:pStyle w:val="BodyText"/>
      </w:pPr>
      <w:r>
        <w:t xml:space="preserve">O produto tem como princípio:</w:t>
      </w:r>
    </w:p>
    <w:p>
      <w:pPr>
        <w:pStyle w:val="BlockText"/>
      </w:pPr>
      <w:r>
        <w:rPr>
          <w:b/>
          <w:bCs/>
        </w:rPr>
        <w:t xml:space="preserve">Transformar a coleção de miniaturas em um acervo organizado, rastreável e inteligente.</w:t>
      </w:r>
    </w:p>
    <w:p>
      <w:pPr>
        <w:pStyle w:val="FirstParagraph"/>
      </w:pPr>
      <w:r>
        <w:t xml:space="preserve">O MiniHub Car deverá evoluir progressivamente de uma plataforma de gestão de coleção para um ecossistema digital voltado a:</w:t>
      </w:r>
    </w:p>
    <w:p>
      <w:pPr>
        <w:pStyle w:val="Compact"/>
        <w:numPr>
          <w:ilvl w:val="0"/>
          <w:numId w:val="1001"/>
        </w:numPr>
      </w:pPr>
      <w:r>
        <w:t xml:space="preserve">colecionadores;</w:t>
      </w:r>
    </w:p>
    <w:p>
      <w:pPr>
        <w:pStyle w:val="Compact"/>
        <w:numPr>
          <w:ilvl w:val="0"/>
          <w:numId w:val="1001"/>
        </w:numPr>
      </w:pPr>
      <w:r>
        <w:t xml:space="preserve">vendedores especializados;</w:t>
      </w:r>
    </w:p>
    <w:p>
      <w:pPr>
        <w:pStyle w:val="Compact"/>
        <w:numPr>
          <w:ilvl w:val="0"/>
          <w:numId w:val="1001"/>
        </w:numPr>
      </w:pPr>
      <w:r>
        <w:t xml:space="preserve">lojas;</w:t>
      </w:r>
    </w:p>
    <w:p>
      <w:pPr>
        <w:pStyle w:val="Compact"/>
        <w:numPr>
          <w:ilvl w:val="0"/>
          <w:numId w:val="1001"/>
        </w:numPr>
      </w:pPr>
      <w:r>
        <w:t xml:space="preserve">comunidades;</w:t>
      </w:r>
    </w:p>
    <w:p>
      <w:pPr>
        <w:pStyle w:val="Compact"/>
        <w:numPr>
          <w:ilvl w:val="0"/>
          <w:numId w:val="1001"/>
        </w:numPr>
      </w:pPr>
      <w:r>
        <w:t xml:space="preserve">pré-vendas;</w:t>
      </w:r>
    </w:p>
    <w:p>
      <w:pPr>
        <w:pStyle w:val="Compact"/>
        <w:numPr>
          <w:ilvl w:val="0"/>
          <w:numId w:val="1001"/>
        </w:numPr>
      </w:pPr>
      <w:r>
        <w:t xml:space="preserve">rifas;</w:t>
      </w:r>
    </w:p>
    <w:p>
      <w:pPr>
        <w:pStyle w:val="Compact"/>
        <w:numPr>
          <w:ilvl w:val="0"/>
          <w:numId w:val="1001"/>
        </w:numPr>
      </w:pPr>
      <w:r>
        <w:t xml:space="preserve">comércio de miniaturas.</w:t>
      </w:r>
    </w:p>
    <w:p>
      <w:pPr>
        <w:pStyle w:val="FirstParagraph"/>
      </w:pPr>
      <w:r>
        <w:t xml:space="preserve">Entretanto, essas funcionalidades comerciais não fazem parte do MVP.</w:t>
      </w:r>
    </w:p>
    <w:p>
      <w:r>
        <w:pict>
          <v:rect style="width:0;height:1.5pt" o:hralign="center" o:hrstd="t" o:hr="t"/>
        </w:pict>
      </w:r>
    </w:p>
    <w:bookmarkEnd w:id="11"/>
    <w:bookmarkStart w:id="12" w:name="posicionamento"/>
    <w:p>
      <w:pPr>
        <w:pStyle w:val="Heading2"/>
      </w:pPr>
      <w:r>
        <w:t xml:space="preserve">2. Posicionamento</w:t>
      </w:r>
    </w:p>
    <w:p>
      <w:pPr>
        <w:pStyle w:val="FirstParagraph"/>
      </w:pPr>
      <w:r>
        <w:t xml:space="preserve">Posicionamento principal:</w:t>
      </w:r>
    </w:p>
    <w:p>
      <w:pPr>
        <w:pStyle w:val="BlockText"/>
      </w:pPr>
      <w:r>
        <w:rPr>
          <w:b/>
          <w:bCs/>
        </w:rPr>
        <w:t xml:space="preserve">Plataforma de gestão de acervo físico para colecionadores de miniaturas automotivas.</w:t>
      </w:r>
    </w:p>
    <w:p>
      <w:pPr>
        <w:pStyle w:val="FirstParagraph"/>
      </w:pPr>
      <w:r>
        <w:t xml:space="preserve">Visão futura:</w:t>
      </w:r>
    </w:p>
    <w:p>
      <w:pPr>
        <w:pStyle w:val="BlockText"/>
      </w:pPr>
      <w:r>
        <w:rPr>
          <w:b/>
          <w:bCs/>
        </w:rPr>
        <w:t xml:space="preserve">Ecossistema digital para colecionadores, vendedores e comunidades de miniaturas automotivas.</w:t>
      </w:r>
    </w:p>
    <w:p>
      <w:r>
        <w:pict>
          <v:rect style="width:0;height:1.5pt" o:hralign="center" o:hrstd="t" o:hr="t"/>
        </w:pict>
      </w:r>
    </w:p>
    <w:bookmarkEnd w:id="12"/>
    <w:bookmarkStart w:id="17" w:name="os-quatro-pilares-do-minihub"/>
    <w:p>
      <w:pPr>
        <w:pStyle w:val="Heading2"/>
      </w:pPr>
      <w:r>
        <w:t xml:space="preserve">3. Os quatro pilares do MiniHub</w:t>
      </w:r>
    </w:p>
    <w:p>
      <w:pPr>
        <w:pStyle w:val="FirstParagraph"/>
      </w:pPr>
      <w:r>
        <w:t xml:space="preserve">O produto será construído inicialmente sobre quatro pilares:</w:t>
      </w:r>
    </w:p>
    <w:bookmarkStart w:id="13" w:name="catálogo"/>
    <w:p>
      <w:pPr>
        <w:pStyle w:val="Heading3"/>
      </w:pPr>
      <w:r>
        <w:t xml:space="preserve">3.1 Catálogo</w:t>
      </w:r>
    </w:p>
    <w:p>
      <w:pPr>
        <w:pStyle w:val="FirstParagraph"/>
      </w:pPr>
      <w:r>
        <w:t xml:space="preserve">Define:</w:t>
      </w:r>
    </w:p>
    <w:p>
      <w:pPr>
        <w:pStyle w:val="BlockText"/>
      </w:pPr>
      <w:r>
        <w:t xml:space="preserve">O que existe no universo das miniaturas.</w:t>
      </w:r>
    </w:p>
    <w:p>
      <w:pPr>
        <w:pStyle w:val="FirstParagraph"/>
      </w:pPr>
      <w:r>
        <w:t xml:space="preserve">Contém informações oficiais sobre:</w:t>
      </w:r>
    </w:p>
    <w:p>
      <w:pPr>
        <w:pStyle w:val="Compact"/>
        <w:numPr>
          <w:ilvl w:val="0"/>
          <w:numId w:val="1002"/>
        </w:numPr>
      </w:pPr>
      <w:r>
        <w:t xml:space="preserve">marcas de miniaturas;</w:t>
      </w:r>
    </w:p>
    <w:p>
      <w:pPr>
        <w:pStyle w:val="Compact"/>
        <w:numPr>
          <w:ilvl w:val="0"/>
          <w:numId w:val="1002"/>
        </w:numPr>
      </w:pPr>
      <w:r>
        <w:t xml:space="preserve">montadoras;</w:t>
      </w:r>
    </w:p>
    <w:p>
      <w:pPr>
        <w:pStyle w:val="Compact"/>
        <w:numPr>
          <w:ilvl w:val="0"/>
          <w:numId w:val="1002"/>
        </w:numPr>
      </w:pPr>
      <w:r>
        <w:t xml:space="preserve">modelos de veículos;</w:t>
      </w:r>
    </w:p>
    <w:p>
      <w:pPr>
        <w:pStyle w:val="Compact"/>
        <w:numPr>
          <w:ilvl w:val="0"/>
          <w:numId w:val="1002"/>
        </w:numPr>
      </w:pPr>
      <w:r>
        <w:t xml:space="preserve">castings;</w:t>
      </w:r>
    </w:p>
    <w:p>
      <w:pPr>
        <w:pStyle w:val="Compact"/>
        <w:numPr>
          <w:ilvl w:val="0"/>
          <w:numId w:val="1002"/>
        </w:numPr>
      </w:pPr>
      <w:r>
        <w:t xml:space="preserve">variações;</w:t>
      </w:r>
    </w:p>
    <w:p>
      <w:pPr>
        <w:pStyle w:val="Compact"/>
        <w:numPr>
          <w:ilvl w:val="0"/>
          <w:numId w:val="1002"/>
        </w:numPr>
      </w:pPr>
      <w:r>
        <w:t xml:space="preserve">séries;</w:t>
      </w:r>
    </w:p>
    <w:p>
      <w:pPr>
        <w:pStyle w:val="Compact"/>
        <w:numPr>
          <w:ilvl w:val="0"/>
          <w:numId w:val="1002"/>
        </w:numPr>
      </w:pPr>
      <w:r>
        <w:t xml:space="preserve">escalas;</w:t>
      </w:r>
    </w:p>
    <w:p>
      <w:pPr>
        <w:pStyle w:val="Compact"/>
        <w:numPr>
          <w:ilvl w:val="0"/>
          <w:numId w:val="1002"/>
        </w:numPr>
      </w:pPr>
      <w:r>
        <w:t xml:space="preserve">franquias;</w:t>
      </w:r>
    </w:p>
    <w:p>
      <w:pPr>
        <w:pStyle w:val="Compact"/>
        <w:numPr>
          <w:ilvl w:val="0"/>
          <w:numId w:val="1002"/>
        </w:numPr>
      </w:pPr>
      <w:r>
        <w:t xml:space="preserve">identificadores.</w:t>
      </w:r>
    </w:p>
    <w:bookmarkEnd w:id="13"/>
    <w:bookmarkStart w:id="14" w:name="coleção"/>
    <w:p>
      <w:pPr>
        <w:pStyle w:val="Heading3"/>
      </w:pPr>
      <w:r>
        <w:t xml:space="preserve">3.2 Coleção</w:t>
      </w:r>
    </w:p>
    <w:p>
      <w:pPr>
        <w:pStyle w:val="FirstParagraph"/>
      </w:pPr>
      <w:r>
        <w:t xml:space="preserve">Define:</w:t>
      </w:r>
    </w:p>
    <w:p>
      <w:pPr>
        <w:pStyle w:val="BlockText"/>
      </w:pPr>
      <w:r>
        <w:t xml:space="preserve">O que o usuário possui.</w:t>
      </w:r>
    </w:p>
    <w:p>
      <w:pPr>
        <w:pStyle w:val="FirstParagraph"/>
      </w:pPr>
      <w:r>
        <w:t xml:space="preserve">Cada unidade física é representada por um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.</w:t>
      </w:r>
    </w:p>
    <w:bookmarkEnd w:id="14"/>
    <w:bookmarkStart w:id="15" w:name="endereçamento"/>
    <w:p>
      <w:pPr>
        <w:pStyle w:val="Heading3"/>
      </w:pPr>
      <w:r>
        <w:t xml:space="preserve">3.3 Endereçamento</w:t>
      </w:r>
    </w:p>
    <w:p>
      <w:pPr>
        <w:pStyle w:val="FirstParagraph"/>
      </w:pPr>
      <w:r>
        <w:t xml:space="preserve">Define:</w:t>
      </w:r>
    </w:p>
    <w:p>
      <w:pPr>
        <w:pStyle w:val="BlockText"/>
      </w:pPr>
      <w:r>
        <w:t xml:space="preserve">Onde cada exemplar está fisicamente.</w:t>
      </w:r>
    </w:p>
    <w:p>
      <w:pPr>
        <w:pStyle w:val="FirstParagraph"/>
      </w:pPr>
      <w:r>
        <w:t xml:space="preserve">O endereço poderá ser hierárquico: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 └── Quarto</w:t>
      </w:r>
      <w:r>
        <w:br/>
      </w:r>
      <w:r>
        <w:rPr>
          <w:rStyle w:val="VerbatimChar"/>
        </w:rPr>
        <w:t xml:space="preserve">      └── Expositor 01</w:t>
      </w:r>
      <w:r>
        <w:br/>
      </w:r>
      <w:r>
        <w:rPr>
          <w:rStyle w:val="VerbatimChar"/>
        </w:rPr>
        <w:t xml:space="preserve">           └── Linha 02</w:t>
      </w:r>
      <w:r>
        <w:br/>
      </w:r>
      <w:r>
        <w:rPr>
          <w:rStyle w:val="VerbatimChar"/>
        </w:rPr>
        <w:t xml:space="preserve">                └── Coluna 05</w:t>
      </w:r>
    </w:p>
    <w:bookmarkEnd w:id="15"/>
    <w:bookmarkStart w:id="16" w:name="histórico"/>
    <w:p>
      <w:pPr>
        <w:pStyle w:val="Heading3"/>
      </w:pPr>
      <w:r>
        <w:t xml:space="preserve">3.4 Histórico</w:t>
      </w:r>
    </w:p>
    <w:p>
      <w:pPr>
        <w:pStyle w:val="FirstParagraph"/>
      </w:pPr>
      <w:r>
        <w:t xml:space="preserve">Define:</w:t>
      </w:r>
    </w:p>
    <w:p>
      <w:pPr>
        <w:pStyle w:val="BlockText"/>
      </w:pPr>
      <w:r>
        <w:t xml:space="preserve">O que aconteceu com o exemplar.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3"/>
        </w:numPr>
      </w:pPr>
      <w:r>
        <w:t xml:space="preserve">aquisição;</w:t>
      </w:r>
    </w:p>
    <w:p>
      <w:pPr>
        <w:pStyle w:val="Compact"/>
        <w:numPr>
          <w:ilvl w:val="0"/>
          <w:numId w:val="1003"/>
        </w:numPr>
      </w:pPr>
      <w:r>
        <w:t xml:space="preserve">mudança de localização;</w:t>
      </w:r>
    </w:p>
    <w:p>
      <w:pPr>
        <w:pStyle w:val="Compact"/>
        <w:numPr>
          <w:ilvl w:val="0"/>
          <w:numId w:val="1003"/>
        </w:numPr>
      </w:pPr>
      <w:r>
        <w:t xml:space="preserve">alteração de condição;</w:t>
      </w:r>
    </w:p>
    <w:p>
      <w:pPr>
        <w:pStyle w:val="Compact"/>
        <w:numPr>
          <w:ilvl w:val="0"/>
          <w:numId w:val="1003"/>
        </w:numPr>
      </w:pPr>
      <w:r>
        <w:t xml:space="preserve">inclusão de fotografia;</w:t>
      </w:r>
    </w:p>
    <w:p>
      <w:pPr>
        <w:pStyle w:val="Compact"/>
        <w:numPr>
          <w:ilvl w:val="0"/>
          <w:numId w:val="1003"/>
        </w:numPr>
      </w:pPr>
      <w:r>
        <w:t xml:space="preserve">venda;</w:t>
      </w:r>
    </w:p>
    <w:p>
      <w:pPr>
        <w:pStyle w:val="Compact"/>
        <w:numPr>
          <w:ilvl w:val="0"/>
          <w:numId w:val="1003"/>
        </w:numPr>
      </w:pPr>
      <w:r>
        <w:t xml:space="preserve">outros eventos relevantes.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rincípio-fundamental"/>
    <w:p>
      <w:pPr>
        <w:pStyle w:val="Heading2"/>
      </w:pPr>
      <w:r>
        <w:t xml:space="preserve">4. Princípio fundamental</w:t>
      </w:r>
    </w:p>
    <w:p>
      <w:pPr>
        <w:pStyle w:val="FirstParagraph"/>
      </w:pPr>
      <w:r>
        <w:t xml:space="preserve">O MiniHub deverá manter uma separação clara entre:</w:t>
      </w:r>
    </w:p>
    <w:p>
      <w:pPr>
        <w:pStyle w:val="BlockText"/>
      </w:pPr>
      <w:r>
        <w:rPr>
          <w:b/>
          <w:bCs/>
        </w:rPr>
        <w:t xml:space="preserve">Catálogo = patrimônio de informação do MiniHub</w:t>
      </w:r>
    </w:p>
    <w:p>
      <w:pPr>
        <w:pStyle w:val="FirstParagraph"/>
      </w:pPr>
      <w:r>
        <w:t xml:space="preserve">e</w:t>
      </w:r>
    </w:p>
    <w:p>
      <w:pPr>
        <w:pStyle w:val="BlockText"/>
      </w:pPr>
      <w:r>
        <w:rPr>
          <w:b/>
          <w:bCs/>
        </w:rPr>
        <w:t xml:space="preserve">Coleção = patrimônio do usuário.</w:t>
      </w:r>
    </w:p>
    <w:p>
      <w:pPr>
        <w:pStyle w:val="FirstParagraph"/>
      </w:pPr>
      <w:r>
        <w:t xml:space="preserve">Uma informação oficial do catálogo não deve ser alterada simplesmente porque um usuário adicionou uma miniatura à sua coleção.</w:t>
      </w:r>
    </w:p>
    <w:p>
      <w:r>
        <w:pict>
          <v:rect style="width:0;height:1.5pt" o:hralign="center" o:hrstd="t" o:hr="t"/>
        </w:pict>
      </w:r>
    </w:p>
    <w:bookmarkEnd w:id="18"/>
    <w:bookmarkStart w:id="19" w:name="pesquisa-antes-do-cadastro"/>
    <w:p>
      <w:pPr>
        <w:pStyle w:val="Heading2"/>
      </w:pPr>
      <w:r>
        <w:t xml:space="preserve">5. Pesquisa antes do cadastro</w:t>
      </w:r>
    </w:p>
    <w:p>
      <w:pPr>
        <w:pStyle w:val="FirstParagraph"/>
      </w:pPr>
      <w:r>
        <w:t xml:space="preserve">Um princípio central do produto será:</w:t>
      </w:r>
    </w:p>
    <w:p>
      <w:pPr>
        <w:pStyle w:val="BlockText"/>
      </w:pPr>
      <w:r>
        <w:rPr>
          <w:b/>
          <w:bCs/>
        </w:rPr>
        <w:t xml:space="preserve">Pesquisar antes de cadastrar.</w:t>
      </w:r>
    </w:p>
    <w:p>
      <w:pPr>
        <w:pStyle w:val="FirstParagraph"/>
      </w:pPr>
      <w:r>
        <w:t xml:space="preserve">O usuário deverá procurar primeiro uma variação existente no catálogo.</w:t>
      </w:r>
    </w:p>
    <w:p>
      <w:pPr>
        <w:pStyle w:val="BodyText"/>
      </w:pPr>
      <w:r>
        <w:t xml:space="preserve">Somente quando ela não existir deverá solicitar sua inclusão ou correção.</w:t>
      </w:r>
    </w:p>
    <w:p>
      <w:pPr>
        <w:pStyle w:val="BodyText"/>
      </w:pPr>
      <w:r>
        <w:t xml:space="preserve">O objetivo é evitar:</w:t>
      </w:r>
    </w:p>
    <w:p>
      <w:pPr>
        <w:pStyle w:val="Compact"/>
        <w:numPr>
          <w:ilvl w:val="0"/>
          <w:numId w:val="1004"/>
        </w:numPr>
      </w:pPr>
      <w:r>
        <w:t xml:space="preserve">duplicidade;</w:t>
      </w:r>
    </w:p>
    <w:p>
      <w:pPr>
        <w:pStyle w:val="Compact"/>
        <w:numPr>
          <w:ilvl w:val="0"/>
          <w:numId w:val="1004"/>
        </w:numPr>
      </w:pPr>
      <w:r>
        <w:t xml:space="preserve">registros inconsistentes;</w:t>
      </w:r>
    </w:p>
    <w:p>
      <w:pPr>
        <w:pStyle w:val="Compact"/>
        <w:numPr>
          <w:ilvl w:val="0"/>
          <w:numId w:val="1004"/>
        </w:numPr>
      </w:pPr>
      <w:r>
        <w:t xml:space="preserve">variações repetidas;</w:t>
      </w:r>
    </w:p>
    <w:p>
      <w:pPr>
        <w:pStyle w:val="Compact"/>
        <w:numPr>
          <w:ilvl w:val="0"/>
          <w:numId w:val="1004"/>
        </w:numPr>
      </w:pPr>
      <w:r>
        <w:t xml:space="preserve">perda da qualidade do catálogo.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mvp"/>
    <w:p>
      <w:pPr>
        <w:pStyle w:val="Heading1"/>
      </w:pPr>
      <w:r>
        <w:t xml:space="preserve">6. MVP</w:t>
      </w:r>
    </w:p>
    <w:p>
      <w:pPr>
        <w:pStyle w:val="FirstParagraph"/>
      </w:pPr>
      <w:r>
        <w:t xml:space="preserve">O MVP terá como escopo:</w:t>
      </w:r>
    </w:p>
    <w:bookmarkStart w:id="21" w:name="catálogo-1"/>
    <w:p>
      <w:pPr>
        <w:pStyle w:val="Heading3"/>
      </w:pPr>
      <w:r>
        <w:t xml:space="preserve">Catálogo</w:t>
      </w:r>
    </w:p>
    <w:p>
      <w:pPr>
        <w:pStyle w:val="Compact"/>
        <w:numPr>
          <w:ilvl w:val="0"/>
          <w:numId w:val="1005"/>
        </w:numPr>
      </w:pPr>
      <w:r>
        <w:t xml:space="preserve">pesquisa;</w:t>
      </w:r>
    </w:p>
    <w:p>
      <w:pPr>
        <w:pStyle w:val="Compact"/>
        <w:numPr>
          <w:ilvl w:val="0"/>
          <w:numId w:val="1005"/>
        </w:numPr>
      </w:pPr>
      <w:r>
        <w:t xml:space="preserve">marcas;</w:t>
      </w:r>
    </w:p>
    <w:p>
      <w:pPr>
        <w:pStyle w:val="Compact"/>
        <w:numPr>
          <w:ilvl w:val="0"/>
          <w:numId w:val="1005"/>
        </w:numPr>
      </w:pPr>
      <w:r>
        <w:t xml:space="preserve">montadoras;</w:t>
      </w:r>
    </w:p>
    <w:p>
      <w:pPr>
        <w:pStyle w:val="Compact"/>
        <w:numPr>
          <w:ilvl w:val="0"/>
          <w:numId w:val="1005"/>
        </w:numPr>
      </w:pPr>
      <w:r>
        <w:t xml:space="preserve">modelos;</w:t>
      </w:r>
    </w:p>
    <w:p>
      <w:pPr>
        <w:pStyle w:val="Compact"/>
        <w:numPr>
          <w:ilvl w:val="0"/>
          <w:numId w:val="1005"/>
        </w:numPr>
      </w:pPr>
      <w:r>
        <w:t xml:space="preserve">castings;</w:t>
      </w:r>
    </w:p>
    <w:p>
      <w:pPr>
        <w:pStyle w:val="Compact"/>
        <w:numPr>
          <w:ilvl w:val="0"/>
          <w:numId w:val="1005"/>
        </w:numPr>
      </w:pPr>
      <w:r>
        <w:t xml:space="preserve">variações;</w:t>
      </w:r>
    </w:p>
    <w:p>
      <w:pPr>
        <w:pStyle w:val="Compact"/>
        <w:numPr>
          <w:ilvl w:val="0"/>
          <w:numId w:val="1005"/>
        </w:numPr>
      </w:pPr>
      <w:r>
        <w:t xml:space="preserve">séries;</w:t>
      </w:r>
    </w:p>
    <w:p>
      <w:pPr>
        <w:pStyle w:val="Compact"/>
        <w:numPr>
          <w:ilvl w:val="0"/>
          <w:numId w:val="1005"/>
        </w:numPr>
      </w:pPr>
      <w:r>
        <w:t xml:space="preserve">franquias;</w:t>
      </w:r>
    </w:p>
    <w:p>
      <w:pPr>
        <w:pStyle w:val="Compact"/>
        <w:numPr>
          <w:ilvl w:val="0"/>
          <w:numId w:val="1005"/>
        </w:numPr>
      </w:pPr>
      <w:r>
        <w:t xml:space="preserve">escalas;</w:t>
      </w:r>
    </w:p>
    <w:p>
      <w:pPr>
        <w:pStyle w:val="Compact"/>
        <w:numPr>
          <w:ilvl w:val="0"/>
          <w:numId w:val="1005"/>
        </w:numPr>
      </w:pPr>
      <w:r>
        <w:t xml:space="preserve">identificadores.</w:t>
      </w:r>
    </w:p>
    <w:bookmarkEnd w:id="21"/>
    <w:bookmarkStart w:id="22" w:name="coleção-1"/>
    <w:p>
      <w:pPr>
        <w:pStyle w:val="Heading3"/>
      </w:pPr>
      <w:r>
        <w:t xml:space="preserve">Coleção</w:t>
      </w:r>
    </w:p>
    <w:p>
      <w:pPr>
        <w:pStyle w:val="Compact"/>
        <w:numPr>
          <w:ilvl w:val="0"/>
          <w:numId w:val="1006"/>
        </w:numPr>
      </w:pPr>
      <w:r>
        <w:t xml:space="preserve">exemplares;</w:t>
      </w:r>
    </w:p>
    <w:p>
      <w:pPr>
        <w:pStyle w:val="Compact"/>
        <w:numPr>
          <w:ilvl w:val="0"/>
          <w:numId w:val="1006"/>
        </w:numPr>
      </w:pPr>
      <w:r>
        <w:t xml:space="preserve">duplicidades;</w:t>
      </w:r>
    </w:p>
    <w:p>
      <w:pPr>
        <w:pStyle w:val="Compact"/>
        <w:numPr>
          <w:ilvl w:val="0"/>
          <w:numId w:val="1006"/>
        </w:numPr>
      </w:pPr>
      <w:r>
        <w:t xml:space="preserve">condição;</w:t>
      </w:r>
    </w:p>
    <w:p>
      <w:pPr>
        <w:pStyle w:val="Compact"/>
        <w:numPr>
          <w:ilvl w:val="0"/>
          <w:numId w:val="1006"/>
        </w:numPr>
      </w:pPr>
      <w:r>
        <w:t xml:space="preserve">fotografias;</w:t>
      </w:r>
    </w:p>
    <w:p>
      <w:pPr>
        <w:pStyle w:val="Compact"/>
        <w:numPr>
          <w:ilvl w:val="0"/>
          <w:numId w:val="1006"/>
        </w:numPr>
      </w:pPr>
      <w:r>
        <w:t xml:space="preserve">observações.</w:t>
      </w:r>
    </w:p>
    <w:bookmarkEnd w:id="22"/>
    <w:bookmarkStart w:id="23" w:name="organização-física"/>
    <w:p>
      <w:pPr>
        <w:pStyle w:val="Heading3"/>
      </w:pPr>
      <w:r>
        <w:t xml:space="preserve">Organização física</w:t>
      </w:r>
    </w:p>
    <w:p>
      <w:pPr>
        <w:pStyle w:val="Compact"/>
        <w:numPr>
          <w:ilvl w:val="0"/>
          <w:numId w:val="1007"/>
        </w:numPr>
      </w:pPr>
      <w:r>
        <w:t xml:space="preserve">localizações;</w:t>
      </w:r>
    </w:p>
    <w:p>
      <w:pPr>
        <w:pStyle w:val="Compact"/>
        <w:numPr>
          <w:ilvl w:val="0"/>
          <w:numId w:val="1007"/>
        </w:numPr>
      </w:pPr>
      <w:r>
        <w:t xml:space="preserve">hierarquia;</w:t>
      </w:r>
    </w:p>
    <w:p>
      <w:pPr>
        <w:pStyle w:val="Compact"/>
        <w:numPr>
          <w:ilvl w:val="0"/>
          <w:numId w:val="1007"/>
        </w:numPr>
      </w:pPr>
      <w:r>
        <w:t xml:space="preserve">movimentação;</w:t>
      </w:r>
    </w:p>
    <w:p>
      <w:pPr>
        <w:pStyle w:val="Compact"/>
        <w:numPr>
          <w:ilvl w:val="0"/>
          <w:numId w:val="1007"/>
        </w:numPr>
      </w:pPr>
      <w:r>
        <w:t xml:space="preserve">histórico.</w:t>
      </w:r>
    </w:p>
    <w:bookmarkEnd w:id="23"/>
    <w:bookmarkStart w:id="24" w:name="transações-pessoais"/>
    <w:p>
      <w:pPr>
        <w:pStyle w:val="Heading3"/>
      </w:pPr>
      <w:r>
        <w:t xml:space="preserve">Transações pessoais</w:t>
      </w:r>
    </w:p>
    <w:p>
      <w:pPr>
        <w:pStyle w:val="Compact"/>
        <w:numPr>
          <w:ilvl w:val="0"/>
          <w:numId w:val="1008"/>
        </w:numPr>
      </w:pPr>
      <w:r>
        <w:t xml:space="preserve">aquisições;</w:t>
      </w:r>
    </w:p>
    <w:p>
      <w:pPr>
        <w:pStyle w:val="Compact"/>
        <w:numPr>
          <w:ilvl w:val="0"/>
          <w:numId w:val="1008"/>
        </w:numPr>
      </w:pPr>
      <w:r>
        <w:t xml:space="preserve">custos;</w:t>
      </w:r>
    </w:p>
    <w:p>
      <w:pPr>
        <w:pStyle w:val="Compact"/>
        <w:numPr>
          <w:ilvl w:val="0"/>
          <w:numId w:val="1008"/>
        </w:numPr>
      </w:pPr>
      <w:r>
        <w:t xml:space="preserve">vendas pessoais;</w:t>
      </w:r>
    </w:p>
    <w:p>
      <w:pPr>
        <w:pStyle w:val="Compact"/>
        <w:numPr>
          <w:ilvl w:val="0"/>
          <w:numId w:val="1008"/>
        </w:numPr>
      </w:pPr>
      <w:r>
        <w:t xml:space="preserve">resultado da venda.</w:t>
      </w:r>
    </w:p>
    <w:bookmarkEnd w:id="24"/>
    <w:bookmarkStart w:id="25" w:name="wishlist"/>
    <w:p>
      <w:pPr>
        <w:pStyle w:val="Heading3"/>
      </w:pPr>
      <w:r>
        <w:t xml:space="preserve">Wishlist</w:t>
      </w:r>
    </w:p>
    <w:p>
      <w:pPr>
        <w:pStyle w:val="Compact"/>
        <w:numPr>
          <w:ilvl w:val="0"/>
          <w:numId w:val="1009"/>
        </w:numPr>
      </w:pPr>
      <w:r>
        <w:t xml:space="preserve">itens desejados;</w:t>
      </w:r>
    </w:p>
    <w:p>
      <w:pPr>
        <w:pStyle w:val="Compact"/>
        <w:numPr>
          <w:ilvl w:val="0"/>
          <w:numId w:val="1009"/>
        </w:numPr>
      </w:pPr>
      <w:r>
        <w:t xml:space="preserve">prioridade;</w:t>
      </w:r>
    </w:p>
    <w:p>
      <w:pPr>
        <w:pStyle w:val="Compact"/>
        <w:numPr>
          <w:ilvl w:val="0"/>
          <w:numId w:val="1009"/>
        </w:numPr>
      </w:pPr>
      <w:r>
        <w:t xml:space="preserve">observações.</w:t>
      </w:r>
    </w:p>
    <w:bookmarkEnd w:id="25"/>
    <w:bookmarkStart w:id="26" w:name="dashboard"/>
    <w:p>
      <w:pPr>
        <w:pStyle w:val="Heading3"/>
      </w:pPr>
      <w:r>
        <w:t xml:space="preserve">Dashboard</w:t>
      </w:r>
    </w:p>
    <w:p>
      <w:pPr>
        <w:pStyle w:val="Compact"/>
        <w:numPr>
          <w:ilvl w:val="0"/>
          <w:numId w:val="1010"/>
        </w:numPr>
      </w:pPr>
      <w:r>
        <w:t xml:space="preserve">quantidade de exemplares;</w:t>
      </w:r>
    </w:p>
    <w:p>
      <w:pPr>
        <w:pStyle w:val="Compact"/>
        <w:numPr>
          <w:ilvl w:val="0"/>
          <w:numId w:val="1010"/>
        </w:numPr>
      </w:pPr>
      <w:r>
        <w:t xml:space="preserve">valor investido;</w:t>
      </w:r>
    </w:p>
    <w:p>
      <w:pPr>
        <w:pStyle w:val="Compact"/>
        <w:numPr>
          <w:ilvl w:val="0"/>
          <w:numId w:val="1010"/>
        </w:numPr>
      </w:pPr>
      <w:r>
        <w:t xml:space="preserve">wishlist;</w:t>
      </w:r>
    </w:p>
    <w:p>
      <w:pPr>
        <w:pStyle w:val="Compact"/>
        <w:numPr>
          <w:ilvl w:val="0"/>
          <w:numId w:val="1010"/>
        </w:numPr>
      </w:pPr>
      <w:r>
        <w:t xml:space="preserve">duplicados;</w:t>
      </w:r>
    </w:p>
    <w:p>
      <w:pPr>
        <w:pStyle w:val="Compact"/>
        <w:numPr>
          <w:ilvl w:val="0"/>
          <w:numId w:val="1010"/>
        </w:numPr>
      </w:pPr>
      <w:r>
        <w:t xml:space="preserve">aquisições;</w:t>
      </w:r>
    </w:p>
    <w:p>
      <w:pPr>
        <w:pStyle w:val="Compact"/>
        <w:numPr>
          <w:ilvl w:val="0"/>
          <w:numId w:val="1010"/>
        </w:numPr>
      </w:pPr>
      <w:r>
        <w:t xml:space="preserve">vendas;</w:t>
      </w:r>
    </w:p>
    <w:p>
      <w:pPr>
        <w:pStyle w:val="Compact"/>
        <w:numPr>
          <w:ilvl w:val="0"/>
          <w:numId w:val="1010"/>
        </w:numPr>
      </w:pPr>
      <w:r>
        <w:t xml:space="preserve">distribuição da coleção.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ecossistema-futuro"/>
    <w:p>
      <w:pPr>
        <w:pStyle w:val="Heading1"/>
      </w:pPr>
      <w:r>
        <w:t xml:space="preserve">7. Ecossistema futuro</w:t>
      </w:r>
    </w:p>
    <w:p>
      <w:pPr>
        <w:pStyle w:val="FirstParagraph"/>
      </w:pPr>
      <w:r>
        <w:t xml:space="preserve">O MiniHub será arquiteturalmente preparado para futuras funcionalidades.</w:t>
      </w:r>
    </w:p>
    <w:bookmarkStart w:id="28" w:name="pré-vendas"/>
    <w:p>
      <w:pPr>
        <w:pStyle w:val="Heading2"/>
      </w:pPr>
      <w:r>
        <w:t xml:space="preserve">7.1 Pré-vendas</w:t>
      </w:r>
    </w:p>
    <w:p>
      <w:pPr>
        <w:pStyle w:val="FirstParagraph"/>
      </w:pPr>
      <w:r>
        <w:t xml:space="preserve">Área destinada a vendedores autorizados pelo gestor do MiniHub.</w:t>
      </w:r>
    </w:p>
    <w:p>
      <w:pPr>
        <w:pStyle w:val="BodyText"/>
      </w:pPr>
      <w:r>
        <w:t xml:space="preserve">Um vendedor poderá:</w:t>
      </w:r>
    </w:p>
    <w:p>
      <w:pPr>
        <w:pStyle w:val="Compact"/>
        <w:numPr>
          <w:ilvl w:val="0"/>
          <w:numId w:val="1011"/>
        </w:numPr>
      </w:pPr>
      <w:r>
        <w:t xml:space="preserve">criar pré-vendas;</w:t>
      </w:r>
    </w:p>
    <w:p>
      <w:pPr>
        <w:pStyle w:val="Compact"/>
        <w:numPr>
          <w:ilvl w:val="0"/>
          <w:numId w:val="1011"/>
        </w:numPr>
      </w:pPr>
      <w:r>
        <w:t xml:space="preserve">selecionar uma variação do catálogo;</w:t>
      </w:r>
    </w:p>
    <w:p>
      <w:pPr>
        <w:pStyle w:val="Compact"/>
        <w:numPr>
          <w:ilvl w:val="0"/>
          <w:numId w:val="1011"/>
        </w:numPr>
      </w:pPr>
      <w:r>
        <w:t xml:space="preserve">informar preço;</w:t>
      </w:r>
    </w:p>
    <w:p>
      <w:pPr>
        <w:pStyle w:val="Compact"/>
        <w:numPr>
          <w:ilvl w:val="0"/>
          <w:numId w:val="1011"/>
        </w:numPr>
      </w:pPr>
      <w:r>
        <w:t xml:space="preserve">informar quantidade;</w:t>
      </w:r>
    </w:p>
    <w:p>
      <w:pPr>
        <w:pStyle w:val="Compact"/>
        <w:numPr>
          <w:ilvl w:val="0"/>
          <w:numId w:val="1011"/>
        </w:numPr>
      </w:pPr>
      <w:r>
        <w:t xml:space="preserve">definir condições de pagamento;</w:t>
      </w:r>
    </w:p>
    <w:p>
      <w:pPr>
        <w:pStyle w:val="Compact"/>
        <w:numPr>
          <w:ilvl w:val="0"/>
          <w:numId w:val="1011"/>
        </w:numPr>
      </w:pPr>
      <w:r>
        <w:t xml:space="preserve">definir número de parcelas;</w:t>
      </w:r>
    </w:p>
    <w:p>
      <w:pPr>
        <w:pStyle w:val="Compact"/>
        <w:numPr>
          <w:ilvl w:val="0"/>
          <w:numId w:val="1011"/>
        </w:numPr>
      </w:pPr>
      <w:r>
        <w:t xml:space="preserve">controlar reservas;</w:t>
      </w:r>
    </w:p>
    <w:p>
      <w:pPr>
        <w:pStyle w:val="Compact"/>
        <w:numPr>
          <w:ilvl w:val="0"/>
          <w:numId w:val="1011"/>
        </w:numPr>
      </w:pPr>
      <w:r>
        <w:t xml:space="preserve">controlar clientes;</w:t>
      </w:r>
    </w:p>
    <w:p>
      <w:pPr>
        <w:pStyle w:val="Compact"/>
        <w:numPr>
          <w:ilvl w:val="0"/>
          <w:numId w:val="1011"/>
        </w:numPr>
      </w:pPr>
      <w:r>
        <w:t xml:space="preserve">acompanhar pagamentos;</w:t>
      </w:r>
    </w:p>
    <w:p>
      <w:pPr>
        <w:pStyle w:val="Compact"/>
        <w:numPr>
          <w:ilvl w:val="0"/>
          <w:numId w:val="1011"/>
        </w:numPr>
      </w:pPr>
      <w:r>
        <w:t xml:space="preserve">acompanhar saldo em aberto.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 do 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Parcelas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Recebimentos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Saldo</w:t>
      </w:r>
    </w:p>
    <w:p>
      <w:pPr>
        <w:pStyle w:val="FirstParagraph"/>
      </w:pPr>
      <w:r>
        <w:t xml:space="preserve">A funcionalidade de pré-venda não deverá duplicar o catálogo.</w:t>
      </w:r>
    </w:p>
    <w:p>
      <w:r>
        <w:pict>
          <v:rect style="width:0;height:1.5pt" o:hralign="center" o:hrstd="t" o:hr="t"/>
        </w:pict>
      </w:r>
    </w:p>
    <w:bookmarkEnd w:id="28"/>
    <w:bookmarkStart w:id="29" w:name="conta-corrente-das-pré-vendas"/>
    <w:p>
      <w:pPr>
        <w:pStyle w:val="Heading2"/>
      </w:pPr>
      <w:r>
        <w:t xml:space="preserve">7.2 Conta corrente das pré-vendas</w:t>
      </w:r>
    </w:p>
    <w:p>
      <w:pPr>
        <w:pStyle w:val="FirstParagraph"/>
      </w:pPr>
      <w:r>
        <w:t xml:space="preserve">Cada reserva poderá gerar obrigações financeiras e respectivos recebimentos.</w:t>
      </w:r>
    </w:p>
    <w:p>
      <w:pPr>
        <w:pStyle w:val="BodyText"/>
      </w:pPr>
      <w:r>
        <w:t xml:space="preserve">O futuro módulo deverá permitir:</w:t>
      </w:r>
    </w:p>
    <w:p>
      <w:pPr>
        <w:pStyle w:val="Compact"/>
        <w:numPr>
          <w:ilvl w:val="0"/>
          <w:numId w:val="1012"/>
        </w:numPr>
      </w:pPr>
      <w:r>
        <w:t xml:space="preserve">valor contratado;</w:t>
      </w:r>
    </w:p>
    <w:p>
      <w:pPr>
        <w:pStyle w:val="Compact"/>
        <w:numPr>
          <w:ilvl w:val="0"/>
          <w:numId w:val="1012"/>
        </w:numPr>
      </w:pPr>
      <w:r>
        <w:t xml:space="preserve">parcelas;</w:t>
      </w:r>
    </w:p>
    <w:p>
      <w:pPr>
        <w:pStyle w:val="Compact"/>
        <w:numPr>
          <w:ilvl w:val="0"/>
          <w:numId w:val="1012"/>
        </w:numPr>
      </w:pPr>
      <w:r>
        <w:t xml:space="preserve">vencimentos;</w:t>
      </w:r>
    </w:p>
    <w:p>
      <w:pPr>
        <w:pStyle w:val="Compact"/>
        <w:numPr>
          <w:ilvl w:val="0"/>
          <w:numId w:val="1012"/>
        </w:numPr>
      </w:pPr>
      <w:r>
        <w:t xml:space="preserve">pagamentos;</w:t>
      </w:r>
    </w:p>
    <w:p>
      <w:pPr>
        <w:pStyle w:val="Compact"/>
        <w:numPr>
          <w:ilvl w:val="0"/>
          <w:numId w:val="1012"/>
        </w:numPr>
      </w:pPr>
      <w:r>
        <w:t xml:space="preserve">pagamentos parciais;</w:t>
      </w:r>
    </w:p>
    <w:p>
      <w:pPr>
        <w:pStyle w:val="Compact"/>
        <w:numPr>
          <w:ilvl w:val="0"/>
          <w:numId w:val="1012"/>
        </w:numPr>
      </w:pPr>
      <w:r>
        <w:t xml:space="preserve">saldo;</w:t>
      </w:r>
    </w:p>
    <w:p>
      <w:pPr>
        <w:pStyle w:val="Compact"/>
        <w:numPr>
          <w:ilvl w:val="0"/>
          <w:numId w:val="1012"/>
        </w:numPr>
      </w:pPr>
      <w:r>
        <w:t xml:space="preserve">atrasos;</w:t>
      </w:r>
    </w:p>
    <w:p>
      <w:pPr>
        <w:pStyle w:val="Compact"/>
        <w:numPr>
          <w:ilvl w:val="0"/>
          <w:numId w:val="1012"/>
        </w:numPr>
      </w:pPr>
      <w:r>
        <w:t xml:space="preserve">cancelamentos;</w:t>
      </w:r>
    </w:p>
    <w:p>
      <w:pPr>
        <w:pStyle w:val="Compact"/>
        <w:numPr>
          <w:ilvl w:val="0"/>
          <w:numId w:val="1012"/>
        </w:numPr>
      </w:pPr>
      <w:r>
        <w:t xml:space="preserve">estornos;</w:t>
      </w:r>
    </w:p>
    <w:p>
      <w:pPr>
        <w:pStyle w:val="Compact"/>
        <w:numPr>
          <w:ilvl w:val="0"/>
          <w:numId w:val="1012"/>
        </w:numPr>
      </w:pPr>
      <w:r>
        <w:t xml:space="preserve">histórico financeiro.</w:t>
      </w:r>
    </w:p>
    <w:p>
      <w:pPr>
        <w:pStyle w:val="FirstParagraph"/>
      </w:pPr>
      <w:r>
        <w:t xml:space="preserve">O controle financeiro das pré-vendas deverá ser separado do controle financeiro da coleção pessoal.</w:t>
      </w:r>
    </w:p>
    <w:p>
      <w:r>
        <w:pict>
          <v:rect style="width:0;height:1.5pt" o:hralign="center" o:hrstd="t" o:hr="t"/>
        </w:pict>
      </w:r>
    </w:p>
    <w:bookmarkEnd w:id="29"/>
    <w:bookmarkStart w:id="32" w:name="rifas"/>
    <w:p>
      <w:pPr>
        <w:pStyle w:val="Heading2"/>
      </w:pPr>
      <w:r>
        <w:t xml:space="preserve">7.3 Rifas</w:t>
      </w:r>
    </w:p>
    <w:p>
      <w:pPr>
        <w:pStyle w:val="FirstParagraph"/>
      </w:pPr>
      <w:r>
        <w:t xml:space="preserve">O MiniHub poderá futuramente oferecer:</w:t>
      </w:r>
    </w:p>
    <w:bookmarkStart w:id="30" w:name="rifas-internas"/>
    <w:p>
      <w:pPr>
        <w:pStyle w:val="Heading3"/>
      </w:pPr>
      <w:r>
        <w:t xml:space="preserve">Rifas internas</w:t>
      </w:r>
    </w:p>
    <w:p>
      <w:pPr>
        <w:pStyle w:val="FirstParagraph"/>
      </w:pPr>
      <w:r>
        <w:t xml:space="preserve">Criadas e administradas dentro da plataforma.</w:t>
      </w:r>
    </w:p>
    <w:bookmarkEnd w:id="30"/>
    <w:bookmarkStart w:id="31" w:name="rifas-externas"/>
    <w:p>
      <w:pPr>
        <w:pStyle w:val="Heading3"/>
      </w:pPr>
      <w:r>
        <w:t xml:space="preserve">Rifas externas</w:t>
      </w:r>
    </w:p>
    <w:p>
      <w:pPr>
        <w:pStyle w:val="FirstParagraph"/>
      </w:pPr>
      <w:r>
        <w:t xml:space="preserve">O MiniHub funcionará como vitrine e direcionará o usuário para uma plataforma externa.</w:t>
      </w:r>
    </w:p>
    <w:p>
      <w:pPr>
        <w:pStyle w:val="BodyText"/>
      </w:pPr>
      <w:r>
        <w:t xml:space="preserve">A arquitetura deverá permitir ambos os modelos.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oja-virtual"/>
    <w:p>
      <w:pPr>
        <w:pStyle w:val="Heading2"/>
      </w:pPr>
      <w:r>
        <w:t xml:space="preserve">7.4 Loja virtual</w:t>
      </w:r>
    </w:p>
    <w:p>
      <w:pPr>
        <w:pStyle w:val="FirstParagraph"/>
      </w:pPr>
      <w:r>
        <w:t xml:space="preserve">Em uma etapa posterior poderá ser disponibilizada uma loja virtual.</w:t>
      </w:r>
    </w:p>
    <w:p>
      <w:pPr>
        <w:pStyle w:val="BodyText"/>
      </w:pPr>
      <w:r>
        <w:t xml:space="preserve">A loja deverá utilizar o catálogo existente como referência dos produtos.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PRODUTO COMERCIAL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ENTREGA</w:t>
      </w:r>
    </w:p>
    <w:p>
      <w:pPr>
        <w:pStyle w:val="FirstParagraph"/>
      </w:pPr>
      <w:r>
        <w:t xml:space="preserve">A loja não deverá recriar desnecessariamente informações de marca, modelo, casting ou variação.</w:t>
      </w:r>
    </w:p>
    <w:p>
      <w:r>
        <w:pict>
          <v:rect style="width:0;height:1.5pt" o:hralign="center" o:hrstd="t" o:hr="t"/>
        </w:pict>
      </w:r>
    </w:p>
    <w:bookmarkEnd w:id="33"/>
    <w:bookmarkStart w:id="34" w:name="frete-e-logística"/>
    <w:p>
      <w:pPr>
        <w:pStyle w:val="Heading2"/>
      </w:pPr>
      <w:r>
        <w:t xml:space="preserve">7.5 Frete e logística</w:t>
      </w:r>
    </w:p>
    <w:p>
      <w:pPr>
        <w:pStyle w:val="FirstParagraph"/>
      </w:pPr>
      <w:r>
        <w:t xml:space="preserve">A arquitetura deverá permitir integração futura com serviços de frete e transportadoras.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3"/>
        </w:numPr>
      </w:pPr>
      <w:r>
        <w:t xml:space="preserve">Correios;</w:t>
      </w:r>
    </w:p>
    <w:p>
      <w:pPr>
        <w:pStyle w:val="Compact"/>
        <w:numPr>
          <w:ilvl w:val="0"/>
          <w:numId w:val="1013"/>
        </w:numPr>
      </w:pPr>
      <w:r>
        <w:t xml:space="preserve">Jadlog;</w:t>
      </w:r>
    </w:p>
    <w:p>
      <w:pPr>
        <w:pStyle w:val="Compact"/>
        <w:numPr>
          <w:ilvl w:val="0"/>
          <w:numId w:val="1013"/>
        </w:numPr>
      </w:pPr>
      <w:r>
        <w:t xml:space="preserve">SuperFrete;</w:t>
      </w:r>
    </w:p>
    <w:p>
      <w:pPr>
        <w:pStyle w:val="Compact"/>
        <w:numPr>
          <w:ilvl w:val="0"/>
          <w:numId w:val="1013"/>
        </w:numPr>
      </w:pPr>
      <w:r>
        <w:t xml:space="preserve">outros agregadores ou transportadoras.</w:t>
      </w:r>
    </w:p>
    <w:p>
      <w:pPr>
        <w:pStyle w:val="FirstParagraph"/>
      </w:pPr>
      <w:r>
        <w:t xml:space="preserve">A integração deverá ser realizada por uma camada de abstração, evitando acoplamento direto da loja a um único fornecedor.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uturo-marketplace"/>
    <w:p>
      <w:pPr>
        <w:pStyle w:val="Heading1"/>
      </w:pPr>
      <w:r>
        <w:t xml:space="preserve">8. Futuro marketplace</w:t>
      </w:r>
    </w:p>
    <w:p>
      <w:pPr>
        <w:pStyle w:val="FirstParagraph"/>
      </w:pPr>
      <w:r>
        <w:t xml:space="preserve">Uma evolução posterior poderá permitir:</w:t>
      </w:r>
    </w:p>
    <w:p>
      <w:pPr>
        <w:pStyle w:val="Compact"/>
        <w:numPr>
          <w:ilvl w:val="0"/>
          <w:numId w:val="1014"/>
        </w:numPr>
      </w:pPr>
      <w:r>
        <w:t xml:space="preserve">vendedores autorizados;</w:t>
      </w:r>
    </w:p>
    <w:p>
      <w:pPr>
        <w:pStyle w:val="Compact"/>
        <w:numPr>
          <w:ilvl w:val="0"/>
          <w:numId w:val="1014"/>
        </w:numPr>
      </w:pPr>
      <w:r>
        <w:t xml:space="preserve">lojas especializadas;</w:t>
      </w:r>
    </w:p>
    <w:p>
      <w:pPr>
        <w:pStyle w:val="Compact"/>
        <w:numPr>
          <w:ilvl w:val="0"/>
          <w:numId w:val="1014"/>
        </w:numPr>
      </w:pPr>
      <w:r>
        <w:t xml:space="preserve">ofertas;</w:t>
      </w:r>
    </w:p>
    <w:p>
      <w:pPr>
        <w:pStyle w:val="Compact"/>
        <w:numPr>
          <w:ilvl w:val="0"/>
          <w:numId w:val="1014"/>
        </w:numPr>
      </w:pPr>
      <w:r>
        <w:t xml:space="preserve">marketplace;</w:t>
      </w:r>
    </w:p>
    <w:p>
      <w:pPr>
        <w:pStyle w:val="Compact"/>
        <w:numPr>
          <w:ilvl w:val="0"/>
          <w:numId w:val="1014"/>
        </w:numPr>
      </w:pPr>
      <w:r>
        <w:t xml:space="preserve">avaliações;</w:t>
      </w:r>
    </w:p>
    <w:p>
      <w:pPr>
        <w:pStyle w:val="Compact"/>
        <w:numPr>
          <w:ilvl w:val="0"/>
          <w:numId w:val="1014"/>
        </w:numPr>
      </w:pPr>
      <w:r>
        <w:t xml:space="preserve">trocas;</w:t>
      </w:r>
    </w:p>
    <w:p>
      <w:pPr>
        <w:pStyle w:val="Compact"/>
        <w:numPr>
          <w:ilvl w:val="0"/>
          <w:numId w:val="1014"/>
        </w:numPr>
      </w:pPr>
      <w:r>
        <w:t xml:space="preserve">comunidade;</w:t>
      </w:r>
    </w:p>
    <w:p>
      <w:pPr>
        <w:pStyle w:val="Compact"/>
        <w:numPr>
          <w:ilvl w:val="0"/>
          <w:numId w:val="1014"/>
        </w:numPr>
      </w:pPr>
      <w:r>
        <w:t xml:space="preserve">divulgação de produtos;</w:t>
      </w:r>
    </w:p>
    <w:p>
      <w:pPr>
        <w:pStyle w:val="Compact"/>
        <w:numPr>
          <w:ilvl w:val="0"/>
          <w:numId w:val="1014"/>
        </w:numPr>
      </w:pPr>
      <w:r>
        <w:t xml:space="preserve">integração entre coleção e comércio.</w:t>
      </w:r>
    </w:p>
    <w:p>
      <w:r>
        <w:pict>
          <v:rect style="width:0;height:1.5pt" o:hralign="center" o:hrstd="t" o:hr="t"/>
        </w:pict>
      </w:r>
    </w:p>
    <w:bookmarkEnd w:id="36"/>
    <w:bookmarkStart w:id="37" w:name="evolução-do-produto"/>
    <w:p>
      <w:pPr>
        <w:pStyle w:val="Heading1"/>
      </w:pPr>
      <w:r>
        <w:t xml:space="preserve">9. Evolução do produto</w:t>
      </w:r>
    </w:p>
    <w:p>
      <w:pPr>
        <w:pStyle w:val="FirstParagraph"/>
      </w:pPr>
      <w:r>
        <w:t xml:space="preserve">A evolução planejada é:</w:t>
      </w:r>
    </w:p>
    <w:p>
      <w:pPr>
        <w:pStyle w:val="SourceCode"/>
      </w:pPr>
      <w:r>
        <w:rPr>
          <w:rStyle w:val="VerbatimChar"/>
        </w:rPr>
        <w:t xml:space="preserve">FASE 1</w:t>
      </w:r>
      <w:r>
        <w:br/>
      </w:r>
      <w:r>
        <w:rPr>
          <w:rStyle w:val="VerbatimChar"/>
        </w:rPr>
        <w:t xml:space="preserve">Fundação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FASE 2</w:t>
      </w:r>
      <w:r>
        <w:br/>
      </w:r>
      <w:r>
        <w:rPr>
          <w:rStyle w:val="VerbatimChar"/>
        </w:rPr>
        <w:t xml:space="preserve">MVP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FASE 3</w:t>
      </w:r>
      <w:r>
        <w:br/>
      </w:r>
      <w:r>
        <w:rPr>
          <w:rStyle w:val="VerbatimChar"/>
        </w:rPr>
        <w:t xml:space="preserve">Pré-vendas + Conta Corrente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FASE 4</w:t>
      </w:r>
      <w:r>
        <w:br/>
      </w:r>
      <w:r>
        <w:rPr>
          <w:rStyle w:val="VerbatimChar"/>
        </w:rPr>
        <w:t xml:space="preserve">Rifas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FASE 5</w:t>
      </w:r>
      <w:r>
        <w:br/>
      </w:r>
      <w:r>
        <w:rPr>
          <w:rStyle w:val="VerbatimChar"/>
        </w:rPr>
        <w:t xml:space="preserve">Loja + Pagamentos + Frete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FASE 6</w:t>
      </w:r>
      <w:r>
        <w:br/>
      </w:r>
      <w:r>
        <w:rPr>
          <w:rStyle w:val="VerbatimChar"/>
        </w:rPr>
        <w:t xml:space="preserve">Marketplace + Comunidade</w:t>
      </w:r>
    </w:p>
    <w:p>
      <w:r>
        <w:pict>
          <v:rect style="width:0;height:1.5pt" o:hralign="center" o:hrstd="t" o:hr="t"/>
        </w:pict>
      </w:r>
    </w:p>
    <w:bookmarkEnd w:id="37"/>
    <w:bookmarkStart w:id="38" w:name="princípio-arquitetural"/>
    <w:p>
      <w:pPr>
        <w:pStyle w:val="Heading1"/>
      </w:pPr>
      <w:r>
        <w:t xml:space="preserve">10. Princípio arquitetural</w:t>
      </w:r>
    </w:p>
    <w:p>
      <w:pPr>
        <w:pStyle w:val="FirstParagraph"/>
      </w:pPr>
      <w:r>
        <w:t xml:space="preserve">Os módulos futuros devem ser tratados como domínios independentes.</w:t>
      </w:r>
    </w:p>
    <w:p>
      <w:pPr>
        <w:pStyle w:val="BodyText"/>
      </w:pPr>
      <w:r>
        <w:t xml:space="preserve">Não devemos transformar o MVP em um sistema comercial antecipadamente.</w:t>
      </w:r>
    </w:p>
    <w:p>
      <w:pPr>
        <w:pStyle w:val="BodyText"/>
      </w:pPr>
      <w:r>
        <w:t xml:space="preserve">A arquitetura deve permitir adicionar posteriormente:</w:t>
      </w:r>
    </w:p>
    <w:p>
      <w:pPr>
        <w:pStyle w:val="SourceCode"/>
      </w:pPr>
      <w:r>
        <w:rPr>
          <w:rStyle w:val="VerbatimChar"/>
        </w:rPr>
        <w:t xml:space="preserve">pre_sales</w:t>
      </w:r>
      <w:r>
        <w:br/>
      </w:r>
      <w:r>
        <w:rPr>
          <w:rStyle w:val="VerbatimChar"/>
        </w:rPr>
        <w:t xml:space="preserve">financial</w:t>
      </w:r>
      <w:r>
        <w:br/>
      </w:r>
      <w:r>
        <w:rPr>
          <w:rStyle w:val="VerbatimChar"/>
        </w:rPr>
        <w:t xml:space="preserve">raffles</w:t>
      </w:r>
      <w:r>
        <w:br/>
      </w: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shipping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t xml:space="preserve">sem exigir a reconstrução do núcleo do MiniHub.</w:t>
      </w:r>
    </w:p>
    <w:p>
      <w:r>
        <w:pict>
          <v:rect style="width:0;height:1.5pt" o:hralign="center" o:hrstd="t" o:hr="t"/>
        </w:pict>
      </w:r>
    </w:p>
    <w:bookmarkEnd w:id="38"/>
    <w:bookmarkStart w:id="39" w:name="princípio-de-identidade"/>
    <w:p>
      <w:pPr>
        <w:pStyle w:val="Heading1"/>
      </w:pPr>
      <w:r>
        <w:t xml:space="preserve">11. Princípio de identidade</w:t>
      </w:r>
    </w:p>
    <w:p>
      <w:pPr>
        <w:pStyle w:val="FirstParagraph"/>
      </w:pPr>
      <w:r>
        <w:t xml:space="preserve">Um mesmo usuário poderá futuramente possuir diferentes capacidades dentro da plataforma.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├── Colecionador</w:t>
      </w:r>
      <w:r>
        <w:br/>
      </w:r>
      <w:r>
        <w:rPr>
          <w:rStyle w:val="VerbatimChar"/>
        </w:rPr>
        <w:t xml:space="preserve"> ├── Vendedor autorizado</w:t>
      </w:r>
      <w:r>
        <w:br/>
      </w:r>
      <w:r>
        <w:rPr>
          <w:rStyle w:val="VerbatimChar"/>
        </w:rPr>
        <w:t xml:space="preserve"> └── Administrador</w:t>
      </w:r>
    </w:p>
    <w:p>
      <w:pPr>
        <w:pStyle w:val="FirstParagraph"/>
      </w:pPr>
      <w:r>
        <w:t xml:space="preserve">O fato de ser vendedor não deverá eliminar ou substituir sua capacidade de colecionador.</w:t>
      </w:r>
    </w:p>
    <w:p>
      <w:r>
        <w:pict>
          <v:rect style="width:0;height:1.5pt" o:hralign="center" o:hrstd="t" o:hr="t"/>
        </w:pict>
      </w:r>
    </w:p>
    <w:bookmarkEnd w:id="39"/>
    <w:bookmarkStart w:id="41" w:name="visão-de-longo-prazo"/>
    <w:p>
      <w:pPr>
        <w:pStyle w:val="Heading1"/>
      </w:pPr>
      <w:r>
        <w:t xml:space="preserve">12. Visão de longo prazo</w:t>
      </w:r>
    </w:p>
    <w:p>
      <w:pPr>
        <w:pStyle w:val="FirstParagraph"/>
      </w:pPr>
      <w:r>
        <w:t xml:space="preserve">O MiniHub deverá evoluir de:</w:t>
      </w:r>
    </w:p>
    <w:p>
      <w:pPr>
        <w:pStyle w:val="BlockText"/>
      </w:pPr>
      <w:r>
        <w:rPr>
          <w:b/>
          <w:bCs/>
        </w:rPr>
        <w:t xml:space="preserve">Sistema de gestão de coleção</w:t>
      </w:r>
    </w:p>
    <w:p>
      <w:pPr>
        <w:pStyle w:val="FirstParagraph"/>
      </w:pPr>
      <w:r>
        <w:t xml:space="preserve">para:</w:t>
      </w:r>
    </w:p>
    <w:p>
      <w:pPr>
        <w:pStyle w:val="BlockText"/>
      </w:pPr>
      <w:r>
        <w:rPr>
          <w:b/>
          <w:bCs/>
        </w:rPr>
        <w:t xml:space="preserve">Plataforma de relacionamento entre catálogo, coleção, comércio e comunidade.</w:t>
      </w:r>
    </w:p>
    <w:p>
      <w:pPr>
        <w:pStyle w:val="FirstParagraph"/>
      </w:pPr>
      <w:r>
        <w:t xml:space="preserve">O núcleo, entretanto, continuará sendo o catálogo e o acervo físico.</w:t>
      </w:r>
    </w:p>
    <w:p>
      <w:r>
        <w:pict>
          <v:rect style="width:0;height:1.5pt" o:hralign="center" o:hrstd="t" o:hr="t"/>
        </w:pict>
      </w:r>
    </w:p>
    <w:bookmarkStart w:id="40" w:name="princípios-permanentes"/>
    <w:p>
      <w:pPr>
        <w:pStyle w:val="Heading2"/>
      </w:pPr>
      <w:r>
        <w:t xml:space="preserve">13. Princípios permanentes</w:t>
      </w:r>
    </w:p>
    <w:p>
      <w:pPr>
        <w:pStyle w:val="Compact"/>
        <w:numPr>
          <w:ilvl w:val="0"/>
          <w:numId w:val="1015"/>
        </w:numPr>
      </w:pPr>
      <w:r>
        <w:t xml:space="preserve">Pesquisar antes de cadastrar.</w:t>
      </w:r>
    </w:p>
    <w:p>
      <w:pPr>
        <w:pStyle w:val="Compact"/>
        <w:numPr>
          <w:ilvl w:val="0"/>
          <w:numId w:val="1015"/>
        </w:numPr>
      </w:pPr>
      <w:r>
        <w:t xml:space="preserve">Catálogo é diferente de coleção.</w:t>
      </w:r>
    </w:p>
    <w:p>
      <w:pPr>
        <w:pStyle w:val="Compact"/>
        <w:numPr>
          <w:ilvl w:val="0"/>
          <w:numId w:val="1015"/>
        </w:numPr>
      </w:pPr>
      <w:r>
        <w:t xml:space="preserve">Variação é diferente de exemplar.</w:t>
      </w:r>
    </w:p>
    <w:p>
      <w:pPr>
        <w:pStyle w:val="Compact"/>
        <w:numPr>
          <w:ilvl w:val="0"/>
          <w:numId w:val="1015"/>
        </w:numPr>
      </w:pPr>
      <w:r>
        <w:t xml:space="preserve">Exemplar representa uma unidade física.</w:t>
      </w:r>
    </w:p>
    <w:p>
      <w:pPr>
        <w:pStyle w:val="Compact"/>
        <w:numPr>
          <w:ilvl w:val="0"/>
          <w:numId w:val="1015"/>
        </w:numPr>
      </w:pPr>
      <w:r>
        <w:t xml:space="preserve">Histórico importante não deve ser apagado.</w:t>
      </w:r>
    </w:p>
    <w:p>
      <w:pPr>
        <w:pStyle w:val="Compact"/>
        <w:numPr>
          <w:ilvl w:val="0"/>
          <w:numId w:val="1015"/>
        </w:numPr>
      </w:pPr>
      <w:r>
        <w:t xml:space="preserve">Dados comerciais não devem duplicar o catálogo.</w:t>
      </w:r>
    </w:p>
    <w:p>
      <w:pPr>
        <w:pStyle w:val="Compact"/>
        <w:numPr>
          <w:ilvl w:val="0"/>
          <w:numId w:val="1015"/>
        </w:numPr>
      </w:pPr>
      <w:r>
        <w:t xml:space="preserve">Usuário não pode alterar dados mestres sem autorização.</w:t>
      </w:r>
    </w:p>
    <w:p>
      <w:pPr>
        <w:pStyle w:val="Compact"/>
        <w:numPr>
          <w:ilvl w:val="0"/>
          <w:numId w:val="1015"/>
        </w:numPr>
      </w:pPr>
      <w:r>
        <w:t xml:space="preserve">Funcionalidades futuras não devem comprometer o MVP.</w:t>
      </w:r>
    </w:p>
    <w:p>
      <w:pPr>
        <w:pStyle w:val="Compact"/>
        <w:numPr>
          <w:ilvl w:val="0"/>
          <w:numId w:val="1015"/>
        </w:numPr>
      </w:pPr>
      <w:r>
        <w:t xml:space="preserve">O backend é responsável pelas regras de negócio.</w:t>
      </w:r>
    </w:p>
    <w:p>
      <w:pPr>
        <w:pStyle w:val="Compact"/>
        <w:numPr>
          <w:ilvl w:val="0"/>
          <w:numId w:val="1015"/>
        </w:numPr>
      </w:pPr>
      <w:r>
        <w:t xml:space="preserve">Nunca confiar no cliente.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