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regras-de-negócio"/>
    <w:p>
      <w:pPr>
        <w:pStyle w:val="Heading2"/>
      </w:pPr>
      <w:r>
        <w:t xml:space="preserve">Regras de Negócio</w:t>
      </w:r>
    </w:p>
    <w:bookmarkStart w:id="9" w:name="versão-1.2"/>
    <w:p>
      <w:pPr>
        <w:pStyle w:val="Heading3"/>
      </w:pPr>
      <w:r>
        <w:t xml:space="preserve">Versão 1.2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6" w:name="princípios-gerais"/>
    <w:p>
      <w:pPr>
        <w:pStyle w:val="Heading1"/>
      </w:pPr>
      <w:r>
        <w:t xml:space="preserve">1. Princípios gerais</w:t>
      </w:r>
    </w:p>
    <w:bookmarkStart w:id="12" w:name="rn001-identidade-interna"/>
    <w:p>
      <w:pPr>
        <w:pStyle w:val="Heading3"/>
      </w:pPr>
      <w:r>
        <w:t xml:space="preserve">RN001 — Identidade interna</w:t>
      </w:r>
    </w:p>
    <w:p>
      <w:pPr>
        <w:pStyle w:val="FirstParagraph"/>
      </w:pPr>
      <w:r>
        <w:t xml:space="preserve">Todo registro persistente deverá possuir um identificador interno único.</w:t>
      </w:r>
    </w:p>
    <w:bookmarkEnd w:id="12"/>
    <w:bookmarkStart w:id="13" w:name="X28dc2ec7cd94766bd1ff170c5cfc54c5657a0a4"/>
    <w:p>
      <w:pPr>
        <w:pStyle w:val="Heading3"/>
      </w:pPr>
      <w:r>
        <w:t xml:space="preserve">RN002 — Separação entre catálogo e dados do usuário</w:t>
      </w:r>
    </w:p>
    <w:p>
      <w:pPr>
        <w:pStyle w:val="FirstParagraph"/>
      </w:pPr>
      <w:r>
        <w:t xml:space="preserve">Informações mestres do catálogo são compartilhadas.</w:t>
      </w:r>
    </w:p>
    <w:p>
      <w:pPr>
        <w:pStyle w:val="BodyText"/>
      </w:pPr>
      <w:r>
        <w:t xml:space="preserve">Informações de coleção, localização, aquisição, wishlist e demais dados pessoais pertencem ao usuário.</w:t>
      </w:r>
    </w:p>
    <w:bookmarkEnd w:id="13"/>
    <w:bookmarkStart w:id="14" w:name="rn003-histórico"/>
    <w:p>
      <w:pPr>
        <w:pStyle w:val="Heading3"/>
      </w:pPr>
      <w:r>
        <w:t xml:space="preserve">RN003 — Histórico</w:t>
      </w:r>
    </w:p>
    <w:p>
      <w:pPr>
        <w:pStyle w:val="FirstParagraph"/>
      </w:pPr>
      <w:r>
        <w:t xml:space="preserve">Operações relevantes deverão preservar histórico.</w:t>
      </w:r>
    </w:p>
    <w:bookmarkEnd w:id="14"/>
    <w:bookmarkStart w:id="15" w:name="rn004-exclusão"/>
    <w:p>
      <w:pPr>
        <w:pStyle w:val="Heading3"/>
      </w:pPr>
      <w:r>
        <w:t xml:space="preserve">RN004 — Exclusão</w:t>
      </w:r>
    </w:p>
    <w:p>
      <w:pPr>
        <w:pStyle w:val="FirstParagraph"/>
      </w:pPr>
      <w:r>
        <w:t xml:space="preserve">Registros com dependências ou histórico relevante deverão preferencialmente ser arquivados ou desativados.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catálogo"/>
    <w:p>
      <w:pPr>
        <w:pStyle w:val="Heading1"/>
      </w:pPr>
      <w:r>
        <w:t xml:space="preserve">2. Catálogo</w:t>
      </w:r>
    </w:p>
    <w:bookmarkStart w:id="17" w:name="rn010-catálogo-oficial"/>
    <w:p>
      <w:pPr>
        <w:pStyle w:val="Heading3"/>
      </w:pPr>
      <w:r>
        <w:t xml:space="preserve">RN010 — Catálogo oficial</w:t>
      </w:r>
    </w:p>
    <w:p>
      <w:pPr>
        <w:pStyle w:val="FirstParagraph"/>
      </w:pPr>
      <w:r>
        <w:t xml:space="preserve">Somente usuários autorizados poderão criar ou alterar registros oficiais do catálogo.</w:t>
      </w:r>
    </w:p>
    <w:bookmarkEnd w:id="17"/>
    <w:bookmarkStart w:id="18" w:name="rn011-pesquisa-antes-do-cadastro"/>
    <w:p>
      <w:pPr>
        <w:pStyle w:val="Heading3"/>
      </w:pPr>
      <w:r>
        <w:t xml:space="preserve">RN011 — Pesquisa antes do cadastro</w:t>
      </w:r>
    </w:p>
    <w:p>
      <w:pPr>
        <w:pStyle w:val="FirstParagraph"/>
      </w:pPr>
      <w:r>
        <w:t xml:space="preserve">Antes da criação de qualquer registro oficial, deverá ser realizada pesquisa de possíveis duplicidades.</w:t>
      </w:r>
    </w:p>
    <w:bookmarkEnd w:id="18"/>
    <w:bookmarkStart w:id="19" w:name="rn012-solicitação"/>
    <w:p>
      <w:pPr>
        <w:pStyle w:val="Heading3"/>
      </w:pPr>
      <w:r>
        <w:t xml:space="preserve">RN012 — Solicitação</w:t>
      </w:r>
    </w:p>
    <w:p>
      <w:pPr>
        <w:pStyle w:val="FirstParagraph"/>
      </w:pPr>
      <w:r>
        <w:t xml:space="preserve">Usuários comuns deverão solicitar inclusão ou correção de registros ausentes.</w:t>
      </w:r>
    </w:p>
    <w:bookmarkEnd w:id="19"/>
    <w:bookmarkStart w:id="20" w:name="rn013-aprovação"/>
    <w:p>
      <w:pPr>
        <w:pStyle w:val="Heading3"/>
      </w:pPr>
      <w:r>
        <w:t xml:space="preserve">RN013 — Aprovação</w:t>
      </w:r>
    </w:p>
    <w:p>
      <w:pPr>
        <w:pStyle w:val="FirstParagraph"/>
      </w:pPr>
      <w:r>
        <w:t xml:space="preserve">Uma solicitação aprovada poderá gerar ou alterar um registro oficial.</w:t>
      </w:r>
    </w:p>
    <w:bookmarkEnd w:id="20"/>
    <w:bookmarkStart w:id="21" w:name="rn014-fabricante-da-miniatura"/>
    <w:p>
      <w:pPr>
        <w:pStyle w:val="Heading3"/>
      </w:pPr>
      <w:r>
        <w:t xml:space="preserve">RN014 — Fabricante da miniatura</w:t>
      </w:r>
    </w:p>
    <w:p>
      <w:pPr>
        <w:pStyle w:val="FirstParagraph"/>
      </w:pPr>
      <w:r>
        <w:rPr>
          <w:rStyle w:val="VerbatimChar"/>
        </w:rPr>
        <w:t xml:space="preserve">miniature_brand</w:t>
      </w:r>
      <w:r>
        <w:t xml:space="preserve"> </w:t>
      </w:r>
      <w:r>
        <w:t xml:space="preserve">representa a marca que produziu a miniatura.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1"/>
        </w:numPr>
      </w:pPr>
      <w:r>
        <w:t xml:space="preserve">Hot Wheels;</w:t>
      </w:r>
    </w:p>
    <w:p>
      <w:pPr>
        <w:pStyle w:val="Compact"/>
        <w:numPr>
          <w:ilvl w:val="0"/>
          <w:numId w:val="1001"/>
        </w:numPr>
      </w:pPr>
      <w:r>
        <w:t xml:space="preserve">Matchbox;</w:t>
      </w:r>
    </w:p>
    <w:p>
      <w:pPr>
        <w:pStyle w:val="Compact"/>
        <w:numPr>
          <w:ilvl w:val="0"/>
          <w:numId w:val="1001"/>
        </w:numPr>
      </w:pPr>
      <w:r>
        <w:t xml:space="preserve">Mini GT;</w:t>
      </w:r>
    </w:p>
    <w:p>
      <w:pPr>
        <w:pStyle w:val="Compact"/>
        <w:numPr>
          <w:ilvl w:val="0"/>
          <w:numId w:val="1001"/>
        </w:numPr>
      </w:pPr>
      <w:r>
        <w:t xml:space="preserve">Bburago;</w:t>
      </w:r>
    </w:p>
    <w:p>
      <w:pPr>
        <w:pStyle w:val="Compact"/>
        <w:numPr>
          <w:ilvl w:val="0"/>
          <w:numId w:val="1001"/>
        </w:numPr>
      </w:pPr>
      <w:r>
        <w:t xml:space="preserve">Kaido House.</w:t>
      </w:r>
    </w:p>
    <w:bookmarkEnd w:id="21"/>
    <w:bookmarkStart w:id="22" w:name="rn015-montadora"/>
    <w:p>
      <w:pPr>
        <w:pStyle w:val="Heading3"/>
      </w:pPr>
      <w:r>
        <w:t xml:space="preserve">RN015 — Montadora</w:t>
      </w:r>
    </w:p>
    <w:p>
      <w:pPr>
        <w:pStyle w:val="FirstParagraph"/>
      </w:pPr>
      <w:r>
        <w:rPr>
          <w:rStyle w:val="VerbatimChar"/>
        </w:rPr>
        <w:t xml:space="preserve">automaker</w:t>
      </w:r>
      <w:r>
        <w:t xml:space="preserve"> </w:t>
      </w:r>
      <w:r>
        <w:t xml:space="preserve">representa o fabricante do veículo real.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2"/>
        </w:numPr>
      </w:pPr>
      <w:r>
        <w:t xml:space="preserve">Toyota;</w:t>
      </w:r>
    </w:p>
    <w:p>
      <w:pPr>
        <w:pStyle w:val="Compact"/>
        <w:numPr>
          <w:ilvl w:val="0"/>
          <w:numId w:val="1002"/>
        </w:numPr>
      </w:pPr>
      <w:r>
        <w:t xml:space="preserve">Nissan;</w:t>
      </w:r>
    </w:p>
    <w:p>
      <w:pPr>
        <w:pStyle w:val="Compact"/>
        <w:numPr>
          <w:ilvl w:val="0"/>
          <w:numId w:val="1002"/>
        </w:numPr>
      </w:pPr>
      <w:r>
        <w:t xml:space="preserve">Volkswagen;</w:t>
      </w:r>
    </w:p>
    <w:p>
      <w:pPr>
        <w:pStyle w:val="Compact"/>
        <w:numPr>
          <w:ilvl w:val="0"/>
          <w:numId w:val="1002"/>
        </w:numPr>
      </w:pPr>
      <w:r>
        <w:t xml:space="preserve">Porsche.</w:t>
      </w:r>
    </w:p>
    <w:p>
      <w:pPr>
        <w:pStyle w:val="FirstParagraph"/>
      </w:pPr>
      <w:r>
        <w:t xml:space="preserve">Esses conceitos não deverão ser confundidos.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asting"/>
    <w:p>
      <w:pPr>
        <w:pStyle w:val="Heading1"/>
      </w:pPr>
      <w:r>
        <w:t xml:space="preserve">3. Casting</w:t>
      </w:r>
    </w:p>
    <w:bookmarkStart w:id="24" w:name="rn020"/>
    <w:p>
      <w:pPr>
        <w:pStyle w:val="Heading3"/>
      </w:pPr>
      <w:r>
        <w:t xml:space="preserve">RN020</w:t>
      </w:r>
    </w:p>
    <w:p>
      <w:pPr>
        <w:pStyle w:val="FirstParagraph"/>
      </w:pPr>
      <w:r>
        <w:t xml:space="preserve">Um casting representa o projeto/modelo-base da miniatura.</w:t>
      </w:r>
    </w:p>
    <w:bookmarkEnd w:id="24"/>
    <w:bookmarkStart w:id="25" w:name="rn021"/>
    <w:p>
      <w:pPr>
        <w:pStyle w:val="Heading3"/>
      </w:pPr>
      <w:r>
        <w:t xml:space="preserve">RN021</w:t>
      </w:r>
    </w:p>
    <w:p>
      <w:pPr>
        <w:pStyle w:val="FirstParagraph"/>
      </w:pPr>
      <w:r>
        <w:t xml:space="preserve">Um casting poderá:</w:t>
      </w:r>
    </w:p>
    <w:p>
      <w:pPr>
        <w:pStyle w:val="Compact"/>
        <w:numPr>
          <w:ilvl w:val="0"/>
          <w:numId w:val="1003"/>
        </w:numPr>
      </w:pPr>
      <w:r>
        <w:t xml:space="preserve">representar um veículo real;</w:t>
      </w:r>
    </w:p>
    <w:p>
      <w:pPr>
        <w:pStyle w:val="Compact"/>
        <w:numPr>
          <w:ilvl w:val="0"/>
          <w:numId w:val="1003"/>
        </w:numPr>
      </w:pPr>
      <w:r>
        <w:t xml:space="preserve">ser baseado em um veículo;</w:t>
      </w:r>
    </w:p>
    <w:p>
      <w:pPr>
        <w:pStyle w:val="Compact"/>
        <w:numPr>
          <w:ilvl w:val="0"/>
          <w:numId w:val="1003"/>
        </w:numPr>
      </w:pPr>
      <w:r>
        <w:t xml:space="preserve">ser inspirado em um veículo;</w:t>
      </w:r>
    </w:p>
    <w:p>
      <w:pPr>
        <w:pStyle w:val="Compact"/>
        <w:numPr>
          <w:ilvl w:val="0"/>
          <w:numId w:val="1003"/>
        </w:numPr>
      </w:pPr>
      <w:r>
        <w:t xml:space="preserve">não possuir veículo real relacionado.</w:t>
      </w:r>
    </w:p>
    <w:bookmarkEnd w:id="25"/>
    <w:bookmarkStart w:id="26" w:name="rn022"/>
    <w:p>
      <w:pPr>
        <w:pStyle w:val="Heading3"/>
      </w:pPr>
      <w:r>
        <w:t xml:space="preserve">RN022</w:t>
      </w:r>
    </w:p>
    <w:p>
      <w:pPr>
        <w:pStyle w:val="FirstParagraph"/>
      </w:pPr>
      <w:r>
        <w:t xml:space="preserve">Relacionamentos com veículos deverão ser registrados por</w:t>
      </w:r>
      <w:r>
        <w:t xml:space="preserve"> </w:t>
      </w:r>
      <w:r>
        <w:rPr>
          <w:rStyle w:val="VerbatimChar"/>
        </w:rPr>
        <w:t xml:space="preserve">CASTING_VEHICLE</w:t>
      </w:r>
      <w:r>
        <w:t xml:space="preserve">.</w:t>
      </w:r>
    </w:p>
    <w:p>
      <w:pPr>
        <w:pStyle w:val="BodyText"/>
      </w:pPr>
      <w:r>
        <w:t xml:space="preserve">Tipos:</w:t>
      </w:r>
    </w:p>
    <w:p>
      <w:pPr>
        <w:pStyle w:val="Compact"/>
        <w:numPr>
          <w:ilvl w:val="0"/>
          <w:numId w:val="1004"/>
        </w:numPr>
      </w:pPr>
      <w:r>
        <w:t xml:space="preserve">REPRESENTS;</w:t>
      </w:r>
    </w:p>
    <w:p>
      <w:pPr>
        <w:pStyle w:val="Compact"/>
        <w:numPr>
          <w:ilvl w:val="0"/>
          <w:numId w:val="1004"/>
        </w:numPr>
      </w:pPr>
      <w:r>
        <w:t xml:space="preserve">BASED_ON;</w:t>
      </w:r>
    </w:p>
    <w:p>
      <w:pPr>
        <w:pStyle w:val="Compact"/>
        <w:numPr>
          <w:ilvl w:val="0"/>
          <w:numId w:val="1004"/>
        </w:numPr>
      </w:pPr>
      <w:r>
        <w:t xml:space="preserve">INSPIRED_BY.</w:t>
      </w:r>
    </w:p>
    <w:bookmarkEnd w:id="26"/>
    <w:bookmarkStart w:id="27" w:name="rn023"/>
    <w:p>
      <w:pPr>
        <w:pStyle w:val="Heading3"/>
      </w:pPr>
      <w:r>
        <w:t xml:space="preserve">RN023</w:t>
      </w:r>
    </w:p>
    <w:p>
      <w:pPr>
        <w:pStyle w:val="FirstParagraph"/>
      </w:pPr>
      <w:r>
        <w:t xml:space="preserve">Relacionamentos com franquias deverão ser registrados por</w:t>
      </w:r>
      <w:r>
        <w:t xml:space="preserve"> </w:t>
      </w:r>
      <w:r>
        <w:rPr>
          <w:rStyle w:val="VerbatimChar"/>
        </w:rPr>
        <w:t xml:space="preserve">CASTING_FRANCHISE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variação"/>
    <w:p>
      <w:pPr>
        <w:pStyle w:val="Heading1"/>
      </w:pPr>
      <w:r>
        <w:t xml:space="preserve">4. Variação</w:t>
      </w:r>
    </w:p>
    <w:bookmarkStart w:id="29" w:name="rn030"/>
    <w:p>
      <w:pPr>
        <w:pStyle w:val="Heading3"/>
      </w:pPr>
      <w:r>
        <w:t xml:space="preserve">RN030</w:t>
      </w:r>
    </w:p>
    <w:p>
      <w:pPr>
        <w:pStyle w:val="FirstParagraph"/>
      </w:pPr>
      <w:r>
        <w:t xml:space="preserve">A variação representa uma versão comercial específica de um casting.</w:t>
      </w:r>
    </w:p>
    <w:p>
      <w:pPr>
        <w:pStyle w:val="BodyText"/>
      </w:pPr>
      <w:r>
        <w:t xml:space="preserve">Poderá conter:</w:t>
      </w:r>
    </w:p>
    <w:p>
      <w:pPr>
        <w:pStyle w:val="Compact"/>
        <w:numPr>
          <w:ilvl w:val="0"/>
          <w:numId w:val="1005"/>
        </w:numPr>
      </w:pPr>
      <w:r>
        <w:t xml:space="preserve">ano;</w:t>
      </w:r>
    </w:p>
    <w:p>
      <w:pPr>
        <w:pStyle w:val="Compact"/>
        <w:numPr>
          <w:ilvl w:val="0"/>
          <w:numId w:val="1005"/>
        </w:numPr>
      </w:pPr>
      <w:r>
        <w:t xml:space="preserve">escala;</w:t>
      </w:r>
    </w:p>
    <w:p>
      <w:pPr>
        <w:pStyle w:val="Compact"/>
        <w:numPr>
          <w:ilvl w:val="0"/>
          <w:numId w:val="1005"/>
        </w:numPr>
      </w:pPr>
      <w:r>
        <w:t xml:space="preserve">cor;</w:t>
      </w:r>
    </w:p>
    <w:p>
      <w:pPr>
        <w:pStyle w:val="Compact"/>
        <w:numPr>
          <w:ilvl w:val="0"/>
          <w:numId w:val="1005"/>
        </w:numPr>
      </w:pPr>
      <w:r>
        <w:t xml:space="preserve">edição;</w:t>
      </w:r>
    </w:p>
    <w:p>
      <w:pPr>
        <w:pStyle w:val="Compact"/>
        <w:numPr>
          <w:ilvl w:val="0"/>
          <w:numId w:val="1005"/>
        </w:numPr>
      </w:pPr>
      <w:r>
        <w:t xml:space="preserve">embalagem;</w:t>
      </w:r>
    </w:p>
    <w:p>
      <w:pPr>
        <w:pStyle w:val="Compact"/>
        <w:numPr>
          <w:ilvl w:val="0"/>
          <w:numId w:val="1005"/>
        </w:numPr>
      </w:pPr>
      <w:r>
        <w:t xml:space="preserve">série;</w:t>
      </w:r>
    </w:p>
    <w:p>
      <w:pPr>
        <w:pStyle w:val="Compact"/>
        <w:numPr>
          <w:ilvl w:val="0"/>
          <w:numId w:val="1005"/>
        </w:numPr>
      </w:pPr>
      <w:r>
        <w:t xml:space="preserve">decoração;</w:t>
      </w:r>
    </w:p>
    <w:p>
      <w:pPr>
        <w:pStyle w:val="Compact"/>
        <w:numPr>
          <w:ilvl w:val="0"/>
          <w:numId w:val="1005"/>
        </w:numPr>
      </w:pPr>
      <w:r>
        <w:t xml:space="preserve">identificadores.</w:t>
      </w:r>
    </w:p>
    <w:bookmarkEnd w:id="29"/>
    <w:bookmarkStart w:id="30" w:name="rn031"/>
    <w:p>
      <w:pPr>
        <w:pStyle w:val="Heading3"/>
      </w:pPr>
      <w:r>
        <w:t xml:space="preserve">RN031</w:t>
      </w:r>
    </w:p>
    <w:p>
      <w:pPr>
        <w:pStyle w:val="FirstParagraph"/>
      </w:pPr>
      <w:r>
        <w:t xml:space="preserve">O usuário adicionará à coleção uma variação, nunca apenas um casting genérico.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exemplar"/>
    <w:p>
      <w:pPr>
        <w:pStyle w:val="Heading1"/>
      </w:pPr>
      <w:r>
        <w:t xml:space="preserve">5. Exemplar</w:t>
      </w:r>
    </w:p>
    <w:bookmarkStart w:id="32" w:name="rn040"/>
    <w:p>
      <w:pPr>
        <w:pStyle w:val="Heading3"/>
      </w:pPr>
      <w:r>
        <w:t xml:space="preserve">RN040</w:t>
      </w:r>
    </w:p>
    <w:p>
      <w:pPr>
        <w:pStyle w:val="FirstParagraph"/>
      </w:pPr>
      <w:r>
        <w:t xml:space="preserve">Cada unidade física da coleção será representada por um exemplar.</w:t>
      </w:r>
    </w:p>
    <w:bookmarkEnd w:id="32"/>
    <w:bookmarkStart w:id="33" w:name="rn041"/>
    <w:p>
      <w:pPr>
        <w:pStyle w:val="Heading3"/>
      </w:pPr>
      <w:r>
        <w:t xml:space="preserve">RN041</w:t>
      </w:r>
    </w:p>
    <w:p>
      <w:pPr>
        <w:pStyle w:val="FirstParagraph"/>
      </w:pPr>
      <w:r>
        <w:t xml:space="preserve">O mesmo usuário poderá possuir vários exemplares da mesma variação.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 Skyline R34</w:t>
      </w:r>
      <w:r>
        <w:br/>
      </w:r>
      <w:r>
        <w:br/>
      </w:r>
      <w:r>
        <w:rPr>
          <w:rStyle w:val="VerbatimChar"/>
        </w:rPr>
        <w:t xml:space="preserve">Exemplar 1</w:t>
      </w:r>
      <w:r>
        <w:br/>
      </w:r>
      <w:r>
        <w:rPr>
          <w:rStyle w:val="VerbatimChar"/>
        </w:rPr>
        <w:t xml:space="preserve">Exemplar 2</w:t>
      </w:r>
      <w:r>
        <w:br/>
      </w:r>
      <w:r>
        <w:rPr>
          <w:rStyle w:val="VerbatimChar"/>
        </w:rPr>
        <w:t xml:space="preserve">Exemplar 3</w:t>
      </w:r>
    </w:p>
    <w:bookmarkEnd w:id="33"/>
    <w:bookmarkStart w:id="34" w:name="rn042"/>
    <w:p>
      <w:pPr>
        <w:pStyle w:val="Heading3"/>
      </w:pPr>
      <w:r>
        <w:t xml:space="preserve">RN042</w:t>
      </w:r>
    </w:p>
    <w:p>
      <w:pPr>
        <w:pStyle w:val="FirstParagraph"/>
      </w:pPr>
      <w:r>
        <w:t xml:space="preserve">Cada exemplar deverá possuir identidade própria.</w:t>
      </w:r>
    </w:p>
    <w:bookmarkEnd w:id="34"/>
    <w:bookmarkStart w:id="35" w:name="rn043"/>
    <w:p>
      <w:pPr>
        <w:pStyle w:val="Heading3"/>
      </w:pPr>
      <w:r>
        <w:t xml:space="preserve">RN043</w:t>
      </w:r>
    </w:p>
    <w:p>
      <w:pPr>
        <w:pStyle w:val="FirstParagraph"/>
      </w:pPr>
      <w:r>
        <w:t xml:space="preserve">O exemplar poderá possuir:</w:t>
      </w:r>
    </w:p>
    <w:p>
      <w:pPr>
        <w:pStyle w:val="Compact"/>
        <w:numPr>
          <w:ilvl w:val="0"/>
          <w:numId w:val="1006"/>
        </w:numPr>
      </w:pPr>
      <w:r>
        <w:t xml:space="preserve">condição;</w:t>
      </w:r>
    </w:p>
    <w:p>
      <w:pPr>
        <w:pStyle w:val="Compact"/>
        <w:numPr>
          <w:ilvl w:val="0"/>
          <w:numId w:val="1006"/>
        </w:numPr>
      </w:pPr>
      <w:r>
        <w:t xml:space="preserve">fotografias;</w:t>
      </w:r>
    </w:p>
    <w:p>
      <w:pPr>
        <w:pStyle w:val="Compact"/>
        <w:numPr>
          <w:ilvl w:val="0"/>
          <w:numId w:val="1006"/>
        </w:numPr>
      </w:pPr>
      <w:r>
        <w:t xml:space="preserve">observações;</w:t>
      </w:r>
    </w:p>
    <w:p>
      <w:pPr>
        <w:pStyle w:val="Compact"/>
        <w:numPr>
          <w:ilvl w:val="0"/>
          <w:numId w:val="1006"/>
        </w:numPr>
      </w:pPr>
      <w:r>
        <w:t xml:space="preserve">localização;</w:t>
      </w:r>
    </w:p>
    <w:p>
      <w:pPr>
        <w:pStyle w:val="Compact"/>
        <w:numPr>
          <w:ilvl w:val="0"/>
          <w:numId w:val="1006"/>
        </w:numPr>
      </w:pPr>
      <w:r>
        <w:t xml:space="preserve">aquisição;</w:t>
      </w:r>
    </w:p>
    <w:p>
      <w:pPr>
        <w:pStyle w:val="Compact"/>
        <w:numPr>
          <w:ilvl w:val="0"/>
          <w:numId w:val="1006"/>
        </w:numPr>
      </w:pPr>
      <w:r>
        <w:t xml:space="preserve">custo;</w:t>
      </w:r>
    </w:p>
    <w:p>
      <w:pPr>
        <w:pStyle w:val="Compact"/>
        <w:numPr>
          <w:ilvl w:val="0"/>
          <w:numId w:val="1006"/>
        </w:numPr>
      </w:pPr>
      <w:r>
        <w:t xml:space="preserve">histórico;</w:t>
      </w:r>
    </w:p>
    <w:p>
      <w:pPr>
        <w:pStyle w:val="Compact"/>
        <w:numPr>
          <w:ilvl w:val="0"/>
          <w:numId w:val="1006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wishlist"/>
    <w:p>
      <w:pPr>
        <w:pStyle w:val="Heading1"/>
      </w:pPr>
      <w:r>
        <w:t xml:space="preserve">6. Wishlist</w:t>
      </w:r>
    </w:p>
    <w:bookmarkStart w:id="37" w:name="rn050"/>
    <w:p>
      <w:pPr>
        <w:pStyle w:val="Heading3"/>
      </w:pPr>
      <w:r>
        <w:t xml:space="preserve">RN050</w:t>
      </w:r>
    </w:p>
    <w:p>
      <w:pPr>
        <w:pStyle w:val="FirstParagraph"/>
      </w:pPr>
      <w:r>
        <w:t xml:space="preserve">A wishlist referencia uma variação do catálogo.</w:t>
      </w:r>
    </w:p>
    <w:bookmarkEnd w:id="37"/>
    <w:bookmarkStart w:id="38" w:name="rn051"/>
    <w:p>
      <w:pPr>
        <w:pStyle w:val="Heading3"/>
      </w:pPr>
      <w:r>
        <w:t xml:space="preserve">RN051</w:t>
      </w:r>
    </w:p>
    <w:p>
      <w:pPr>
        <w:pStyle w:val="FirstParagraph"/>
      </w:pPr>
      <w:r>
        <w:t xml:space="preserve">A mesma variação poderá estar simultaneamente:</w:t>
      </w:r>
    </w:p>
    <w:p>
      <w:pPr>
        <w:pStyle w:val="Compact"/>
        <w:numPr>
          <w:ilvl w:val="0"/>
          <w:numId w:val="1007"/>
        </w:numPr>
      </w:pPr>
      <w:r>
        <w:t xml:space="preserve">na wishlist;</w:t>
      </w:r>
    </w:p>
    <w:p>
      <w:pPr>
        <w:pStyle w:val="Compact"/>
        <w:numPr>
          <w:ilvl w:val="0"/>
          <w:numId w:val="1007"/>
        </w:numPr>
      </w:pPr>
      <w:r>
        <w:t xml:space="preserve">na coleção.</w:t>
      </w:r>
    </w:p>
    <w:bookmarkEnd w:id="38"/>
    <w:bookmarkStart w:id="39" w:name="rn052"/>
    <w:p>
      <w:pPr>
        <w:pStyle w:val="Heading3"/>
      </w:pPr>
      <w:r>
        <w:t xml:space="preserve">RN052</w:t>
      </w:r>
    </w:p>
    <w:p>
      <w:pPr>
        <w:pStyle w:val="FirstParagraph"/>
      </w:pPr>
      <w:r>
        <w:t xml:space="preserve">Possuir uma unidade não impede desejar outra unidade da mesma variação.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ocalização"/>
    <w:p>
      <w:pPr>
        <w:pStyle w:val="Heading1"/>
      </w:pPr>
      <w:r>
        <w:t xml:space="preserve">7. Localização</w:t>
      </w:r>
    </w:p>
    <w:bookmarkStart w:id="41" w:name="rn060"/>
    <w:p>
      <w:pPr>
        <w:pStyle w:val="Heading3"/>
      </w:pPr>
      <w:r>
        <w:t xml:space="preserve">RN060</w:t>
      </w:r>
    </w:p>
    <w:p>
      <w:pPr>
        <w:pStyle w:val="FirstParagraph"/>
      </w:pPr>
      <w:r>
        <w:t xml:space="preserve">Cada exemplar poderá possuir apenas uma localização atual.</w:t>
      </w:r>
    </w:p>
    <w:bookmarkEnd w:id="41"/>
    <w:bookmarkStart w:id="42" w:name="rn061"/>
    <w:p>
      <w:pPr>
        <w:pStyle w:val="Heading3"/>
      </w:pPr>
      <w:r>
        <w:t xml:space="preserve">RN061</w:t>
      </w:r>
    </w:p>
    <w:p>
      <w:pPr>
        <w:pStyle w:val="FirstParagraph"/>
      </w:pPr>
      <w:r>
        <w:t xml:space="preserve">As localizações serão hierárquicas.</w:t>
      </w:r>
    </w:p>
    <w:bookmarkEnd w:id="42"/>
    <w:bookmarkStart w:id="43" w:name="rn062"/>
    <w:p>
      <w:pPr>
        <w:pStyle w:val="Heading3"/>
      </w:pPr>
      <w:r>
        <w:t xml:space="preserve">RN062</w:t>
      </w:r>
    </w:p>
    <w:p>
      <w:pPr>
        <w:pStyle w:val="FirstParagraph"/>
      </w:pPr>
      <w:r>
        <w:t xml:space="preserve">A movimentação deverá preservar histórico.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quisição"/>
    <w:p>
      <w:pPr>
        <w:pStyle w:val="Heading1"/>
      </w:pPr>
      <w:r>
        <w:t xml:space="preserve">8. Aquisição</w:t>
      </w:r>
    </w:p>
    <w:bookmarkStart w:id="45" w:name="rn070"/>
    <w:p>
      <w:pPr>
        <w:pStyle w:val="Heading3"/>
      </w:pPr>
      <w:r>
        <w:t xml:space="preserve">RN070</w:t>
      </w:r>
    </w:p>
    <w:p>
      <w:pPr>
        <w:pStyle w:val="FirstParagraph"/>
      </w:pPr>
      <w:r>
        <w:t xml:space="preserve">Uma aquisição poderá conter um ou mais exemplares.</w:t>
      </w:r>
    </w:p>
    <w:bookmarkEnd w:id="45"/>
    <w:bookmarkStart w:id="46" w:name="rn071"/>
    <w:p>
      <w:pPr>
        <w:pStyle w:val="Heading3"/>
      </w:pPr>
      <w:r>
        <w:t xml:space="preserve">RN071</w:t>
      </w:r>
    </w:p>
    <w:p>
      <w:pPr>
        <w:pStyle w:val="FirstParagraph"/>
      </w:pPr>
      <w:r>
        <w:t xml:space="preserve">O custo de aquisição deverá ser armazenado no item da aquisição.</w:t>
      </w:r>
    </w:p>
    <w:bookmarkEnd w:id="46"/>
    <w:bookmarkStart w:id="47" w:name="rn072"/>
    <w:p>
      <w:pPr>
        <w:pStyle w:val="Heading3"/>
      </w:pPr>
      <w:r>
        <w:t xml:space="preserve">RN072</w:t>
      </w:r>
    </w:p>
    <w:p>
      <w:pPr>
        <w:pStyle w:val="FirstParagraph"/>
      </w:pPr>
      <w:r>
        <w:t xml:space="preserve">O custo histórico não deverá ser sobrescrito por valor de mercado.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venda-pessoal"/>
    <w:p>
      <w:pPr>
        <w:pStyle w:val="Heading1"/>
      </w:pPr>
      <w:r>
        <w:t xml:space="preserve">9. Venda pessoal</w:t>
      </w:r>
    </w:p>
    <w:bookmarkStart w:id="49" w:name="rn080"/>
    <w:p>
      <w:pPr>
        <w:pStyle w:val="Heading3"/>
      </w:pPr>
      <w:r>
        <w:t xml:space="preserve">RN080</w:t>
      </w:r>
    </w:p>
    <w:p>
      <w:pPr>
        <w:pStyle w:val="FirstParagraph"/>
      </w:pPr>
      <w:r>
        <w:t xml:space="preserve">O usuário poderá registrar a venda de seus próprios exemplares.</w:t>
      </w:r>
    </w:p>
    <w:bookmarkEnd w:id="49"/>
    <w:bookmarkStart w:id="50" w:name="rn081"/>
    <w:p>
      <w:pPr>
        <w:pStyle w:val="Heading3"/>
      </w:pPr>
      <w:r>
        <w:t xml:space="preserve">RN081</w:t>
      </w:r>
    </w:p>
    <w:p>
      <w:pPr>
        <w:pStyle w:val="FirstParagraph"/>
      </w:pPr>
      <w:r>
        <w:t xml:space="preserve">Um exemplar vendido não deverá continuar sendo contabilizado como ativo na coleção.</w:t>
      </w:r>
    </w:p>
    <w:bookmarkEnd w:id="50"/>
    <w:bookmarkStart w:id="51" w:name="rn082"/>
    <w:p>
      <w:pPr>
        <w:pStyle w:val="Heading3"/>
      </w:pPr>
      <w:r>
        <w:t xml:space="preserve">RN082</w:t>
      </w:r>
    </w:p>
    <w:p>
      <w:pPr>
        <w:pStyle w:val="FirstParagraph"/>
      </w:pPr>
      <w:r>
        <w:t xml:space="preserve">O resultado poderá ser calculado:</w:t>
      </w:r>
    </w:p>
    <w:p>
      <w:pPr>
        <w:pStyle w:val="SourceCode"/>
      </w:pPr>
      <w:r>
        <w:rPr>
          <w:rStyle w:val="VerbatimChar"/>
        </w:rPr>
        <w:t xml:space="preserve">Resultado =</w:t>
      </w:r>
      <w:r>
        <w:br/>
      </w:r>
      <w:r>
        <w:rPr>
          <w:rStyle w:val="VerbatimChar"/>
        </w:rPr>
        <w:t xml:space="preserve">Valor da Venda - Custo de Aquisição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futuro-vendedores"/>
    <w:p>
      <w:pPr>
        <w:pStyle w:val="Heading1"/>
      </w:pPr>
      <w:r>
        <w:t xml:space="preserve">10. Futuro — vendedores</w:t>
      </w:r>
    </w:p>
    <w:bookmarkStart w:id="53" w:name="rn100"/>
    <w:p>
      <w:pPr>
        <w:pStyle w:val="Heading3"/>
      </w:pPr>
      <w:r>
        <w:t xml:space="preserve">RN100</w:t>
      </w:r>
    </w:p>
    <w:p>
      <w:pPr>
        <w:pStyle w:val="FirstParagraph"/>
      </w:pPr>
      <w:r>
        <w:t xml:space="preserve">O MiniHub poderá possuir usuários autorizados a atuar como vendedores.</w:t>
      </w:r>
    </w:p>
    <w:bookmarkEnd w:id="53"/>
    <w:bookmarkStart w:id="54" w:name="rn101"/>
    <w:p>
      <w:pPr>
        <w:pStyle w:val="Heading3"/>
      </w:pPr>
      <w:r>
        <w:t xml:space="preserve">RN101</w:t>
      </w:r>
    </w:p>
    <w:p>
      <w:pPr>
        <w:pStyle w:val="FirstParagraph"/>
      </w:pPr>
      <w:r>
        <w:t xml:space="preserve">A capacidade de vender deverá depender de autorização específica.</w:t>
      </w:r>
    </w:p>
    <w:p>
      <w:pPr>
        <w:pStyle w:val="BodyText"/>
      </w:pPr>
      <w:r>
        <w:t xml:space="preserve">Ser usuário da plataforma não significa automaticamente ser vendedor.</w:t>
      </w:r>
    </w:p>
    <w:bookmarkEnd w:id="54"/>
    <w:bookmarkStart w:id="55" w:name="rn102"/>
    <w:p>
      <w:pPr>
        <w:pStyle w:val="Heading3"/>
      </w:pPr>
      <w:r>
        <w:t xml:space="preserve">RN102</w:t>
      </w:r>
    </w:p>
    <w:p>
      <w:pPr>
        <w:pStyle w:val="FirstParagraph"/>
      </w:pPr>
      <w:r>
        <w:t xml:space="preserve">A autorização comercial deverá ser independente do papel de colecionador.</w:t>
      </w:r>
    </w:p>
    <w:bookmarkEnd w:id="55"/>
    <w:bookmarkStart w:id="56" w:name="rn103"/>
    <w:p>
      <w:pPr>
        <w:pStyle w:val="Heading3"/>
      </w:pPr>
      <w:r>
        <w:t xml:space="preserve">RN103</w:t>
      </w:r>
    </w:p>
    <w:p>
      <w:pPr>
        <w:pStyle w:val="FirstParagraph"/>
      </w:pPr>
      <w:r>
        <w:t xml:space="preserve">Um usuário poderá ser simultaneamente:</w:t>
      </w:r>
    </w:p>
    <w:p>
      <w:pPr>
        <w:pStyle w:val="SourceCode"/>
      </w:pPr>
      <w:r>
        <w:rPr>
          <w:rStyle w:val="VerbatimChar"/>
        </w:rPr>
        <w:t xml:space="preserve">Colecionador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Vendedor</w:t>
      </w:r>
    </w:p>
    <w:bookmarkEnd w:id="56"/>
    <w:bookmarkStart w:id="57" w:name="rn104"/>
    <w:p>
      <w:pPr>
        <w:pStyle w:val="Heading3"/>
      </w:pPr>
      <w:r>
        <w:t xml:space="preserve">RN104</w:t>
      </w:r>
    </w:p>
    <w:p>
      <w:pPr>
        <w:pStyle w:val="FirstParagraph"/>
      </w:pPr>
      <w:r>
        <w:t xml:space="preserve">O gestor poderá:</w:t>
      </w:r>
    </w:p>
    <w:p>
      <w:pPr>
        <w:pStyle w:val="Compact"/>
        <w:numPr>
          <w:ilvl w:val="0"/>
          <w:numId w:val="1008"/>
        </w:numPr>
      </w:pPr>
      <w:r>
        <w:t xml:space="preserve">habilitar vendedor;</w:t>
      </w:r>
    </w:p>
    <w:p>
      <w:pPr>
        <w:pStyle w:val="Compact"/>
        <w:numPr>
          <w:ilvl w:val="0"/>
          <w:numId w:val="1008"/>
        </w:numPr>
      </w:pPr>
      <w:r>
        <w:t xml:space="preserve">suspender vendedor;</w:t>
      </w:r>
    </w:p>
    <w:p>
      <w:pPr>
        <w:pStyle w:val="Compact"/>
        <w:numPr>
          <w:ilvl w:val="0"/>
          <w:numId w:val="1008"/>
        </w:numPr>
      </w:pPr>
      <w:r>
        <w:t xml:space="preserve">bloquear vendedor;</w:t>
      </w:r>
    </w:p>
    <w:p>
      <w:pPr>
        <w:pStyle w:val="Compact"/>
        <w:numPr>
          <w:ilvl w:val="0"/>
          <w:numId w:val="1008"/>
        </w:numPr>
      </w:pPr>
      <w:r>
        <w:t xml:space="preserve">reativar vendedor.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futuro-pré-vendas"/>
    <w:p>
      <w:pPr>
        <w:pStyle w:val="Heading1"/>
      </w:pPr>
      <w:r>
        <w:t xml:space="preserve">11. Futuro — pré-vendas</w:t>
      </w:r>
    </w:p>
    <w:bookmarkStart w:id="59" w:name="rn110"/>
    <w:p>
      <w:pPr>
        <w:pStyle w:val="Heading3"/>
      </w:pPr>
      <w:r>
        <w:t xml:space="preserve">RN110</w:t>
      </w:r>
    </w:p>
    <w:p>
      <w:pPr>
        <w:pStyle w:val="FirstParagraph"/>
      </w:pPr>
      <w:r>
        <w:t xml:space="preserve">Somente vendedores autorizados poderão criar pré-vendas.</w:t>
      </w:r>
    </w:p>
    <w:bookmarkEnd w:id="59"/>
    <w:bookmarkStart w:id="60" w:name="rn111"/>
    <w:p>
      <w:pPr>
        <w:pStyle w:val="Heading3"/>
      </w:pPr>
      <w:r>
        <w:t xml:space="preserve">RN111</w:t>
      </w:r>
    </w:p>
    <w:p>
      <w:pPr>
        <w:pStyle w:val="FirstParagraph"/>
      </w:pPr>
      <w:r>
        <w:t xml:space="preserve">Uma pré-venda deverá referenciar uma variação existente no catálogo sempre que possível.</w:t>
      </w:r>
    </w:p>
    <w:bookmarkEnd w:id="60"/>
    <w:bookmarkStart w:id="61" w:name="rn112"/>
    <w:p>
      <w:pPr>
        <w:pStyle w:val="Heading3"/>
      </w:pPr>
      <w:r>
        <w:t xml:space="preserve">RN112</w:t>
      </w:r>
    </w:p>
    <w:p>
      <w:pPr>
        <w:pStyle w:val="FirstParagraph"/>
      </w:pPr>
      <w:r>
        <w:t xml:space="preserve">Uma pré-venda deverá possuir:</w:t>
      </w:r>
    </w:p>
    <w:p>
      <w:pPr>
        <w:pStyle w:val="Compact"/>
        <w:numPr>
          <w:ilvl w:val="0"/>
          <w:numId w:val="1009"/>
        </w:numPr>
      </w:pPr>
      <w:r>
        <w:t xml:space="preserve">vendedor;</w:t>
      </w:r>
    </w:p>
    <w:p>
      <w:pPr>
        <w:pStyle w:val="Compact"/>
        <w:numPr>
          <w:ilvl w:val="0"/>
          <w:numId w:val="1009"/>
        </w:numPr>
      </w:pPr>
      <w:r>
        <w:t xml:space="preserve">produto;</w:t>
      </w:r>
    </w:p>
    <w:p>
      <w:pPr>
        <w:pStyle w:val="Compact"/>
        <w:numPr>
          <w:ilvl w:val="0"/>
          <w:numId w:val="1009"/>
        </w:numPr>
      </w:pPr>
      <w:r>
        <w:t xml:space="preserve">quantidade;</w:t>
      </w:r>
    </w:p>
    <w:p>
      <w:pPr>
        <w:pStyle w:val="Compact"/>
        <w:numPr>
          <w:ilvl w:val="0"/>
          <w:numId w:val="1009"/>
        </w:numPr>
      </w:pPr>
      <w:r>
        <w:t xml:space="preserve">preço;</w:t>
      </w:r>
    </w:p>
    <w:p>
      <w:pPr>
        <w:pStyle w:val="Compact"/>
        <w:numPr>
          <w:ilvl w:val="0"/>
          <w:numId w:val="1009"/>
        </w:numPr>
      </w:pPr>
      <w:r>
        <w:t xml:space="preserve">condições;</w:t>
      </w:r>
    </w:p>
    <w:p>
      <w:pPr>
        <w:pStyle w:val="Compact"/>
        <w:numPr>
          <w:ilvl w:val="0"/>
          <w:numId w:val="1009"/>
        </w:numPr>
      </w:pPr>
      <w:r>
        <w:t xml:space="preserve">período;</w:t>
      </w:r>
    </w:p>
    <w:p>
      <w:pPr>
        <w:pStyle w:val="Compact"/>
        <w:numPr>
          <w:ilvl w:val="0"/>
          <w:numId w:val="1009"/>
        </w:numPr>
      </w:pPr>
      <w:r>
        <w:t xml:space="preserve">status.</w:t>
      </w:r>
    </w:p>
    <w:bookmarkEnd w:id="61"/>
    <w:bookmarkStart w:id="62" w:name="rn113"/>
    <w:p>
      <w:pPr>
        <w:pStyle w:val="Heading3"/>
      </w:pPr>
      <w:r>
        <w:t xml:space="preserve">RN113</w:t>
      </w:r>
    </w:p>
    <w:p>
      <w:pPr>
        <w:pStyle w:val="FirstParagraph"/>
      </w:pPr>
      <w:r>
        <w:t xml:space="preserve">Poderá haver reservas associadas à pré-venda.</w:t>
      </w:r>
    </w:p>
    <w:bookmarkEnd w:id="62"/>
    <w:bookmarkStart w:id="63" w:name="rn114"/>
    <w:p>
      <w:pPr>
        <w:pStyle w:val="Heading3"/>
      </w:pPr>
      <w:r>
        <w:t xml:space="preserve">RN114</w:t>
      </w:r>
    </w:p>
    <w:p>
      <w:pPr>
        <w:pStyle w:val="FirstParagraph"/>
      </w:pPr>
      <w:r>
        <w:t xml:space="preserve">Uma reserva deverá identificar o comprador e a quantidade reservada.</w:t>
      </w:r>
    </w:p>
    <w:bookmarkEnd w:id="63"/>
    <w:bookmarkStart w:id="64" w:name="rn115"/>
    <w:p>
      <w:pPr>
        <w:pStyle w:val="Heading3"/>
      </w:pPr>
      <w:r>
        <w:t xml:space="preserve">RN115</w:t>
      </w:r>
    </w:p>
    <w:p>
      <w:pPr>
        <w:pStyle w:val="FirstParagraph"/>
      </w:pPr>
      <w:r>
        <w:t xml:space="preserve">A reserva poderá possuir condições de pagamento próprias.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futuro-conta-corrente"/>
    <w:p>
      <w:pPr>
        <w:pStyle w:val="Heading1"/>
      </w:pPr>
      <w:r>
        <w:t xml:space="preserve">12. Futuro — conta corrente</w:t>
      </w:r>
    </w:p>
    <w:bookmarkStart w:id="66" w:name="rn120"/>
    <w:p>
      <w:pPr>
        <w:pStyle w:val="Heading3"/>
      </w:pPr>
      <w:r>
        <w:t xml:space="preserve">RN120</w:t>
      </w:r>
    </w:p>
    <w:p>
      <w:pPr>
        <w:pStyle w:val="FirstParagraph"/>
      </w:pPr>
      <w:r>
        <w:t xml:space="preserve">Uma reserva parcelada poderá gerar parcelas financeiras.</w:t>
      </w:r>
    </w:p>
    <w:bookmarkEnd w:id="66"/>
    <w:bookmarkStart w:id="67" w:name="rn121"/>
    <w:p>
      <w:pPr>
        <w:pStyle w:val="Heading3"/>
      </w:pPr>
      <w:r>
        <w:t xml:space="preserve">RN121</w:t>
      </w:r>
    </w:p>
    <w:p>
      <w:pPr>
        <w:pStyle w:val="FirstParagraph"/>
      </w:pPr>
      <w:r>
        <w:t xml:space="preserve">Cada parcela deverá possuir:</w:t>
      </w:r>
    </w:p>
    <w:p>
      <w:pPr>
        <w:pStyle w:val="Compact"/>
        <w:numPr>
          <w:ilvl w:val="0"/>
          <w:numId w:val="1010"/>
        </w:numPr>
      </w:pPr>
      <w:r>
        <w:t xml:space="preserve">valor;</w:t>
      </w:r>
    </w:p>
    <w:p>
      <w:pPr>
        <w:pStyle w:val="Compact"/>
        <w:numPr>
          <w:ilvl w:val="0"/>
          <w:numId w:val="1010"/>
        </w:numPr>
      </w:pPr>
      <w:r>
        <w:t xml:space="preserve">vencimento;</w:t>
      </w:r>
    </w:p>
    <w:p>
      <w:pPr>
        <w:pStyle w:val="Compact"/>
        <w:numPr>
          <w:ilvl w:val="0"/>
          <w:numId w:val="1010"/>
        </w:numPr>
      </w:pPr>
      <w:r>
        <w:t xml:space="preserve">status;</w:t>
      </w:r>
    </w:p>
    <w:p>
      <w:pPr>
        <w:pStyle w:val="Compact"/>
        <w:numPr>
          <w:ilvl w:val="0"/>
          <w:numId w:val="1010"/>
        </w:numPr>
      </w:pPr>
      <w:r>
        <w:t xml:space="preserve">pagamentos.</w:t>
      </w:r>
    </w:p>
    <w:bookmarkEnd w:id="67"/>
    <w:bookmarkStart w:id="68" w:name="rn122"/>
    <w:p>
      <w:pPr>
        <w:pStyle w:val="Heading3"/>
      </w:pPr>
      <w:r>
        <w:t xml:space="preserve">RN122</w:t>
      </w:r>
    </w:p>
    <w:p>
      <w:pPr>
        <w:pStyle w:val="FirstParagraph"/>
      </w:pPr>
      <w:r>
        <w:t xml:space="preserve">O sistema deverá permitir pagamentos parciais.</w:t>
      </w:r>
    </w:p>
    <w:bookmarkEnd w:id="68"/>
    <w:bookmarkStart w:id="69" w:name="rn123"/>
    <w:p>
      <w:pPr>
        <w:pStyle w:val="Heading3"/>
      </w:pPr>
      <w:r>
        <w:t xml:space="preserve">RN123</w:t>
      </w:r>
    </w:p>
    <w:p>
      <w:pPr>
        <w:pStyle w:val="FirstParagraph"/>
      </w:pPr>
      <w:r>
        <w:t xml:space="preserve">O saldo deverá ser calculado a partir dos lançamentos financeiros.</w:t>
      </w:r>
    </w:p>
    <w:bookmarkEnd w:id="69"/>
    <w:bookmarkStart w:id="70" w:name="rn124"/>
    <w:p>
      <w:pPr>
        <w:pStyle w:val="Heading3"/>
      </w:pPr>
      <w:r>
        <w:t xml:space="preserve">RN124</w:t>
      </w:r>
    </w:p>
    <w:p>
      <w:pPr>
        <w:pStyle w:val="FirstParagraph"/>
      </w:pPr>
      <w:r>
        <w:t xml:space="preserve">O histórico financeiro não deverá ser apagado silenciosamente.</w:t>
      </w:r>
    </w:p>
    <w:bookmarkEnd w:id="70"/>
    <w:bookmarkStart w:id="71" w:name="rn125"/>
    <w:p>
      <w:pPr>
        <w:pStyle w:val="Heading3"/>
      </w:pPr>
      <w:r>
        <w:t xml:space="preserve">RN125</w:t>
      </w:r>
    </w:p>
    <w:p>
      <w:pPr>
        <w:pStyle w:val="FirstParagraph"/>
      </w:pPr>
      <w:r>
        <w:t xml:space="preserve">Cancelamentos e estornos deverão gerar eventos financeiros próprios.</w:t>
      </w:r>
    </w:p>
    <w:bookmarkEnd w:id="71"/>
    <w:bookmarkStart w:id="72" w:name="rn126"/>
    <w:p>
      <w:pPr>
        <w:pStyle w:val="Heading3"/>
      </w:pPr>
      <w:r>
        <w:t xml:space="preserve">RN126</w:t>
      </w:r>
    </w:p>
    <w:p>
      <w:pPr>
        <w:pStyle w:val="FirstParagraph"/>
      </w:pPr>
      <w:r>
        <w:t xml:space="preserve">O controle financeiro de pré-vendas deverá ser separado do custo da coleção pessoal.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futuro-rifas"/>
    <w:p>
      <w:pPr>
        <w:pStyle w:val="Heading1"/>
      </w:pPr>
      <w:r>
        <w:t xml:space="preserve">13. Futuro — rifas</w:t>
      </w:r>
    </w:p>
    <w:bookmarkStart w:id="74" w:name="rn130"/>
    <w:p>
      <w:pPr>
        <w:pStyle w:val="Heading3"/>
      </w:pPr>
      <w:r>
        <w:t xml:space="preserve">RN130</w:t>
      </w:r>
    </w:p>
    <w:p>
      <w:pPr>
        <w:pStyle w:val="FirstParagraph"/>
      </w:pPr>
      <w:r>
        <w:t xml:space="preserve">Uma rifa poderá ser interna ou externa.</w:t>
      </w:r>
    </w:p>
    <w:bookmarkEnd w:id="74"/>
    <w:bookmarkStart w:id="75" w:name="rn131"/>
    <w:p>
      <w:pPr>
        <w:pStyle w:val="Heading3"/>
      </w:pPr>
      <w:r>
        <w:t xml:space="preserve">RN131</w:t>
      </w:r>
    </w:p>
    <w:p>
      <w:pPr>
        <w:pStyle w:val="FirstParagraph"/>
      </w:pPr>
      <w:r>
        <w:t xml:space="preserve">Rifas internas possuirão controle de participantes e números.</w:t>
      </w:r>
    </w:p>
    <w:bookmarkEnd w:id="75"/>
    <w:bookmarkStart w:id="76" w:name="rn132"/>
    <w:p>
      <w:pPr>
        <w:pStyle w:val="Heading3"/>
      </w:pPr>
      <w:r>
        <w:t xml:space="preserve">RN132</w:t>
      </w:r>
    </w:p>
    <w:p>
      <w:pPr>
        <w:pStyle w:val="FirstParagraph"/>
      </w:pPr>
      <w:r>
        <w:t xml:space="preserve">Rifas externas deverão armazenar a referência para o endereço externo.</w:t>
      </w:r>
    </w:p>
    <w:bookmarkEnd w:id="76"/>
    <w:bookmarkStart w:id="77" w:name="rn133"/>
    <w:p>
      <w:pPr>
        <w:pStyle w:val="Heading3"/>
      </w:pPr>
      <w:r>
        <w:t xml:space="preserve">RN133</w:t>
      </w:r>
    </w:p>
    <w:p>
      <w:pPr>
        <w:pStyle w:val="FirstParagraph"/>
      </w:pPr>
      <w:r>
        <w:t xml:space="preserve">O MiniHub não deverá assumir responsabilidade sobre dados que pertençam exclusivamente à plataforma externa.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futuro-loja"/>
    <w:p>
      <w:pPr>
        <w:pStyle w:val="Heading1"/>
      </w:pPr>
      <w:r>
        <w:t xml:space="preserve">14. Futuro — loja</w:t>
      </w:r>
    </w:p>
    <w:bookmarkStart w:id="79" w:name="rn140"/>
    <w:p>
      <w:pPr>
        <w:pStyle w:val="Heading3"/>
      </w:pPr>
      <w:r>
        <w:t xml:space="preserve">RN140</w:t>
      </w:r>
    </w:p>
    <w:p>
      <w:pPr>
        <w:pStyle w:val="FirstParagraph"/>
      </w:pPr>
      <w:r>
        <w:t xml:space="preserve">Produtos da loja deverão preferencialmente referenciar o catálogo.</w:t>
      </w:r>
    </w:p>
    <w:bookmarkEnd w:id="79"/>
    <w:bookmarkStart w:id="80" w:name="rn141"/>
    <w:p>
      <w:pPr>
        <w:pStyle w:val="Heading3"/>
      </w:pPr>
      <w:r>
        <w:t xml:space="preserve">RN141</w:t>
      </w:r>
    </w:p>
    <w:p>
      <w:pPr>
        <w:pStyle w:val="FirstParagraph"/>
      </w:pPr>
      <w:r>
        <w:t xml:space="preserve">Produto comercial e variação de catálogo são conceitos distintos.</w:t>
      </w:r>
    </w:p>
    <w:bookmarkEnd w:id="80"/>
    <w:bookmarkStart w:id="81" w:name="rn142"/>
    <w:p>
      <w:pPr>
        <w:pStyle w:val="Heading3"/>
      </w:pPr>
      <w:r>
        <w:t xml:space="preserve">RN142</w:t>
      </w:r>
    </w:p>
    <w:p>
      <w:pPr>
        <w:pStyle w:val="FirstParagraph"/>
      </w:pPr>
      <w:r>
        <w:t xml:space="preserve">A loja deverá possuir controle próprio de:</w:t>
      </w:r>
    </w:p>
    <w:p>
      <w:pPr>
        <w:pStyle w:val="Compact"/>
        <w:numPr>
          <w:ilvl w:val="0"/>
          <w:numId w:val="1011"/>
        </w:numPr>
      </w:pPr>
      <w:r>
        <w:t xml:space="preserve">preço;</w:t>
      </w:r>
    </w:p>
    <w:p>
      <w:pPr>
        <w:pStyle w:val="Compact"/>
        <w:numPr>
          <w:ilvl w:val="0"/>
          <w:numId w:val="1011"/>
        </w:numPr>
      </w:pPr>
      <w:r>
        <w:t xml:space="preserve">estoque comercial;</w:t>
      </w:r>
    </w:p>
    <w:p>
      <w:pPr>
        <w:pStyle w:val="Compact"/>
        <w:numPr>
          <w:ilvl w:val="0"/>
          <w:numId w:val="1011"/>
        </w:numPr>
      </w:pPr>
      <w:r>
        <w:t xml:space="preserve">disponibilidade;</w:t>
      </w:r>
    </w:p>
    <w:p>
      <w:pPr>
        <w:pStyle w:val="Compact"/>
        <w:numPr>
          <w:ilvl w:val="0"/>
          <w:numId w:val="1011"/>
        </w:numPr>
      </w:pPr>
      <w:r>
        <w:t xml:space="preserve">pedidos.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futuro-pedidos"/>
    <w:p>
      <w:pPr>
        <w:pStyle w:val="Heading1"/>
      </w:pPr>
      <w:r>
        <w:t xml:space="preserve">15. Futuro — pedidos</w:t>
      </w:r>
    </w:p>
    <w:bookmarkStart w:id="83" w:name="rn150"/>
    <w:p>
      <w:pPr>
        <w:pStyle w:val="Heading3"/>
      </w:pPr>
      <w:r>
        <w:t xml:space="preserve">RN150</w:t>
      </w:r>
    </w:p>
    <w:p>
      <w:pPr>
        <w:pStyle w:val="FirstParagraph"/>
      </w:pPr>
      <w:r>
        <w:t xml:space="preserve">Um pedido deverá possuir ciclo de vida próprio.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PAYMENT_PENDING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SEPARATING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Também deverão existir estados de cancelamento e estorno.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futuro-pagamentos"/>
    <w:p>
      <w:pPr>
        <w:pStyle w:val="Heading1"/>
      </w:pPr>
      <w:r>
        <w:t xml:space="preserve">16. Futuro — pagamentos</w:t>
      </w:r>
    </w:p>
    <w:bookmarkStart w:id="85" w:name="rn160"/>
    <w:p>
      <w:pPr>
        <w:pStyle w:val="Heading3"/>
      </w:pPr>
      <w:r>
        <w:t xml:space="preserve">RN160</w:t>
      </w:r>
    </w:p>
    <w:p>
      <w:pPr>
        <w:pStyle w:val="FirstParagraph"/>
      </w:pPr>
      <w:r>
        <w:t xml:space="preserve">Pagamentos da loja deverão ser tratados separadamente dos pagamentos de pré-vendas.</w:t>
      </w:r>
    </w:p>
    <w:bookmarkEnd w:id="85"/>
    <w:bookmarkStart w:id="86" w:name="rn161"/>
    <w:p>
      <w:pPr>
        <w:pStyle w:val="Heading3"/>
      </w:pPr>
      <w:r>
        <w:t xml:space="preserve">RN161</w:t>
      </w:r>
    </w:p>
    <w:p>
      <w:pPr>
        <w:pStyle w:val="FirstParagraph"/>
      </w:pPr>
      <w:r>
        <w:t xml:space="preserve">O sistema deverá permitir futura integração com gateways.</w:t>
      </w:r>
    </w:p>
    <w:bookmarkEnd w:id="86"/>
    <w:bookmarkStart w:id="87" w:name="rn162"/>
    <w:p>
      <w:pPr>
        <w:pStyle w:val="Heading3"/>
      </w:pPr>
      <w:r>
        <w:t xml:space="preserve">RN162</w:t>
      </w:r>
    </w:p>
    <w:p>
      <w:pPr>
        <w:pStyle w:val="FirstParagraph"/>
      </w:pPr>
      <w:r>
        <w:t xml:space="preserve">Dados sensíveis de cartão não deverão ser armazenados pelo MiniHub.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futuro-frete"/>
    <w:p>
      <w:pPr>
        <w:pStyle w:val="Heading1"/>
      </w:pPr>
      <w:r>
        <w:t xml:space="preserve">17. Futuro — frete</w:t>
      </w:r>
    </w:p>
    <w:bookmarkStart w:id="89" w:name="rn170"/>
    <w:p>
      <w:pPr>
        <w:pStyle w:val="Heading3"/>
      </w:pPr>
      <w:r>
        <w:t xml:space="preserve">RN170</w:t>
      </w:r>
    </w:p>
    <w:p>
      <w:pPr>
        <w:pStyle w:val="FirstParagraph"/>
      </w:pPr>
      <w:r>
        <w:t xml:space="preserve">O cálculo de frete deverá ser abstraído por uma camada de integração.</w:t>
      </w:r>
    </w:p>
    <w:bookmarkEnd w:id="89"/>
    <w:bookmarkStart w:id="90" w:name="rn171"/>
    <w:p>
      <w:pPr>
        <w:pStyle w:val="Heading3"/>
      </w:pPr>
      <w:r>
        <w:t xml:space="preserve">RN171</w:t>
      </w:r>
    </w:p>
    <w:p>
      <w:pPr>
        <w:pStyle w:val="FirstParagraph"/>
      </w:pPr>
      <w:r>
        <w:t xml:space="preserve">O MiniHub não deverá ficar dependente de uma única transportadora.</w:t>
      </w:r>
    </w:p>
    <w:bookmarkEnd w:id="90"/>
    <w:bookmarkStart w:id="91" w:name="rn172"/>
    <w:p>
      <w:pPr>
        <w:pStyle w:val="Heading3"/>
      </w:pPr>
      <w:r>
        <w:t xml:space="preserve">RN172</w:t>
      </w:r>
    </w:p>
    <w:p>
      <w:pPr>
        <w:pStyle w:val="FirstParagraph"/>
      </w:pPr>
      <w:r>
        <w:t xml:space="preserve">Deverá ser possível integrar futuramente:</w:t>
      </w:r>
    </w:p>
    <w:p>
      <w:pPr>
        <w:pStyle w:val="Compact"/>
        <w:numPr>
          <w:ilvl w:val="0"/>
          <w:numId w:val="1012"/>
        </w:numPr>
      </w:pPr>
      <w:r>
        <w:t xml:space="preserve">Correios;</w:t>
      </w:r>
    </w:p>
    <w:p>
      <w:pPr>
        <w:pStyle w:val="Compact"/>
        <w:numPr>
          <w:ilvl w:val="0"/>
          <w:numId w:val="1012"/>
        </w:numPr>
      </w:pPr>
      <w:r>
        <w:t xml:space="preserve">Jadlog;</w:t>
      </w:r>
    </w:p>
    <w:p>
      <w:pPr>
        <w:pStyle w:val="Compact"/>
        <w:numPr>
          <w:ilvl w:val="0"/>
          <w:numId w:val="1012"/>
        </w:numPr>
      </w:pPr>
      <w:r>
        <w:t xml:space="preserve">SuperFrete;</w:t>
      </w:r>
    </w:p>
    <w:p>
      <w:pPr>
        <w:pStyle w:val="Compact"/>
        <w:numPr>
          <w:ilvl w:val="0"/>
          <w:numId w:val="1012"/>
        </w:numPr>
      </w:pPr>
      <w:r>
        <w:t xml:space="preserve">outros serviços.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segurança"/>
    <w:p>
      <w:pPr>
        <w:pStyle w:val="Heading1"/>
      </w:pPr>
      <w:r>
        <w:t xml:space="preserve">18. Segurança</w:t>
      </w:r>
    </w:p>
    <w:bookmarkStart w:id="93" w:name="rn180"/>
    <w:p>
      <w:pPr>
        <w:pStyle w:val="Heading3"/>
      </w:pPr>
      <w:r>
        <w:t xml:space="preserve">RN180</w:t>
      </w:r>
    </w:p>
    <w:p>
      <w:pPr>
        <w:pStyle w:val="FirstParagraph"/>
      </w:pPr>
      <w:r>
        <w:t xml:space="preserve">Nunca confiar em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enviado pelo frontend.</w:t>
      </w:r>
    </w:p>
    <w:bookmarkEnd w:id="93"/>
    <w:bookmarkStart w:id="94" w:name="rn181"/>
    <w:p>
      <w:pPr>
        <w:pStyle w:val="Heading3"/>
      </w:pPr>
      <w:r>
        <w:t xml:space="preserve">RN181</w:t>
      </w:r>
    </w:p>
    <w:p>
      <w:pPr>
        <w:pStyle w:val="FirstParagraph"/>
      </w:pPr>
      <w:r>
        <w:t xml:space="preserve">A identidade do usuário deverá ser obtida do contexto autenticado.</w:t>
      </w:r>
    </w:p>
    <w:bookmarkEnd w:id="94"/>
    <w:bookmarkStart w:id="95" w:name="rn182"/>
    <w:p>
      <w:pPr>
        <w:pStyle w:val="Heading3"/>
      </w:pPr>
      <w:r>
        <w:t xml:space="preserve">RN182</w:t>
      </w:r>
    </w:p>
    <w:p>
      <w:pPr>
        <w:pStyle w:val="FirstParagraph"/>
      </w:pPr>
      <w:r>
        <w:t xml:space="preserve">Dados de outros usuários não poderão ser acessados.</w:t>
      </w:r>
    </w:p>
    <w:bookmarkEnd w:id="95"/>
    <w:bookmarkStart w:id="96" w:name="rn183"/>
    <w:p>
      <w:pPr>
        <w:pStyle w:val="Heading3"/>
      </w:pPr>
      <w:r>
        <w:t xml:space="preserve">RN183</w:t>
      </w:r>
    </w:p>
    <w:p>
      <w:pPr>
        <w:pStyle w:val="FirstParagraph"/>
      </w:pPr>
      <w:r>
        <w:t xml:space="preserve">Permissões comerciais deverão ser verificadas no backend.</w:t>
      </w:r>
    </w:p>
    <w:bookmarkEnd w:id="96"/>
    <w:bookmarkStart w:id="97" w:name="rn184"/>
    <w:p>
      <w:pPr>
        <w:pStyle w:val="Heading3"/>
      </w:pPr>
      <w:r>
        <w:t xml:space="preserve">RN184</w:t>
      </w:r>
    </w:p>
    <w:p>
      <w:pPr>
        <w:pStyle w:val="FirstParagraph"/>
      </w:pPr>
      <w:r>
        <w:t xml:space="preserve">Operações financeiras críticas deverão ser transacionais.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princípio-de-evolução"/>
    <w:p>
      <w:pPr>
        <w:pStyle w:val="Heading1"/>
      </w:pPr>
      <w:r>
        <w:t xml:space="preserve">19. Princípio de evolução</w:t>
      </w:r>
    </w:p>
    <w:bookmarkStart w:id="99" w:name="rn190"/>
    <w:p>
      <w:pPr>
        <w:pStyle w:val="Heading3"/>
      </w:pPr>
      <w:r>
        <w:t xml:space="preserve">RN190</w:t>
      </w:r>
    </w:p>
    <w:p>
      <w:pPr>
        <w:pStyle w:val="FirstParagraph"/>
      </w:pPr>
      <w:r>
        <w:t xml:space="preserve">Funcionalidades futuras não deverão ser implementadas no MVP apenas para</w:t>
      </w:r>
      <w:r>
        <w:t xml:space="preserve"> </w:t>
      </w:r>
      <w:r>
        <w:t xml:space="preserve">“deixar preparado”</w:t>
      </w:r>
      <w:r>
        <w:t xml:space="preserve">.</w:t>
      </w:r>
    </w:p>
    <w:p>
      <w:pPr>
        <w:pStyle w:val="BodyText"/>
      </w:pPr>
      <w:r>
        <w:t xml:space="preserve">A preparação deverá ocorrer principalmente através de:</w:t>
      </w:r>
    </w:p>
    <w:p>
      <w:pPr>
        <w:pStyle w:val="Compact"/>
        <w:numPr>
          <w:ilvl w:val="0"/>
          <w:numId w:val="1013"/>
        </w:numPr>
      </w:pPr>
      <w:r>
        <w:t xml:space="preserve">arquitetura modular;</w:t>
      </w:r>
    </w:p>
    <w:p>
      <w:pPr>
        <w:pStyle w:val="Compact"/>
        <w:numPr>
          <w:ilvl w:val="0"/>
          <w:numId w:val="1013"/>
        </w:numPr>
      </w:pPr>
      <w:r>
        <w:t xml:space="preserve">identificadores estáveis;</w:t>
      </w:r>
    </w:p>
    <w:p>
      <w:pPr>
        <w:pStyle w:val="Compact"/>
        <w:numPr>
          <w:ilvl w:val="0"/>
          <w:numId w:val="1013"/>
        </w:numPr>
      </w:pPr>
      <w:r>
        <w:t xml:space="preserve">separação de domínios;</w:t>
      </w:r>
    </w:p>
    <w:p>
      <w:pPr>
        <w:pStyle w:val="Compact"/>
        <w:numPr>
          <w:ilvl w:val="0"/>
          <w:numId w:val="1013"/>
        </w:numPr>
      </w:pPr>
      <w:r>
        <w:t xml:space="preserve">extensibilidade de permissões;</w:t>
      </w:r>
    </w:p>
    <w:p>
      <w:pPr>
        <w:pStyle w:val="Compact"/>
        <w:numPr>
          <w:ilvl w:val="0"/>
          <w:numId w:val="1013"/>
        </w:numPr>
      </w:pPr>
      <w:r>
        <w:t xml:space="preserve">contratos de API;</w:t>
      </w:r>
    </w:p>
    <w:p>
      <w:pPr>
        <w:pStyle w:val="Compact"/>
        <w:numPr>
          <w:ilvl w:val="0"/>
          <w:numId w:val="1013"/>
        </w:numPr>
      </w:pPr>
      <w:r>
        <w:t xml:space="preserve">relacionamentos adequados;</w:t>
      </w:r>
    </w:p>
    <w:p>
      <w:pPr>
        <w:pStyle w:val="Compact"/>
        <w:numPr>
          <w:ilvl w:val="0"/>
          <w:numId w:val="1013"/>
        </w:numPr>
      </w:pPr>
      <w:r>
        <w:t xml:space="preserve">ausência de acoplamento desnecessário.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regra-fundamental"/>
    <w:p>
      <w:pPr>
        <w:pStyle w:val="Heading1"/>
      </w:pPr>
      <w:r>
        <w:t xml:space="preserve">20. Regra fundamental</w:t>
      </w:r>
    </w:p>
    <w:p>
      <w:pPr>
        <w:pStyle w:val="BlockText"/>
      </w:pPr>
      <w:r>
        <w:rPr>
          <w:b/>
          <w:bCs/>
        </w:rPr>
        <w:t xml:space="preserve">O MVP deve ser simples para o usuário, mas a arquitetura deve ser preparada para crescer.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