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ecisão-sobre-o-catálogo-público"/>
    <w:p>
      <w:pPr>
        <w:pStyle w:val="Heading1"/>
      </w:pPr>
      <w:r>
        <w:t xml:space="preserve">78. Decisão sobre o Catálogo Público</w:t>
      </w:r>
    </w:p>
    <w:bookmarkStart w:id="10" w:name="decisão"/>
    <w:p>
      <w:pPr>
        <w:pStyle w:val="Heading2"/>
      </w:pPr>
      <w:r>
        <w:t xml:space="preserve">78.1 Decisão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catálogo oficial do MiniHub Car será público e estará disponível para consulta sem autenticação</w:t>
      </w:r>
      <w:r>
        <w:t xml:space="preserve">.</w:t>
      </w:r>
    </w:p>
    <w:p>
      <w:pPr>
        <w:pStyle w:val="BodyText"/>
      </w:pPr>
      <w:r>
        <w:t xml:space="preserve">A autenticação será obrigatória somente para funcionalidades que envolvam dados pessoais, operações sobre a coleção ou ações restritas.</w:t>
      </w:r>
    </w:p>
    <w:bookmarkStart w:id="9" w:name="princípio"/>
    <w:p>
      <w:pPr>
        <w:pStyle w:val="Heading3"/>
      </w:pPr>
      <w:r>
        <w:t xml:space="preserve">Princípio</w:t>
      </w:r>
    </w:p>
    <w:p>
      <w:pPr>
        <w:pStyle w:val="BlockText"/>
      </w:pPr>
      <w:r>
        <w:rPr>
          <w:b/>
          <w:bCs/>
        </w:rPr>
        <w:t xml:space="preserve">Catálogo público. Coleção privada.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funcionalidades-públicas"/>
    <w:p>
      <w:pPr>
        <w:pStyle w:val="Heading2"/>
      </w:pPr>
      <w:r>
        <w:t xml:space="preserve">78.2 Funcionalidades públicas</w:t>
      </w:r>
    </w:p>
    <w:p>
      <w:pPr>
        <w:pStyle w:val="FirstParagraph"/>
      </w:pPr>
      <w:r>
        <w:t xml:space="preserve">Usuários não autenticados poderão:</w:t>
      </w:r>
    </w:p>
    <w:p>
      <w:pPr>
        <w:pStyle w:val="Compact"/>
        <w:numPr>
          <w:ilvl w:val="0"/>
          <w:numId w:val="1001"/>
        </w:numPr>
      </w:pPr>
      <w:r>
        <w:t xml:space="preserve">pesquisar o catálogo;</w:t>
      </w:r>
    </w:p>
    <w:p>
      <w:pPr>
        <w:pStyle w:val="Compact"/>
        <w:numPr>
          <w:ilvl w:val="0"/>
          <w:numId w:val="1001"/>
        </w:numPr>
      </w:pPr>
      <w:r>
        <w:t xml:space="preserve">consultar marcas;</w:t>
      </w:r>
    </w:p>
    <w:p>
      <w:pPr>
        <w:pStyle w:val="Compact"/>
        <w:numPr>
          <w:ilvl w:val="0"/>
          <w:numId w:val="1001"/>
        </w:numPr>
      </w:pPr>
      <w:r>
        <w:t xml:space="preserve">consultar fabricantes;</w:t>
      </w:r>
    </w:p>
    <w:p>
      <w:pPr>
        <w:pStyle w:val="Compact"/>
        <w:numPr>
          <w:ilvl w:val="0"/>
          <w:numId w:val="1001"/>
        </w:numPr>
      </w:pPr>
      <w:r>
        <w:t xml:space="preserve">consultar modelos;</w:t>
      </w:r>
    </w:p>
    <w:p>
      <w:pPr>
        <w:pStyle w:val="Compact"/>
        <w:numPr>
          <w:ilvl w:val="0"/>
          <w:numId w:val="1001"/>
        </w:numPr>
      </w:pPr>
      <w:r>
        <w:t xml:space="preserve">consultar castings;</w:t>
      </w:r>
    </w:p>
    <w:p>
      <w:pPr>
        <w:pStyle w:val="Compact"/>
        <w:numPr>
          <w:ilvl w:val="0"/>
          <w:numId w:val="1001"/>
        </w:numPr>
      </w:pPr>
      <w:r>
        <w:t xml:space="preserve">consultar séries;</w:t>
      </w:r>
    </w:p>
    <w:p>
      <w:pPr>
        <w:pStyle w:val="Compact"/>
        <w:numPr>
          <w:ilvl w:val="0"/>
          <w:numId w:val="1001"/>
        </w:numPr>
      </w:pPr>
      <w:r>
        <w:t xml:space="preserve">consultar escalas;</w:t>
      </w:r>
    </w:p>
    <w:p>
      <w:pPr>
        <w:pStyle w:val="Compact"/>
        <w:numPr>
          <w:ilvl w:val="0"/>
          <w:numId w:val="1001"/>
        </w:numPr>
      </w:pPr>
      <w:r>
        <w:t xml:space="preserve">consultar variações;</w:t>
      </w:r>
    </w:p>
    <w:p>
      <w:pPr>
        <w:pStyle w:val="Compact"/>
        <w:numPr>
          <w:ilvl w:val="0"/>
          <w:numId w:val="1001"/>
        </w:numPr>
      </w:pPr>
      <w:r>
        <w:t xml:space="preserve">consultar códigos;</w:t>
      </w:r>
    </w:p>
    <w:p>
      <w:pPr>
        <w:pStyle w:val="Compact"/>
        <w:numPr>
          <w:ilvl w:val="0"/>
          <w:numId w:val="1001"/>
        </w:numPr>
      </w:pPr>
      <w:r>
        <w:t xml:space="preserve">consultar franquias;</w:t>
      </w:r>
    </w:p>
    <w:p>
      <w:pPr>
        <w:pStyle w:val="Compact"/>
        <w:numPr>
          <w:ilvl w:val="0"/>
          <w:numId w:val="1001"/>
        </w:numPr>
      </w:pPr>
      <w:r>
        <w:t xml:space="preserve">visualizar informações e imagens públicas;</w:t>
      </w:r>
    </w:p>
    <w:p>
      <w:pPr>
        <w:pStyle w:val="Compact"/>
        <w:numPr>
          <w:ilvl w:val="0"/>
          <w:numId w:val="1001"/>
        </w:numPr>
      </w:pPr>
      <w:r>
        <w:t xml:space="preserve">acessar diretamente a página de uma variação;</w:t>
      </w:r>
    </w:p>
    <w:p>
      <w:pPr>
        <w:pStyle w:val="Compact"/>
        <w:numPr>
          <w:ilvl w:val="0"/>
          <w:numId w:val="1001"/>
        </w:numPr>
      </w:pPr>
      <w:r>
        <w:t xml:space="preserve">compartilhar a URL de uma variação.</w:t>
      </w:r>
    </w:p>
    <w:p>
      <w:r>
        <w:pict>
          <v:rect style="width:0;height:1.5pt" o:hralign="center" o:hrstd="t" o:hr="t"/>
        </w:pict>
      </w:r>
    </w:p>
    <w:bookmarkEnd w:id="11"/>
    <w:bookmarkStart w:id="12" w:name="funcionalidades-autenticadas"/>
    <w:p>
      <w:pPr>
        <w:pStyle w:val="Heading2"/>
      </w:pPr>
      <w:r>
        <w:t xml:space="preserve">78.3 Funcionalidades autenticadas</w:t>
      </w:r>
    </w:p>
    <w:p>
      <w:pPr>
        <w:pStyle w:val="FirstParagraph"/>
      </w:pPr>
      <w:r>
        <w:t xml:space="preserve">Será necessário login para:</w:t>
      </w:r>
    </w:p>
    <w:p>
      <w:pPr>
        <w:pStyle w:val="Compact"/>
        <w:numPr>
          <w:ilvl w:val="0"/>
          <w:numId w:val="1002"/>
        </w:numPr>
      </w:pPr>
      <w:r>
        <w:t xml:space="preserve">adicionar exemplar à coleção;</w:t>
      </w:r>
    </w:p>
    <w:p>
      <w:pPr>
        <w:pStyle w:val="Compact"/>
        <w:numPr>
          <w:ilvl w:val="0"/>
          <w:numId w:val="1002"/>
        </w:numPr>
      </w:pPr>
      <w:r>
        <w:t xml:space="preserve">duplicar exemplar;</w:t>
      </w:r>
    </w:p>
    <w:p>
      <w:pPr>
        <w:pStyle w:val="Compact"/>
        <w:numPr>
          <w:ilvl w:val="0"/>
          <w:numId w:val="1002"/>
        </w:numPr>
      </w:pPr>
      <w:r>
        <w:t xml:space="preserve">editar exemplar;</w:t>
      </w:r>
    </w:p>
    <w:p>
      <w:pPr>
        <w:pStyle w:val="Compact"/>
        <w:numPr>
          <w:ilvl w:val="0"/>
          <w:numId w:val="1002"/>
        </w:numPr>
      </w:pPr>
      <w:r>
        <w:t xml:space="preserve">movimentar exemplar;</w:t>
      </w:r>
    </w:p>
    <w:p>
      <w:pPr>
        <w:pStyle w:val="Compact"/>
        <w:numPr>
          <w:ilvl w:val="0"/>
          <w:numId w:val="1002"/>
        </w:numPr>
      </w:pPr>
      <w:r>
        <w:t xml:space="preserve">registrar aquisição;</w:t>
      </w:r>
    </w:p>
    <w:p>
      <w:pPr>
        <w:pStyle w:val="Compact"/>
        <w:numPr>
          <w:ilvl w:val="0"/>
          <w:numId w:val="1002"/>
        </w:numPr>
      </w:pPr>
      <w:r>
        <w:t xml:space="preserve">registrar venda;</w:t>
      </w:r>
    </w:p>
    <w:p>
      <w:pPr>
        <w:pStyle w:val="Compact"/>
        <w:numPr>
          <w:ilvl w:val="0"/>
          <w:numId w:val="1002"/>
        </w:numPr>
      </w:pPr>
      <w:r>
        <w:t xml:space="preserve">criar wishlist;</w:t>
      </w:r>
    </w:p>
    <w:p>
      <w:pPr>
        <w:pStyle w:val="Compact"/>
        <w:numPr>
          <w:ilvl w:val="0"/>
          <w:numId w:val="1002"/>
        </w:numPr>
      </w:pPr>
      <w:r>
        <w:t xml:space="preserve">criar listas;</w:t>
      </w:r>
    </w:p>
    <w:p>
      <w:pPr>
        <w:pStyle w:val="Compact"/>
        <w:numPr>
          <w:ilvl w:val="0"/>
          <w:numId w:val="1002"/>
        </w:numPr>
      </w:pPr>
      <w:r>
        <w:t xml:space="preserve">consultar informações privadas;</w:t>
      </w:r>
    </w:p>
    <w:p>
      <w:pPr>
        <w:pStyle w:val="Compact"/>
        <w:numPr>
          <w:ilvl w:val="0"/>
          <w:numId w:val="1002"/>
        </w:numPr>
      </w:pPr>
      <w:r>
        <w:t xml:space="preserve">solicitar alteração/inclusão no catálogo.</w:t>
      </w:r>
    </w:p>
    <w:p>
      <w:r>
        <w:pict>
          <v:rect style="width:0;height:1.5pt" o:hralign="center" o:hrstd="t" o:hr="t"/>
        </w:pict>
      </w:r>
    </w:p>
    <w:bookmarkEnd w:id="12"/>
    <w:bookmarkStart w:id="13" w:name="administração-do-catálogo"/>
    <w:p>
      <w:pPr>
        <w:pStyle w:val="Heading2"/>
      </w:pPr>
      <w:r>
        <w:t xml:space="preserve">78.4 Administração do catálogo</w:t>
      </w:r>
    </w:p>
    <w:p>
      <w:pPr>
        <w:pStyle w:val="FirstParagraph"/>
      </w:pPr>
      <w:r>
        <w:t xml:space="preserve">O catálogo oficial não será editável diretamente por usuários comuns.</w:t>
      </w:r>
    </w:p>
    <w:p>
      <w:pPr>
        <w:pStyle w:val="BodyText"/>
      </w:pPr>
      <w:r>
        <w:t xml:space="preserve">O fluxo será: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Não encontrou / identificou erro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Solicitação de 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Análise administrativa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Aprovação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 oficial</w:t>
      </w:r>
    </w:p>
    <w:p>
      <w:r>
        <w:pict>
          <v:rect style="width:0;height:1.5pt" o:hralign="center" o:hrstd="t" o:hr="t"/>
        </w:pict>
      </w:r>
    </w:p>
    <w:bookmarkEnd w:id="13"/>
    <w:bookmarkStart w:id="14" w:name="seo"/>
    <w:p>
      <w:pPr>
        <w:pStyle w:val="Heading2"/>
      </w:pPr>
      <w:r>
        <w:t xml:space="preserve">78.5 SEO</w:t>
      </w:r>
    </w:p>
    <w:p>
      <w:pPr>
        <w:pStyle w:val="FirstParagraph"/>
      </w:pPr>
      <w:r>
        <w:t xml:space="preserve">As páginas públicas do catálogo deverão ser projetadas para indexação por mecanismos de busca.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/catalog/variations/{id}</w:t>
      </w:r>
    </w:p>
    <w:p>
      <w:pPr>
        <w:pStyle w:val="FirstParagraph"/>
      </w:pPr>
      <w:r>
        <w:t xml:space="preserve">deverá possuir:</w:t>
      </w:r>
    </w:p>
    <w:p>
      <w:pPr>
        <w:pStyle w:val="Compact"/>
        <w:numPr>
          <w:ilvl w:val="0"/>
          <w:numId w:val="1003"/>
        </w:numPr>
      </w:pPr>
      <w:r>
        <w:t xml:space="preserve">título específico;</w:t>
      </w:r>
    </w:p>
    <w:p>
      <w:pPr>
        <w:pStyle w:val="Compact"/>
        <w:numPr>
          <w:ilvl w:val="0"/>
          <w:numId w:val="1003"/>
        </w:numPr>
      </w:pPr>
      <w:r>
        <w:t xml:space="preserve">descrição;</w:t>
      </w:r>
    </w:p>
    <w:p>
      <w:pPr>
        <w:pStyle w:val="Compact"/>
        <w:numPr>
          <w:ilvl w:val="0"/>
          <w:numId w:val="1003"/>
        </w:numPr>
      </w:pPr>
      <w:r>
        <w:t xml:space="preserve">metadados;</w:t>
      </w:r>
    </w:p>
    <w:p>
      <w:pPr>
        <w:pStyle w:val="Compact"/>
        <w:numPr>
          <w:ilvl w:val="0"/>
          <w:numId w:val="1003"/>
        </w:numPr>
      </w:pPr>
      <w:r>
        <w:t xml:space="preserve">Open Graph;</w:t>
      </w:r>
    </w:p>
    <w:p>
      <w:pPr>
        <w:pStyle w:val="Compact"/>
        <w:numPr>
          <w:ilvl w:val="0"/>
          <w:numId w:val="1003"/>
        </w:numPr>
      </w:pPr>
      <w:r>
        <w:t xml:space="preserve">URL canônica;</w:t>
      </w:r>
    </w:p>
    <w:p>
      <w:pPr>
        <w:pStyle w:val="Compact"/>
        <w:numPr>
          <w:ilvl w:val="0"/>
          <w:numId w:val="1003"/>
        </w:numPr>
      </w:pPr>
      <w:r>
        <w:t xml:space="preserve">informações estruturadas quando aplicável;</w:t>
      </w:r>
    </w:p>
    <w:p>
      <w:pPr>
        <w:pStyle w:val="Compact"/>
        <w:numPr>
          <w:ilvl w:val="0"/>
          <w:numId w:val="1003"/>
        </w:numPr>
      </w:pPr>
      <w:r>
        <w:t xml:space="preserve">conteúdo renderizável para mecanismos de busca.</w:t>
      </w:r>
    </w:p>
    <w:p>
      <w:r>
        <w:pict>
          <v:rect style="width:0;height:1.5pt" o:hralign="center" o:hrstd="t" o:hr="t"/>
        </w:pict>
      </w:r>
    </w:p>
    <w:bookmarkEnd w:id="14"/>
    <w:bookmarkStart w:id="15" w:name="compartilhamento"/>
    <w:p>
      <w:pPr>
        <w:pStyle w:val="Heading2"/>
      </w:pPr>
      <w:r>
        <w:t xml:space="preserve">78.6 Compartilhamento</w:t>
      </w:r>
    </w:p>
    <w:p>
      <w:pPr>
        <w:pStyle w:val="FirstParagraph"/>
      </w:pPr>
      <w:r>
        <w:t xml:space="preserve">Cada variação deverá possuir uma URL estável.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https://minihubcar.com.br/catalog/variations/{id}</w:t>
      </w:r>
    </w:p>
    <w:p>
      <w:pPr>
        <w:pStyle w:val="FirstParagraph"/>
      </w:pPr>
      <w:r>
        <w:t xml:space="preserve">A URL deverá permanecer estável mesmo que o nome comercial ou outros atributos da variação sejam alterados.</w:t>
      </w:r>
    </w:p>
    <w:p>
      <w:pPr>
        <w:pStyle w:val="BodyText"/>
      </w:pPr>
      <w:r>
        <w:t xml:space="preserve">O UUID ou identificador interno não deverá depender do nome da miniatura.</w:t>
      </w:r>
    </w:p>
    <w:p>
      <w:r>
        <w:pict>
          <v:rect style="width:0;height:1.5pt" o:hralign="center" o:hrstd="t" o:hr="t"/>
        </w:pict>
      </w:r>
    </w:p>
    <w:bookmarkEnd w:id="15"/>
    <w:bookmarkStart w:id="16" w:name="segurança"/>
    <w:p>
      <w:pPr>
        <w:pStyle w:val="Heading2"/>
      </w:pPr>
      <w:r>
        <w:t xml:space="preserve">78.7 Segurança</w:t>
      </w:r>
    </w:p>
    <w:p>
      <w:pPr>
        <w:pStyle w:val="FirstParagraph"/>
      </w:pPr>
      <w:r>
        <w:t xml:space="preserve">O fato de o catálogo ser público não significa que toda informação do banco será exposta.</w:t>
      </w:r>
    </w:p>
    <w:p>
      <w:pPr>
        <w:pStyle w:val="BodyText"/>
      </w:pPr>
      <w:r>
        <w:t xml:space="preserve">A API deverá retornar somente campos explicitamente classificados como públicos.</w:t>
      </w:r>
    </w:p>
    <w:p>
      <w:pPr>
        <w:pStyle w:val="BodyText"/>
      </w:pPr>
      <w:r>
        <w:t xml:space="preserve">Não deverão ser expostos:</w:t>
      </w:r>
    </w:p>
    <w:p>
      <w:pPr>
        <w:pStyle w:val="Compact"/>
        <w:numPr>
          <w:ilvl w:val="0"/>
          <w:numId w:val="1004"/>
        </w:numPr>
      </w:pPr>
      <w:r>
        <w:t xml:space="preserve">dados internos administrativos;</w:t>
      </w:r>
    </w:p>
    <w:p>
      <w:pPr>
        <w:pStyle w:val="Compact"/>
        <w:numPr>
          <w:ilvl w:val="0"/>
          <w:numId w:val="1004"/>
        </w:numPr>
      </w:pPr>
      <w:r>
        <w:t xml:space="preserve">histórico de alterações interno;</w:t>
      </w:r>
    </w:p>
    <w:p>
      <w:pPr>
        <w:pStyle w:val="Compact"/>
        <w:numPr>
          <w:ilvl w:val="0"/>
          <w:numId w:val="1004"/>
        </w:numPr>
      </w:pPr>
      <w:r>
        <w:t xml:space="preserve">informações de auditoria;</w:t>
      </w:r>
    </w:p>
    <w:p>
      <w:pPr>
        <w:pStyle w:val="Compact"/>
        <w:numPr>
          <w:ilvl w:val="0"/>
          <w:numId w:val="1004"/>
        </w:numPr>
      </w:pPr>
      <w:r>
        <w:t xml:space="preserve">usuários que fizeram solicitações;</w:t>
      </w:r>
    </w:p>
    <w:p>
      <w:pPr>
        <w:pStyle w:val="Compact"/>
        <w:numPr>
          <w:ilvl w:val="0"/>
          <w:numId w:val="1004"/>
        </w:numPr>
      </w:pPr>
      <w:r>
        <w:t xml:space="preserve">dados de moderação;</w:t>
      </w:r>
    </w:p>
    <w:p>
      <w:pPr>
        <w:pStyle w:val="Compact"/>
        <w:numPr>
          <w:ilvl w:val="0"/>
          <w:numId w:val="1004"/>
        </w:numPr>
      </w:pPr>
      <w:r>
        <w:t xml:space="preserve">informações privadas da coleção;</w:t>
      </w:r>
    </w:p>
    <w:p>
      <w:pPr>
        <w:pStyle w:val="Compact"/>
        <w:numPr>
          <w:ilvl w:val="0"/>
          <w:numId w:val="1004"/>
        </w:numPr>
      </w:pPr>
      <w:r>
        <w:t xml:space="preserve">informações comerciais ainda não publicadas.</w:t>
      </w:r>
    </w:p>
    <w:p>
      <w:r>
        <w:pict>
          <v:rect style="width:0;height:1.5pt" o:hralign="center" o:hrstd="t" o:hr="t"/>
        </w:pict>
      </w:r>
    </w:p>
    <w:bookmarkEnd w:id="16"/>
    <w:bookmarkStart w:id="17" w:name="arquitetura"/>
    <w:p>
      <w:pPr>
        <w:pStyle w:val="Heading2"/>
      </w:pPr>
      <w:r>
        <w:t xml:space="preserve">78.8 Arquitetura</w:t>
      </w:r>
    </w:p>
    <w:p>
      <w:pPr>
        <w:pStyle w:val="FirstParagraph"/>
      </w:pPr>
      <w:r>
        <w:t xml:space="preserve">A API poderá separar conceitualmente:</w:t>
      </w:r>
    </w:p>
    <w:p>
      <w:pPr>
        <w:pStyle w:val="SourceCode"/>
      </w:pPr>
      <w:r>
        <w:rPr>
          <w:rStyle w:val="VerbatimChar"/>
        </w:rPr>
        <w:t xml:space="preserve">GET /api/v1/catalog/*</w:t>
      </w:r>
    </w:p>
    <w:p>
      <w:pPr>
        <w:pStyle w:val="FirstParagraph"/>
      </w:pPr>
      <w:r>
        <w:t xml:space="preserve">para operações públicas de leitura.</w:t>
      </w:r>
    </w:p>
    <w:p>
      <w:pPr>
        <w:pStyle w:val="BodyText"/>
      </w:pPr>
      <w:r>
        <w:t xml:space="preserve">Operações administrativas continuarão protegidas:</w:t>
      </w:r>
    </w:p>
    <w:p>
      <w:pPr>
        <w:pStyle w:val="SourceCode"/>
      </w:pPr>
      <w:r>
        <w:rPr>
          <w:rStyle w:val="VerbatimChar"/>
        </w:rPr>
        <w:t xml:space="preserve">POST   /api/v1/catalog-requests</w:t>
      </w:r>
    </w:p>
    <w:p>
      <w:pPr>
        <w:pStyle w:val="FirstParagraph"/>
      </w:pPr>
      <w:r>
        <w:t xml:space="preserve">para usuários autenticados e:</w:t>
      </w:r>
    </w:p>
    <w:p>
      <w:pPr>
        <w:pStyle w:val="SourceCode"/>
      </w:pPr>
      <w:r>
        <w:rPr>
          <w:rStyle w:val="VerbatimChar"/>
        </w:rPr>
        <w:t xml:space="preserve">POST /api/v1/admin/catalog/...</w:t>
      </w:r>
      <w:r>
        <w:br/>
      </w:r>
      <w:r>
        <w:rPr>
          <w:rStyle w:val="VerbatimChar"/>
        </w:rPr>
        <w:t xml:space="preserve">PATCH /api/v1/admin/catalog/...</w:t>
      </w:r>
    </w:p>
    <w:p>
      <w:pPr>
        <w:pStyle w:val="FirstParagraph"/>
      </w:pPr>
      <w:r>
        <w:t xml:space="preserve">para usuários autorizados.</w:t>
      </w:r>
    </w:p>
    <w:p>
      <w:r>
        <w:pict>
          <v:rect style="width:0;height:1.5pt" o:hralign="center" o:hrstd="t" o:hr="t"/>
        </w:pict>
      </w:r>
    </w:p>
    <w:bookmarkEnd w:id="17"/>
    <w:bookmarkStart w:id="18" w:name="frontend"/>
    <w:p>
      <w:pPr>
        <w:pStyle w:val="Heading2"/>
      </w:pPr>
      <w:r>
        <w:t xml:space="preserve">78.9 Frontend</w:t>
      </w:r>
    </w:p>
    <w:p>
      <w:pPr>
        <w:pStyle w:val="FirstParagraph"/>
      </w:pPr>
      <w:r>
        <w:t xml:space="preserve">A estrutura será: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(public)/</w:t>
      </w:r>
      <w:r>
        <w:br/>
      </w:r>
      <w:r>
        <w:rPr>
          <w:rStyle w:val="VerbatimChar"/>
        </w:rPr>
        <w:t xml:space="preserve">│   └── catalog/</w:t>
      </w:r>
      <w:r>
        <w:br/>
      </w:r>
      <w:r>
        <w:rPr>
          <w:rStyle w:val="VerbatimChar"/>
        </w:rPr>
        <w:t xml:space="preserve">│       ├── page.tsx</w:t>
      </w:r>
      <w:r>
        <w:br/>
      </w:r>
      <w:r>
        <w:rPr>
          <w:rStyle w:val="VerbatimChar"/>
        </w:rPr>
        <w:t xml:space="preserve">│       ├── search/</w:t>
      </w:r>
      <w:r>
        <w:br/>
      </w:r>
      <w:r>
        <w:rPr>
          <w:rStyle w:val="VerbatimChar"/>
        </w:rPr>
        <w:t xml:space="preserve">│       └── variations/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(auth)/</w:t>
      </w:r>
      <w:r>
        <w:br/>
      </w:r>
      <w:r>
        <w:rPr>
          <w:rStyle w:val="VerbatimChar"/>
        </w:rPr>
        <w:t xml:space="preserve">│   ├── login/</w:t>
      </w:r>
      <w:r>
        <w:br/>
      </w:r>
      <w:r>
        <w:rPr>
          <w:rStyle w:val="VerbatimChar"/>
        </w:rPr>
        <w:t xml:space="preserve">│   └── register/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(app)/</w:t>
      </w:r>
      <w:r>
        <w:br/>
      </w:r>
      <w:r>
        <w:rPr>
          <w:rStyle w:val="VerbatimChar"/>
        </w:rPr>
        <w:t xml:space="preserve">    └── app/</w:t>
      </w:r>
      <w:r>
        <w:br/>
      </w:r>
      <w:r>
        <w:rPr>
          <w:rStyle w:val="VerbatimChar"/>
        </w:rPr>
        <w:t xml:space="preserve">        ├── collection/</w:t>
      </w:r>
      <w:r>
        <w:br/>
      </w:r>
      <w:r>
        <w:rPr>
          <w:rStyle w:val="VerbatimChar"/>
        </w:rPr>
        <w:t xml:space="preserve">        ├── wishlist/</w:t>
      </w:r>
      <w:r>
        <w:br/>
      </w:r>
      <w:r>
        <w:rPr>
          <w:rStyle w:val="VerbatimChar"/>
        </w:rPr>
        <w:t xml:space="preserve">        ├── locations/</w:t>
      </w:r>
      <w:r>
        <w:br/>
      </w:r>
      <w:r>
        <w:rPr>
          <w:rStyle w:val="VerbatimChar"/>
        </w:rPr>
        <w:t xml:space="preserve">        └── ...</w:t>
      </w:r>
    </w:p>
    <w:p>
      <w:pPr>
        <w:pStyle w:val="FirstParagraph"/>
      </w:pPr>
      <w:r>
        <w:t xml:space="preserve">O catálogo público não deverá depender do contexto de autenticação.</w:t>
      </w:r>
    </w:p>
    <w:p>
      <w:r>
        <w:pict>
          <v:rect style="width:0;height:1.5pt" o:hralign="center" o:hrstd="t" o:hr="t"/>
        </w:pict>
      </w:r>
    </w:p>
    <w:bookmarkEnd w:id="18"/>
    <w:bookmarkStart w:id="20" w:name="decisão-final"/>
    <w:p>
      <w:pPr>
        <w:pStyle w:val="Heading2"/>
      </w:pPr>
      <w:r>
        <w:t xml:space="preserve">78.10 Decisão final</w:t>
      </w:r>
    </w:p>
    <w:p>
      <w:pPr>
        <w:pStyle w:val="FirstParagraph"/>
      </w:pPr>
      <w:r>
        <w:rPr>
          <w:b/>
          <w:bCs/>
        </w:rPr>
        <w:t xml:space="preserve">DECISÃO CAT-01</w:t>
      </w:r>
    </w:p>
    <w:p>
      <w:pPr>
        <w:pStyle w:val="BlockText"/>
      </w:pPr>
      <w:r>
        <w:t xml:space="preserve">O catálogo oficial do MiniHub Car será público, somente leitura para visitantes e otimizado para descoberta e compartilhamento.</w:t>
      </w:r>
    </w:p>
    <w:p>
      <w:pPr>
        <w:pStyle w:val="FirstParagraph"/>
      </w:pPr>
      <w:r>
        <w:rPr>
          <w:b/>
          <w:bCs/>
        </w:rPr>
        <w:t xml:space="preserve">DECISÃO CAT-02</w:t>
      </w:r>
    </w:p>
    <w:p>
      <w:pPr>
        <w:pStyle w:val="BlockText"/>
      </w:pPr>
      <w:r>
        <w:t xml:space="preserve">Operações pessoais exigirão autenticação.</w:t>
      </w:r>
    </w:p>
    <w:p>
      <w:pPr>
        <w:pStyle w:val="FirstParagraph"/>
      </w:pPr>
      <w:r>
        <w:rPr>
          <w:b/>
          <w:bCs/>
        </w:rPr>
        <w:t xml:space="preserve">DECISÃO CAT-03</w:t>
      </w:r>
    </w:p>
    <w:p>
      <w:pPr>
        <w:pStyle w:val="BlockText"/>
      </w:pPr>
      <w:r>
        <w:t xml:space="preserve">Alterações no catálogo oficial serão realizadas somente por usuários administrativos autorizados.</w:t>
      </w:r>
    </w:p>
    <w:p>
      <w:pPr>
        <w:pStyle w:val="FirstParagraph"/>
      </w:pPr>
      <w:r>
        <w:rPr>
          <w:b/>
          <w:bCs/>
        </w:rPr>
        <w:t xml:space="preserve">DECISÃO CAT-04</w:t>
      </w:r>
    </w:p>
    <w:p>
      <w:pPr>
        <w:pStyle w:val="BlockText"/>
      </w:pPr>
      <w:r>
        <w:t xml:space="preserve">Usuários comuns poderão propor inclusões ou correções através do mecanismo de solicitações de catálogo.</w:t>
      </w:r>
    </w:p>
    <w:p>
      <w:pPr>
        <w:pStyle w:val="FirstParagraph"/>
      </w:pPr>
      <w:r>
        <w:rPr>
          <w:b/>
          <w:bCs/>
        </w:rPr>
        <w:t xml:space="preserve">DECISÃO CAT-05</w:t>
      </w:r>
    </w:p>
    <w:p>
      <w:pPr>
        <w:pStyle w:val="BlockText"/>
      </w:pPr>
      <w:r>
        <w:t xml:space="preserve">As páginas públicas de variações deverão ser preparadas para SEO e compartilhamento.</w:t>
      </w:r>
    </w:p>
    <w:p>
      <w:pPr>
        <w:pStyle w:val="FirstParagraph"/>
      </w:pPr>
      <w:r>
        <w:rPr>
          <w:b/>
          <w:bCs/>
        </w:rPr>
        <w:t xml:space="preserve">DECISÃO CAT-06</w:t>
      </w:r>
    </w:p>
    <w:p>
      <w:pPr>
        <w:pStyle w:val="BlockText"/>
      </w:pPr>
      <w:r>
        <w:t xml:space="preserve">A API pública deverá utilizar DTOs específicos, evitando exposição direta das entidades ou dados internos do banco.</w:t>
      </w:r>
    </w:p>
    <w:p>
      <w:pPr>
        <w:pStyle w:val="FirstParagraph"/>
      </w:pPr>
      <w:r>
        <w:rPr>
          <w:b/>
          <w:bCs/>
        </w:rPr>
        <w:t xml:space="preserve">DECISÃO CAT-07</w:t>
      </w:r>
    </w:p>
    <w:p>
      <w:pPr>
        <w:pStyle w:val="BlockText"/>
      </w:pPr>
      <w:r>
        <w:t xml:space="preserve">A identidade da variação deverá possuir URL estável e independente de alterações de nome ou descrição.</w:t>
      </w:r>
    </w:p>
    <w:p>
      <w:r>
        <w:pict>
          <v:rect style="width:0;height:1.5pt" o:hralign="center" o:hrstd="t" o:hr="t"/>
        </w:pict>
      </w:r>
    </w:p>
    <w:bookmarkStart w:id="19" w:name="impacto-nos-próximos-documentos"/>
    <w:p>
      <w:pPr>
        <w:pStyle w:val="Heading3"/>
      </w:pPr>
      <w:r>
        <w:t xml:space="preserve">Impacto nos próximos documentos</w:t>
      </w:r>
    </w:p>
    <w:p>
      <w:pPr>
        <w:pStyle w:val="FirstParagraph"/>
      </w:pPr>
      <w:r>
        <w:t xml:space="preserve">Esta decisão passa a ser considerada</w:t>
      </w:r>
      <w:r>
        <w:t xml:space="preserve"> </w:t>
      </w:r>
      <w:r>
        <w:rPr>
          <w:b/>
          <w:bCs/>
        </w:rPr>
        <w:t xml:space="preserve">arquitetural</w:t>
      </w:r>
      <w:r>
        <w:t xml:space="preserve">, portanto deverá ser refletida nos próximos documentos: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8.1 — API:</w:t>
      </w:r>
      <w:r>
        <w:t xml:space="preserve"> </w:t>
      </w:r>
      <w:r>
        <w:t xml:space="preserve">endpoints públicos de catálogo;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8.2 — Segurança:</w:t>
      </w:r>
      <w:r>
        <w:t xml:space="preserve"> </w:t>
      </w:r>
      <w:r>
        <w:t xml:space="preserve">autorização pública × autenticada;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9.0 — Frontend:</w:t>
      </w:r>
      <w:r>
        <w:t xml:space="preserve"> </w:t>
      </w:r>
      <w:r>
        <w:t xml:space="preserve">separação entre área pública e privada;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9.2 — Next.js:</w:t>
      </w:r>
      <w:r>
        <w:t xml:space="preserve"> </w:t>
      </w:r>
      <w:r>
        <w:t xml:space="preserve">rotas públicas e estratégias de cache;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9.3 — Primeiras telas:</w:t>
      </w:r>
      <w:r>
        <w:t xml:space="preserve"> </w:t>
      </w:r>
      <w:r>
        <w:t xml:space="preserve">catálogo sem necessidade de login;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9.5 — Backend:</w:t>
      </w:r>
      <w:r>
        <w:t xml:space="preserve"> </w:t>
      </w:r>
      <w:r>
        <w:t xml:space="preserve">implementação dos endpoints públicos;</w:t>
      </w:r>
    </w:p>
    <w:p>
      <w:pPr>
        <w:pStyle w:val="Compact"/>
        <w:numPr>
          <w:ilvl w:val="0"/>
          <w:numId w:val="1005"/>
        </w:numPr>
      </w:pPr>
      <w:r>
        <w:t xml:space="preserve">futuramente,</w:t>
      </w:r>
      <w:r>
        <w:t xml:space="preserve"> </w:t>
      </w:r>
      <w:r>
        <w:rPr>
          <w:b/>
          <w:bCs/>
        </w:rPr>
        <w:t xml:space="preserve">SEO técnico e conteúdo estruturado</w:t>
      </w:r>
      <w:r>
        <w:t xml:space="preserve">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