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5188e19255ccd6771288234c3db268e08b744e"/>
    <w:p>
      <w:pPr>
        <w:pStyle w:val="Heading1"/>
      </w:pPr>
      <w:r>
        <w:t xml:space="preserve">10.20.2 — PLANO DE CONTAS OPERACIONAL E MATRIZ DE LANÇAMENTOS FINANCEIROS</w:t>
      </w:r>
    </w:p>
    <w:p>
      <w:pPr>
        <w:pStyle w:val="FirstParagraph"/>
      </w:pPr>
      <w:r>
        <w:rPr>
          <w:b/>
          <w:bCs/>
        </w:rPr>
        <w:t xml:space="preserve">Epic:</w:t>
      </w:r>
      <w:r>
        <w:t xml:space="preserve"> </w:t>
      </w:r>
      <w:r>
        <w:t xml:space="preserve">E13 — Financeiro Comercial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10.20.2 — Especificação Financeira Operacional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Formalizar o plano de contas operacional inicial do MiniHub Car e definir, de forma inequívoca, quais contas serão movimentadas por cada evento financeiro.</w:t>
      </w:r>
    </w:p>
    <w:p>
      <w:pPr>
        <w:pStyle w:val="BodyText"/>
      </w:pPr>
      <w:r>
        <w:t xml:space="preserve">Este documento complementa o documento 10.20.1 — Ledger Financeiro Operacional.</w:t>
      </w:r>
    </w:p>
    <w:p>
      <w:pPr>
        <w:pStyle w:val="BodyText"/>
      </w:pPr>
      <w:r>
        <w:t xml:space="preserve">A partir deste documento, o desenvolvimento deverá saber:</w:t>
      </w:r>
    </w:p>
    <w:p>
      <w:pPr>
        <w:pStyle w:val="Compact"/>
        <w:numPr>
          <w:ilvl w:val="0"/>
          <w:numId w:val="1001"/>
        </w:numPr>
      </w:pPr>
      <w:r>
        <w:t xml:space="preserve">qual conta representa cada valor;</w:t>
      </w:r>
    </w:p>
    <w:p>
      <w:pPr>
        <w:pStyle w:val="Compact"/>
        <w:numPr>
          <w:ilvl w:val="0"/>
          <w:numId w:val="1001"/>
        </w:numPr>
      </w:pPr>
      <w:r>
        <w:t xml:space="preserve">qual é a natureza da conta;</w:t>
      </w:r>
    </w:p>
    <w:p>
      <w:pPr>
        <w:pStyle w:val="Compact"/>
        <w:numPr>
          <w:ilvl w:val="0"/>
          <w:numId w:val="1001"/>
        </w:numPr>
      </w:pPr>
      <w:r>
        <w:t xml:space="preserve">qual é o proprietário;</w:t>
      </w:r>
    </w:p>
    <w:p>
      <w:pPr>
        <w:pStyle w:val="Compact"/>
        <w:numPr>
          <w:ilvl w:val="0"/>
          <w:numId w:val="1001"/>
        </w:numPr>
      </w:pPr>
      <w:r>
        <w:t xml:space="preserve">quando uma conta recebe débito;</w:t>
      </w:r>
    </w:p>
    <w:p>
      <w:pPr>
        <w:pStyle w:val="Compact"/>
        <w:numPr>
          <w:ilvl w:val="0"/>
          <w:numId w:val="1001"/>
        </w:numPr>
      </w:pPr>
      <w:r>
        <w:t xml:space="preserve">quando recebe crédito;</w:t>
      </w:r>
    </w:p>
    <w:p>
      <w:pPr>
        <w:pStyle w:val="Compact"/>
        <w:numPr>
          <w:ilvl w:val="0"/>
          <w:numId w:val="1001"/>
        </w:numPr>
      </w:pPr>
      <w:r>
        <w:t xml:space="preserve">qual evento gera cada lançamento;</w:t>
      </w:r>
    </w:p>
    <w:p>
      <w:pPr>
        <w:pStyle w:val="Compact"/>
        <w:numPr>
          <w:ilvl w:val="0"/>
          <w:numId w:val="1001"/>
        </w:numPr>
      </w:pPr>
      <w:r>
        <w:t xml:space="preserve">como o saldo é calculado;</w:t>
      </w:r>
    </w:p>
    <w:p>
      <w:pPr>
        <w:pStyle w:val="Compact"/>
        <w:numPr>
          <w:ilvl w:val="0"/>
          <w:numId w:val="1001"/>
        </w:numPr>
      </w:pPr>
      <w:r>
        <w:t xml:space="preserve">como refunds e chargebacks afetam o Seller;</w:t>
      </w:r>
    </w:p>
    <w:p>
      <w:pPr>
        <w:pStyle w:val="Compact"/>
        <w:numPr>
          <w:ilvl w:val="0"/>
          <w:numId w:val="1001"/>
        </w:numPr>
      </w:pPr>
      <w:r>
        <w:t xml:space="preserve">como ocorre o settlement;</w:t>
      </w:r>
    </w:p>
    <w:p>
      <w:pPr>
        <w:pStyle w:val="Compact"/>
        <w:numPr>
          <w:ilvl w:val="0"/>
          <w:numId w:val="1001"/>
        </w:numPr>
      </w:pPr>
      <w:r>
        <w:t xml:space="preserve">como ocorre a reconciliação.</w:t>
      </w:r>
    </w:p>
    <w:p>
      <w:r>
        <w:pict>
          <v:rect style="width:0;height:1.5pt" o:hralign="center" o:hrstd="t" o:hr="t"/>
        </w:pict>
      </w:r>
    </w:p>
    <w:bookmarkEnd w:id="10"/>
    <w:bookmarkStart w:id="11" w:name="regra-fundamental"/>
    <w:p>
      <w:pPr>
        <w:pStyle w:val="Heading1"/>
      </w:pPr>
      <w:r>
        <w:t xml:space="preserve">2. Regra Fundamental</w:t>
      </w:r>
    </w:p>
    <w:p>
      <w:pPr>
        <w:pStyle w:val="FirstParagraph"/>
      </w:pPr>
      <w:r>
        <w:t xml:space="preserve">A semântica oficial do MiniHub será:</w:t>
      </w:r>
    </w:p>
    <w:p>
      <w:pPr>
        <w:pStyle w:val="BlockText"/>
      </w:pPr>
      <w:r>
        <w:rPr>
          <w:b/>
          <w:bCs/>
        </w:rPr>
        <w:t xml:space="preserve">Débito e Crédito não representam entrada ou saída de dinheiro.</w:t>
      </w:r>
    </w:p>
    <w:p>
      <w:pPr>
        <w:pStyle w:val="FirstParagraph"/>
      </w:pPr>
      <w:r>
        <w:t xml:space="preserve">Representam os dois lados de uma operação de dupla entrada.</w:t>
      </w:r>
    </w:p>
    <w:p>
      <w:pPr>
        <w:pStyle w:val="BodyText"/>
      </w:pPr>
      <w:r>
        <w:t xml:space="preserve">O efeito sobre o saldo dependerá da natureza da conta.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SAÍDA DE DINHEIRO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ENTRADA DE DINHEIRO</w:t>
      </w:r>
    </w:p>
    <w:p>
      <w:r>
        <w:pict>
          <v:rect style="width:0;height:1.5pt" o:hralign="center" o:hrstd="t" o:hr="t"/>
        </w:pict>
      </w:r>
    </w:p>
    <w:bookmarkEnd w:id="11"/>
    <w:bookmarkStart w:id="14" w:name="natureza-das-contas"/>
    <w:p>
      <w:pPr>
        <w:pStyle w:val="Heading1"/>
      </w:pPr>
      <w:r>
        <w:t xml:space="preserve">3. Natureza das Contas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LEDGER_ACCOUNT</w:t>
      </w:r>
      <w:r>
        <w:t xml:space="preserve"> </w:t>
      </w:r>
      <w:r>
        <w:t xml:space="preserve">deverá possuir:</w:t>
      </w:r>
    </w:p>
    <w:p>
      <w:pPr>
        <w:pStyle w:val="SourceCode"/>
      </w:pPr>
      <w:r>
        <w:rPr>
          <w:rStyle w:val="VerbatimChar"/>
        </w:rPr>
        <w:t xml:space="preserve">account_type</w:t>
      </w:r>
      <w:r>
        <w:br/>
      </w:r>
      <w:r>
        <w:rPr>
          <w:rStyle w:val="VerbatimChar"/>
        </w:rPr>
        <w:t xml:space="preserve">normal_balance</w:t>
      </w:r>
    </w:p>
    <w:p>
      <w:pPr>
        <w:pStyle w:val="FirstParagraph"/>
      </w:pPr>
      <w:r>
        <w:t xml:space="preserve">Valores possíveis para</w:t>
      </w:r>
      <w:r>
        <w:t xml:space="preserve"> </w:t>
      </w:r>
      <w:r>
        <w:rPr>
          <w:rStyle w:val="VerbatimChar"/>
        </w:rPr>
        <w:t xml:space="preserve">normal_balance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Regra:</w:t>
      </w:r>
    </w:p>
    <w:bookmarkStart w:id="12" w:name="conta-de-natureza-debit"/>
    <w:p>
      <w:pPr>
        <w:pStyle w:val="Heading3"/>
      </w:pPr>
      <w:r>
        <w:t xml:space="preserve">Conta de natureza DEBIT</w:t>
      </w:r>
    </w:p>
    <w:p>
      <w:pPr>
        <w:pStyle w:val="SourceCode"/>
      </w:pPr>
      <w:r>
        <w:rPr>
          <w:rStyle w:val="VerbatimChar"/>
        </w:rPr>
        <w:t xml:space="preserve">SALDO =</w:t>
      </w:r>
      <w:r>
        <w:br/>
      </w:r>
      <w:r>
        <w:rPr>
          <w:rStyle w:val="VerbatimChar"/>
        </w:rPr>
        <w:t xml:space="preserve">TOTAL DEBIT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TOTAL CREDIT</w:t>
      </w:r>
    </w:p>
    <w:bookmarkEnd w:id="12"/>
    <w:bookmarkStart w:id="13" w:name="conta-de-natureza-credit"/>
    <w:p>
      <w:pPr>
        <w:pStyle w:val="Heading3"/>
      </w:pPr>
      <w:r>
        <w:t xml:space="preserve">Conta de natureza CREDIT</w:t>
      </w:r>
    </w:p>
    <w:p>
      <w:pPr>
        <w:pStyle w:val="SourceCode"/>
      </w:pPr>
      <w:r>
        <w:rPr>
          <w:rStyle w:val="VerbatimChar"/>
        </w:rPr>
        <w:t xml:space="preserve">SALDO =</w:t>
      </w:r>
      <w:r>
        <w:br/>
      </w:r>
      <w:r>
        <w:rPr>
          <w:rStyle w:val="VerbatimChar"/>
        </w:rPr>
        <w:t xml:space="preserve">TOTAL CREDIT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TOTAL DEBIT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ipos-e-naturezas"/>
    <w:p>
      <w:pPr>
        <w:pStyle w:val="Heading1"/>
      </w:pPr>
      <w:r>
        <w:t xml:space="preserve">4. Tipos e Naturezas</w:t>
      </w:r>
    </w:p>
    <w:p>
      <w:pPr>
        <w:pStyle w:val="FirstParagraph"/>
      </w:pPr>
      <w:r>
        <w:t xml:space="preserve">Plano inicial: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Natureza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RECEIVABLE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CLEARING_ASSET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PAYABLE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ADJUSTMENT</w:t>
            </w:r>
          </w:p>
        </w:tc>
        <w:tc>
          <w:tcPr/>
          <w:p>
            <w:pPr>
              <w:pStyle w:val="Compact"/>
            </w:pPr>
            <w:r>
              <w:t xml:space="preserve">definida conforme a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definida conforme a finalidade</w:t>
            </w:r>
          </w:p>
        </w:tc>
      </w:tr>
    </w:tbl>
    <w:p>
      <w:pPr>
        <w:pStyle w:val="BodyText"/>
      </w:pPr>
      <w:r>
        <w:t xml:space="preserve">A natureza deverá ser atributo da conta, e não uma regra espalhada pelo código.</w:t>
      </w:r>
    </w:p>
    <w:p>
      <w:r>
        <w:pict>
          <v:rect style="width:0;height:1.5pt" o:hralign="center" o:hrstd="t" o:hr="t"/>
        </w:pict>
      </w:r>
    </w:p>
    <w:bookmarkEnd w:id="15"/>
    <w:bookmarkStart w:id="16" w:name="plano-de-contas-operacional-inicial"/>
    <w:p>
      <w:pPr>
        <w:pStyle w:val="Heading1"/>
      </w:pPr>
      <w:r>
        <w:t xml:space="preserve">5. Plano de Contas Operacional Inicial</w:t>
      </w:r>
    </w:p>
    <w:p>
      <w:pPr>
        <w:pStyle w:val="FirstParagraph"/>
      </w:pPr>
      <w:r>
        <w:t xml:space="preserve">O plano inicial será:</w:t>
      </w:r>
    </w:p>
    <w:p>
      <w:pPr>
        <w:pStyle w:val="SourceCode"/>
      </w:pPr>
      <w:r>
        <w:rPr>
          <w:rStyle w:val="VerbatimChar"/>
        </w:rPr>
        <w:t xml:space="preserve">1000 — MINIHUB_CLEARING</w:t>
      </w:r>
      <w:r>
        <w:br/>
      </w:r>
      <w:r>
        <w:rPr>
          <w:rStyle w:val="VerbatimChar"/>
        </w:rPr>
        <w:t xml:space="preserve">1100 — PAYMENT_PROVIDER_RECEIVABLE</w:t>
      </w:r>
      <w:r>
        <w:br/>
      </w:r>
      <w:r>
        <w:rPr>
          <w:rStyle w:val="VerbatimChar"/>
        </w:rPr>
        <w:t xml:space="preserve">2000 — SELLER_PAYABLE</w:t>
      </w:r>
      <w:r>
        <w:br/>
      </w:r>
      <w:r>
        <w:rPr>
          <w:rStyle w:val="VerbatimChar"/>
        </w:rPr>
        <w:t xml:space="preserve">2100 — SELLER_HOLD</w:t>
      </w:r>
      <w:r>
        <w:br/>
      </w:r>
      <w:r>
        <w:rPr>
          <w:rStyle w:val="VerbatimChar"/>
        </w:rPr>
        <w:t xml:space="preserve">3000 — MINIHUB_COMMISSION</w:t>
      </w:r>
      <w:r>
        <w:br/>
      </w:r>
      <w:r>
        <w:rPr>
          <w:rStyle w:val="VerbatimChar"/>
        </w:rPr>
        <w:t xml:space="preserve">3100 — MINIHUB_FEES</w:t>
      </w:r>
      <w:r>
        <w:br/>
      </w:r>
      <w:r>
        <w:rPr>
          <w:rStyle w:val="VerbatimChar"/>
        </w:rPr>
        <w:t xml:space="preserve">4000 — REFUND_CLEARING</w:t>
      </w:r>
      <w:r>
        <w:br/>
      </w:r>
      <w:r>
        <w:rPr>
          <w:rStyle w:val="VerbatimChar"/>
        </w:rPr>
        <w:t xml:space="preserve">4100 — CHARGEBACK_CLEARING</w:t>
      </w:r>
      <w:r>
        <w:br/>
      </w:r>
      <w:r>
        <w:rPr>
          <w:rStyle w:val="VerbatimChar"/>
        </w:rPr>
        <w:t xml:space="preserve">5000 — SETTLEMENT_CLEARING</w:t>
      </w:r>
      <w:r>
        <w:br/>
      </w:r>
      <w:r>
        <w:rPr>
          <w:rStyle w:val="VerbatimChar"/>
        </w:rPr>
        <w:t xml:space="preserve">6000 — FINANCIAL_ADJUSTMENT</w:t>
      </w:r>
    </w:p>
    <w:p>
      <w:pPr>
        <w:pStyle w:val="FirstParagraph"/>
      </w:pPr>
      <w:r>
        <w:t xml:space="preserve">Esses códigos são operacionais e não representam plano contábil.</w:t>
      </w:r>
    </w:p>
    <w:p>
      <w:r>
        <w:pict>
          <v:rect style="width:0;height:1.5pt" o:hralign="center" o:hrstd="t" o:hr="t"/>
        </w:pict>
      </w:r>
    </w:p>
    <w:bookmarkEnd w:id="16"/>
    <w:bookmarkStart w:id="17" w:name="minihub_clearing"/>
    <w:p>
      <w:pPr>
        <w:pStyle w:val="Heading1"/>
      </w:pPr>
      <w:r>
        <w:t xml:space="preserve">6. 1000 — MINIHUB_CLEARING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CLEARING_ASSET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Finalidade:</w:t>
      </w:r>
    </w:p>
    <w:p>
      <w:pPr>
        <w:pStyle w:val="BodyText"/>
      </w:pPr>
      <w:r>
        <w:t xml:space="preserve">Representar valores sob controle operacional do MiniHub durante determinada etapa do fluxo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MINIHUB_CLEARING</w:t>
      </w:r>
    </w:p>
    <w:p>
      <w:pPr>
        <w:pStyle w:val="FirstParagraph"/>
      </w:pPr>
      <w:r>
        <w:t xml:space="preserve">A conta não significa necessariamente uma conta bancária real.</w:t>
      </w:r>
    </w:p>
    <w:p>
      <w:r>
        <w:pict>
          <v:rect style="width:0;height:1.5pt" o:hralign="center" o:hrstd="t" o:hr="t"/>
        </w:pict>
      </w:r>
    </w:p>
    <w:bookmarkEnd w:id="17"/>
    <w:bookmarkStart w:id="18" w:name="payment_provider_receivable"/>
    <w:p>
      <w:pPr>
        <w:pStyle w:val="Heading1"/>
      </w:pPr>
      <w:r>
        <w:t xml:space="preserve">7. 1100 — PAYMENT_PROVIDER_RECEIVABLE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RECEIVABLE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Representa valores que o Payment Provider reconhece como devidos/liquidáveis para 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 aprovou R$ 500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Provider Receivable</w:t>
      </w:r>
      <w:r>
        <w:br/>
      </w:r>
      <w:r>
        <w:rPr>
          <w:rStyle w:val="VerbatimChar"/>
        </w:rPr>
        <w:t xml:space="preserve">        R$ 500</w:t>
      </w:r>
    </w:p>
    <w:p>
      <w:pPr>
        <w:pStyle w:val="FirstParagraph"/>
      </w:pPr>
      <w:r>
        <w:t xml:space="preserve">Essa conta será importante para reconciliação.</w:t>
      </w:r>
    </w:p>
    <w:p>
      <w:r>
        <w:pict>
          <v:rect style="width:0;height:1.5pt" o:hralign="center" o:hrstd="t" o:hr="t"/>
        </w:pict>
      </w:r>
    </w:p>
    <w:bookmarkEnd w:id="18"/>
    <w:bookmarkStart w:id="19" w:name="seller_payable"/>
    <w:p>
      <w:pPr>
        <w:pStyle w:val="Heading1"/>
      </w:pPr>
      <w:r>
        <w:t xml:space="preserve">8. 2000 — SELLER_PAYABLE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PAYABLE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Representa a obrigação operacional do MiniHub perante o Seller.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Crédito aumenta a obrigação:</w:t>
      </w:r>
    </w:p>
    <w:p>
      <w:pPr>
        <w:pStyle w:val="SourceCode"/>
      </w:pPr>
      <w:r>
        <w:rPr>
          <w:rStyle w:val="VerbatimChar"/>
        </w:rPr>
        <w:t xml:space="preserve">CREDIT +450</w:t>
      </w:r>
    </w:p>
    <w:p>
      <w:pPr>
        <w:pStyle w:val="FirstParagraph"/>
      </w:pPr>
      <w:r>
        <w:t xml:space="preserve">Débito reduz a obrigação:</w:t>
      </w:r>
    </w:p>
    <w:p>
      <w:pPr>
        <w:pStyle w:val="SourceCode"/>
      </w:pPr>
      <w:r>
        <w:rPr>
          <w:rStyle w:val="VerbatimChar"/>
        </w:rPr>
        <w:t xml:space="preserve">DEBIT -450</w:t>
      </w:r>
    </w:p>
    <w:p>
      <w:r>
        <w:pict>
          <v:rect style="width:0;height:1.5pt" o:hralign="center" o:hrstd="t" o:hr="t"/>
        </w:pict>
      </w:r>
    </w:p>
    <w:bookmarkEnd w:id="19"/>
    <w:bookmarkStart w:id="20" w:name="seller_hold"/>
    <w:p>
      <w:pPr>
        <w:pStyle w:val="Heading1"/>
      </w:pPr>
      <w:r>
        <w:t xml:space="preserve">9. 2100 — SELLER_HOLD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LIABILITY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Representa valores do Seller que estão sujeitos a retenção operacional.</w:t>
      </w:r>
    </w:p>
    <w:p>
      <w:pPr>
        <w:pStyle w:val="BodyText"/>
      </w:pPr>
      <w:r>
        <w:t xml:space="preserve">Importante:</w:t>
      </w:r>
    </w:p>
    <w:p>
      <w:pPr>
        <w:pStyle w:val="BlockText"/>
      </w:pPr>
      <w:r>
        <w:rPr>
          <w:rStyle w:val="VerbatimChar"/>
        </w:rPr>
        <w:t xml:space="preserve">HELD</w:t>
      </w:r>
      <w:r>
        <w:t xml:space="preserve"> </w:t>
      </w:r>
      <w:r>
        <w:t xml:space="preserve">não significa necessariamente um dinheiro diferente.</w:t>
      </w:r>
    </w:p>
    <w:p>
      <w:pPr>
        <w:pStyle w:val="FirstParagraph"/>
      </w:pPr>
      <w:r>
        <w:t xml:space="preserve">É uma classificação financeira operacional vinculada às regras de disponibilidade.</w:t>
      </w:r>
    </w:p>
    <w:p>
      <w:pPr>
        <w:pStyle w:val="BodyText"/>
      </w:pPr>
      <w:r>
        <w:t xml:space="preserve">A implementação deverá evitar dupla contagem entre:</w:t>
      </w:r>
    </w:p>
    <w:p>
      <w:pPr>
        <w:pStyle w:val="SourceCode"/>
      </w:pPr>
      <w:r>
        <w:rPr>
          <w:rStyle w:val="VerbatimChar"/>
        </w:rPr>
        <w:t xml:space="preserve">SELLER_PAYABLE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SELLER_HOLD</w:t>
      </w:r>
    </w:p>
    <w:p>
      <w:pPr>
        <w:pStyle w:val="FirstParagraph"/>
      </w:pPr>
      <w:r>
        <w:t xml:space="preserve">A modelagem definitiva deverá definir se o Hold será uma conta real de reclassificação ou uma projeção derivada.</w:t>
      </w:r>
    </w:p>
    <w:p>
      <w:pPr>
        <w:pStyle w:val="BodyText"/>
      </w:pPr>
      <w:r>
        <w:rPr>
          <w:b/>
          <w:bCs/>
        </w:rPr>
        <w:t xml:space="preserve">Decisão inicial recomendada:</w:t>
      </w:r>
    </w:p>
    <w:p>
      <w:pPr>
        <w:pStyle w:val="SourceCode"/>
      </w:pPr>
      <w:r>
        <w:rPr>
          <w:rStyle w:val="VerbatimChar"/>
        </w:rPr>
        <w:t xml:space="preserve">SELLER_HOLD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conta de reclassificação</w:t>
      </w:r>
    </w:p>
    <w:p>
      <w:pPr>
        <w:pStyle w:val="FirstParagraph"/>
      </w:pPr>
      <w:r>
        <w:t xml:space="preserve">quando houver necessidade de representar contabilmente no subledger a parcela retida.</w:t>
      </w:r>
    </w:p>
    <w:p>
      <w:r>
        <w:pict>
          <v:rect style="width:0;height:1.5pt" o:hralign="center" o:hrstd="t" o:hr="t"/>
        </w:pict>
      </w:r>
    </w:p>
    <w:bookmarkEnd w:id="20"/>
    <w:bookmarkStart w:id="21" w:name="minihub_commission"/>
    <w:p>
      <w:pPr>
        <w:pStyle w:val="Heading1"/>
      </w:pPr>
      <w:r>
        <w:t xml:space="preserve">10. 3000 — MINIHUB_COMMISSION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REVENUE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Representa a comissão operacional pertencente ao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Venda: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Comissão:</w:t>
      </w:r>
      <w:r>
        <w:br/>
      </w: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Lançamento:</w:t>
      </w:r>
    </w:p>
    <w:p>
      <w:pPr>
        <w:pStyle w:val="SourceCode"/>
      </w:pPr>
      <w:r>
        <w:rPr>
          <w:rStyle w:val="VerbatimChar"/>
        </w:rPr>
        <w:t xml:space="preserve">CREDIT MINIHUB_COMMISSION</w:t>
      </w:r>
      <w:r>
        <w:br/>
      </w:r>
      <w:r>
        <w:rPr>
          <w:rStyle w:val="VerbatimChar"/>
        </w:rPr>
        <w:t xml:space="preserve">R$ 50</w:t>
      </w:r>
    </w:p>
    <w:p>
      <w:r>
        <w:pict>
          <v:rect style="width:0;height:1.5pt" o:hralign="center" o:hrstd="t" o:hr="t"/>
        </w:pict>
      </w:r>
    </w:p>
    <w:bookmarkEnd w:id="21"/>
    <w:bookmarkStart w:id="22" w:name="minihub_fees"/>
    <w:p>
      <w:pPr>
        <w:pStyle w:val="Heading1"/>
      </w:pPr>
      <w:r>
        <w:t xml:space="preserve">11. 3100 — MINIHUB_FEES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REVENUE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Representa taxas cobradas pelo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Taxa:</w:t>
      </w:r>
      <w:r>
        <w:br/>
      </w:r>
      <w:r>
        <w:rPr>
          <w:rStyle w:val="VerbatimChar"/>
        </w:rPr>
        <w:t xml:space="preserve">R$ 20</w:t>
      </w:r>
    </w:p>
    <w:p>
      <w:pPr>
        <w:pStyle w:val="FirstParagraph"/>
      </w:pPr>
      <w:r>
        <w:t xml:space="preserve">Lançamento:</w:t>
      </w:r>
    </w:p>
    <w:p>
      <w:pPr>
        <w:pStyle w:val="SourceCode"/>
      </w:pPr>
      <w:r>
        <w:rPr>
          <w:rStyle w:val="VerbatimChar"/>
        </w:rPr>
        <w:t xml:space="preserve">CREDIT MINIHUB_FEES</w:t>
      </w:r>
      <w:r>
        <w:br/>
      </w:r>
      <w:r>
        <w:rPr>
          <w:rStyle w:val="VerbatimChar"/>
        </w:rPr>
        <w:t xml:space="preserve">R$ 20</w:t>
      </w:r>
    </w:p>
    <w:p>
      <w:r>
        <w:pict>
          <v:rect style="width:0;height:1.5pt" o:hralign="center" o:hrstd="t" o:hr="t"/>
        </w:pict>
      </w:r>
    </w:p>
    <w:bookmarkEnd w:id="22"/>
    <w:bookmarkStart w:id="23" w:name="refund_clearing"/>
    <w:p>
      <w:pPr>
        <w:pStyle w:val="Heading1"/>
      </w:pPr>
      <w:r>
        <w:t xml:space="preserve">12. 4000 — REFUND_CLEARING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CLEARING_ASSET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Conta utilizada para representar o efeito operacional de refunds durante o processo de devolução de valores.</w:t>
      </w:r>
    </w:p>
    <w:p>
      <w:r>
        <w:pict>
          <v:rect style="width:0;height:1.5pt" o:hralign="center" o:hrstd="t" o:hr="t"/>
        </w:pict>
      </w:r>
    </w:p>
    <w:bookmarkEnd w:id="23"/>
    <w:bookmarkStart w:id="24" w:name="chargeback_clearing"/>
    <w:p>
      <w:pPr>
        <w:pStyle w:val="Heading1"/>
      </w:pPr>
      <w:r>
        <w:t xml:space="preserve">13. 4100 — CHARGEBACK_CLEARING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CLEARING_ASSET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Utilizada para representar o efeito operacional do chargeback e permitir reconciliação com o provider.</w:t>
      </w:r>
    </w:p>
    <w:p>
      <w:r>
        <w:pict>
          <v:rect style="width:0;height:1.5pt" o:hralign="center" o:hrstd="t" o:hr="t"/>
        </w:pict>
      </w:r>
    </w:p>
    <w:bookmarkEnd w:id="24"/>
    <w:bookmarkStart w:id="25" w:name="settlement_clearing"/>
    <w:p>
      <w:pPr>
        <w:pStyle w:val="Heading1"/>
      </w:pPr>
      <w:r>
        <w:t xml:space="preserve">14. 5000 — SETTLEMENT_CLEARING</w:t>
      </w:r>
    </w:p>
    <w:p>
      <w:pPr>
        <w:pStyle w:val="FirstParagraph"/>
      </w:pPr>
      <w:r>
        <w:rPr>
          <w:b/>
          <w:bCs/>
        </w:rPr>
        <w:t xml:space="preserve">Tipo:</w:t>
      </w:r>
    </w:p>
    <w:p>
      <w:pPr>
        <w:pStyle w:val="SourceCode"/>
      </w:pPr>
      <w:r>
        <w:rPr>
          <w:rStyle w:val="VerbatimChar"/>
        </w:rPr>
        <w:t xml:space="preserve">CLEARING_ASSET</w:t>
      </w:r>
    </w:p>
    <w:p>
      <w:pPr>
        <w:pStyle w:val="FirstParagraph"/>
      </w:pPr>
      <w:r>
        <w:rPr>
          <w:b/>
          <w:bCs/>
        </w:rP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Representa valores em processo de liquidação/repasse.</w:t>
      </w:r>
    </w:p>
    <w:p>
      <w:pPr>
        <w:pStyle w:val="BodyText"/>
      </w:pPr>
      <w:r>
        <w:t xml:space="preserve">Não deverá ser interpretada como:</w:t>
      </w:r>
    </w:p>
    <w:p>
      <w:pPr>
        <w:pStyle w:val="SourceCode"/>
      </w:pPr>
      <w:r>
        <w:rPr>
          <w:rStyle w:val="VerbatimChar"/>
        </w:rPr>
        <w:t xml:space="preserve">Seller recebeu</w:t>
      </w:r>
    </w:p>
    <w:p>
      <w:pPr>
        <w:pStyle w:val="FirstParagraph"/>
      </w:pPr>
      <w:r>
        <w:t xml:space="preserve">até que o provider confirme o pagamento.</w:t>
      </w:r>
    </w:p>
    <w:p>
      <w:r>
        <w:pict>
          <v:rect style="width:0;height:1.5pt" o:hralign="center" o:hrstd="t" o:hr="t"/>
        </w:pict>
      </w:r>
    </w:p>
    <w:bookmarkEnd w:id="25"/>
    <w:bookmarkStart w:id="26" w:name="financial_adjustment"/>
    <w:p>
      <w:pPr>
        <w:pStyle w:val="Heading1"/>
      </w:pPr>
      <w:r>
        <w:t xml:space="preserve">15. 6000 — FINANCIAL_ADJUSTMENT</w:t>
      </w:r>
    </w:p>
    <w:p>
      <w:pPr>
        <w:pStyle w:val="FirstParagraph"/>
      </w:pPr>
      <w:r>
        <w:t xml:space="preserve">Essa conta deverá ser utilizada somente por processos de ajuste autorizados.</w:t>
      </w:r>
    </w:p>
    <w:p>
      <w:pPr>
        <w:pStyle w:val="BodyText"/>
      </w:pPr>
      <w:r>
        <w:t xml:space="preserve">Não deverá existir uma regra genérica de:</w:t>
      </w:r>
    </w:p>
    <w:p>
      <w:pPr>
        <w:pStyle w:val="SourceCode"/>
      </w:pPr>
      <w:r>
        <w:rPr>
          <w:rStyle w:val="VerbatimChar"/>
        </w:rPr>
        <w:t xml:space="preserve">"adicionar dinheiro ao Seller"</w:t>
      </w:r>
    </w:p>
    <w:p>
      <w:pPr>
        <w:pStyle w:val="FirstParagraph"/>
      </w:pPr>
      <w:r>
        <w:t xml:space="preserve">sem justificativa e referência.</w:t>
      </w:r>
    </w:p>
    <w:p>
      <w:pPr>
        <w:pStyle w:val="BodyText"/>
      </w:pPr>
      <w:r>
        <w:t xml:space="preserve">Todo ajuste deverá possuir:</w:t>
      </w:r>
    </w:p>
    <w:p>
      <w:pPr>
        <w:pStyle w:val="SourceCode"/>
      </w:pP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authorized_by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 auditoria.</w:t>
      </w:r>
    </w:p>
    <w:p>
      <w:r>
        <w:pict>
          <v:rect style="width:0;height:1.5pt" o:hralign="center" o:hrstd="t" o:hr="t"/>
        </w:pict>
      </w:r>
    </w:p>
    <w:bookmarkEnd w:id="26"/>
    <w:bookmarkStart w:id="27" w:name="proprietários"/>
    <w:p>
      <w:pPr>
        <w:pStyle w:val="Heading1"/>
      </w:pPr>
      <w:r>
        <w:t xml:space="preserve">16. Proprietários</w:t>
      </w:r>
    </w:p>
    <w:p>
      <w:pPr>
        <w:pStyle w:val="FirstParagraph"/>
      </w:pPr>
      <w:r>
        <w:t xml:space="preserve">As contas poderão pertencer a: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owner_type = MINIHUB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owner_type = SELLER</w:t>
      </w:r>
      <w:r>
        <w:br/>
      </w:r>
      <w:r>
        <w:rPr>
          <w:rStyle w:val="VerbatimChar"/>
        </w:rPr>
        <w:t xml:space="preserve">owner_id = seller_uuid</w:t>
      </w:r>
    </w:p>
    <w:p>
      <w:r>
        <w:pict>
          <v:rect style="width:0;height:1.5pt" o:hralign="center" o:hrstd="t" o:hr="t"/>
        </w:pict>
      </w:r>
    </w:p>
    <w:bookmarkEnd w:id="27"/>
    <w:bookmarkStart w:id="28" w:name="regra-de-segregação"/>
    <w:p>
      <w:pPr>
        <w:pStyle w:val="Heading1"/>
      </w:pPr>
      <w:r>
        <w:t xml:space="preserve">17. Regra de Segregação</w:t>
      </w:r>
    </w:p>
    <w:p>
      <w:pPr>
        <w:pStyle w:val="FirstParagraph"/>
      </w:pPr>
      <w:r>
        <w:t xml:space="preserve">Nunca utilizar uma única conta de Seller para representar todos os vendedores.</w:t>
      </w:r>
    </w:p>
    <w:p>
      <w:pPr>
        <w:pStyle w:val="BodyText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R$ 100.000</w:t>
      </w:r>
    </w:p>
    <w:p>
      <w:pPr>
        <w:pStyle w:val="FirstParagraph"/>
      </w:pPr>
      <w:r>
        <w:t xml:space="preserve">sem identificar a quem pertence.</w:t>
      </w:r>
    </w:p>
    <w:p>
      <w:pPr>
        <w:pStyle w:val="BodyText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SELLER_PAYABLE = R$ 450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 SELLER_PAYABLE = R$ 720</w:t>
      </w:r>
      <w:r>
        <w:br/>
      </w:r>
      <w:r>
        <w:br/>
      </w:r>
      <w:r>
        <w:rPr>
          <w:rStyle w:val="VerbatimChar"/>
        </w:rPr>
        <w:t xml:space="preserve">SELLER C</w:t>
      </w:r>
      <w:r>
        <w:br/>
      </w:r>
      <w:r>
        <w:rPr>
          <w:rStyle w:val="VerbatimChar"/>
        </w:rPr>
        <w:t xml:space="preserve">  SELLER_PAYABLE = R$ 310</w:t>
      </w:r>
    </w:p>
    <w:p>
      <w:r>
        <w:pict>
          <v:rect style="width:0;height:1.5pt" o:hralign="center" o:hrstd="t" o:hr="t"/>
        </w:pict>
      </w:r>
    </w:p>
    <w:bookmarkEnd w:id="28"/>
    <w:bookmarkStart w:id="29" w:name="evento-payment-approved"/>
    <w:p>
      <w:pPr>
        <w:pStyle w:val="Heading1"/>
      </w:pPr>
      <w:r>
        <w:t xml:space="preserve">18. Evento — Payment Approved</w:t>
      </w:r>
    </w:p>
    <w:p>
      <w:pPr>
        <w:pStyle w:val="FirstParagraph"/>
      </w:pPr>
      <w:r>
        <w:t xml:space="preserve">Venda: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Pagamento aprovado: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Considerando inicialmente que o valor passa a ser reconhecido como recebível perante o provider: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PAYMENT_PROVIDER_RECEIVABLE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FINANCIAL_CLEARING_SOURCE</w:t>
      </w:r>
      <w:r>
        <w:br/>
      </w: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O lado de origem deverá ser definido de acordo com a modelagem definitiva do Payment Provider.</w:t>
      </w:r>
    </w:p>
    <w:p>
      <w:pPr>
        <w:pStyle w:val="BodyText"/>
      </w:pPr>
      <w:r>
        <w:t xml:space="preserve">O ponto obrigatório é:</w:t>
      </w:r>
    </w:p>
    <w:p>
      <w:pPr>
        <w:pStyle w:val="SourceCode"/>
      </w:pPr>
      <w:r>
        <w:rPr>
          <w:rStyle w:val="VerbatimChar"/>
        </w:rPr>
        <w:t xml:space="preserve">DEBIT = CREDIT</w:t>
      </w:r>
    </w:p>
    <w:p>
      <w:r>
        <w:pict>
          <v:rect style="width:0;height:1.5pt" o:hralign="center" o:hrstd="t" o:hr="t"/>
        </w:pict>
      </w:r>
    </w:p>
    <w:bookmarkEnd w:id="29"/>
    <w:bookmarkStart w:id="30" w:name="evento-reconhecimento-da-venda"/>
    <w:p>
      <w:pPr>
        <w:pStyle w:val="Heading1"/>
      </w:pPr>
      <w:r>
        <w:t xml:space="preserve">19. Evento — Reconhecimento da Venda</w:t>
      </w:r>
    </w:p>
    <w:p>
      <w:pPr>
        <w:pStyle w:val="FirstParagraph"/>
      </w:pPr>
      <w:r>
        <w:t xml:space="preserve">Venda: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Comissão:</w:t>
      </w:r>
    </w:p>
    <w:p>
      <w:pPr>
        <w:pStyle w:val="SourceCode"/>
      </w:pP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Valor Seller:</w:t>
      </w:r>
    </w:p>
    <w:p>
      <w:pPr>
        <w:pStyle w:val="SourceCode"/>
      </w:pP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O efeito econômico deverá resultar em: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recebível/clearing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R$ 450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Equilíbrio:</w:t>
      </w:r>
    </w:p>
    <w:p>
      <w:pPr>
        <w:pStyle w:val="SourceCode"/>
      </w:pPr>
      <w:r>
        <w:rPr>
          <w:rStyle w:val="VerbatimChar"/>
        </w:rPr>
        <w:t xml:space="preserve">Débitos: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Créditos:</w:t>
      </w:r>
      <w:r>
        <w:br/>
      </w:r>
      <w:r>
        <w:rPr>
          <w:rStyle w:val="VerbatimChar"/>
        </w:rPr>
        <w:t xml:space="preserve">450 + 50 = 500</w:t>
      </w:r>
    </w:p>
    <w:p>
      <w:r>
        <w:pict>
          <v:rect style="width:0;height:1.5pt" o:hralign="center" o:hrstd="t" o:hr="t"/>
        </w:pict>
      </w:r>
    </w:p>
    <w:bookmarkEnd w:id="30"/>
    <w:bookmarkStart w:id="31" w:name="regra-importante"/>
    <w:p>
      <w:pPr>
        <w:pStyle w:val="Heading1"/>
      </w:pPr>
      <w:r>
        <w:t xml:space="preserve">20. Regra Importante</w:t>
      </w:r>
    </w:p>
    <w:p>
      <w:pPr>
        <w:pStyle w:val="FirstParagraph"/>
      </w:pPr>
      <w:r>
        <w:t xml:space="preserve">A implementação não deverá necessariamente criar uma única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 </w:t>
      </w:r>
      <w:r>
        <w:t xml:space="preserve">para todo o ciclo do Payment.</w:t>
      </w:r>
    </w:p>
    <w:p>
      <w:pPr>
        <w:pStyle w:val="BodyText"/>
      </w:pPr>
      <w:r>
        <w:t xml:space="preserve">Deverá separar fatos financeiros distintos.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é diferente de:</w:t>
      </w:r>
    </w:p>
    <w:p>
      <w:pPr>
        <w:pStyle w:val="SourceCode"/>
      </w:pPr>
      <w:r>
        <w:rPr>
          <w:rStyle w:val="VerbatimChar"/>
        </w:rPr>
        <w:t xml:space="preserve">SELLER_OBLIGATION_RECOGNIZED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SELLER_SETTLEMENT_PAID</w:t>
      </w:r>
    </w:p>
    <w:p>
      <w:pPr>
        <w:pStyle w:val="FirstParagraph"/>
      </w:pPr>
      <w:r>
        <w:t xml:space="preserve">Cada fato deverá possuir sua própria referência e idempotência.</w:t>
      </w:r>
    </w:p>
    <w:p>
      <w:r>
        <w:pict>
          <v:rect style="width:0;height:1.5pt" o:hralign="center" o:hrstd="t" o:hr="t"/>
        </w:pict>
      </w:r>
    </w:p>
    <w:bookmarkEnd w:id="31"/>
    <w:bookmarkStart w:id="32" w:name="evento-comissão"/>
    <w:p>
      <w:pPr>
        <w:pStyle w:val="Heading1"/>
      </w:pPr>
      <w:r>
        <w:t xml:space="preserve">21. Evento — Comissão</w:t>
      </w:r>
    </w:p>
    <w:p>
      <w:pPr>
        <w:pStyle w:val="FirstParagraph"/>
      </w:pPr>
      <w:r>
        <w:t xml:space="preserve">Quando a comissão for reconhecida:</w:t>
      </w:r>
    </w:p>
    <w:p>
      <w:pPr>
        <w:pStyle w:val="SourceCode"/>
      </w:pPr>
      <w:r>
        <w:rPr>
          <w:rStyle w:val="VerbatimChar"/>
        </w:rPr>
        <w:t xml:space="preserve">MINIHUB_COMMISSION</w:t>
      </w:r>
    </w:p>
    <w:p>
      <w:pPr>
        <w:pStyle w:val="FirstParagraph"/>
      </w:pPr>
      <w:r>
        <w:t xml:space="preserve">receberá: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A comissão não deverá ser confundida com:</w:t>
      </w:r>
    </w:p>
    <w:p>
      <w:pPr>
        <w:pStyle w:val="SourceCode"/>
      </w:pPr>
      <w:r>
        <w:rPr>
          <w:rStyle w:val="VerbatimChar"/>
        </w:rPr>
        <w:t xml:space="preserve">payment fee</w:t>
      </w:r>
      <w:r>
        <w:br/>
      </w:r>
      <w:r>
        <w:rPr>
          <w:rStyle w:val="VerbatimChar"/>
        </w:rPr>
        <w:t xml:space="preserve">provider fee</w:t>
      </w:r>
      <w:r>
        <w:br/>
      </w:r>
      <w:r>
        <w:rPr>
          <w:rStyle w:val="VerbatimChar"/>
        </w:rPr>
        <w:t xml:space="preserve">seller fee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Cada natureza deverá possuir sua própria referência.</w:t>
      </w:r>
    </w:p>
    <w:p>
      <w:r>
        <w:pict>
          <v:rect style="width:0;height:1.5pt" o:hralign="center" o:hrstd="t" o:hr="t"/>
        </w:pict>
      </w:r>
    </w:p>
    <w:bookmarkEnd w:id="32"/>
    <w:bookmarkStart w:id="33" w:name="evento-refund-antes-do-settlement"/>
    <w:p>
      <w:pPr>
        <w:pStyle w:val="Heading1"/>
      </w:pPr>
      <w:r>
        <w:t xml:space="preserve">22. Evento — Refund Antes do Settlement</w:t>
      </w:r>
    </w:p>
    <w:p>
      <w:pPr>
        <w:pStyle w:val="FirstParagraph"/>
      </w:pPr>
      <w:r>
        <w:t xml:space="preserve">Venda: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Seller:</w:t>
      </w:r>
    </w:p>
    <w:p>
      <w:pPr>
        <w:pStyle w:val="SourceCode"/>
      </w:pP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Refund:</w:t>
      </w:r>
    </w:p>
    <w:p>
      <w:pPr>
        <w:pStyle w:val="SourceCode"/>
      </w:pP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A operação original permanece intacta.</w:t>
      </w:r>
    </w:p>
    <w:p>
      <w:pPr>
        <w:pStyle w:val="BodyText"/>
      </w:pPr>
      <w:r>
        <w:t xml:space="preserve">É criada uma nova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.</w:t>
      </w:r>
    </w:p>
    <w:p>
      <w:pPr>
        <w:pStyle w:val="BodyText"/>
      </w:pPr>
      <w:r>
        <w:t xml:space="preserve">O efeito deverá reduzir:</w:t>
      </w:r>
    </w:p>
    <w:p>
      <w:pPr>
        <w:pStyle w:val="SourceCode"/>
      </w:pPr>
      <w:r>
        <w:rPr>
          <w:rStyle w:val="VerbatimChar"/>
        </w:rPr>
        <w:t xml:space="preserve">valor recebido/reconhecido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obrigação correspondente</w:t>
      </w:r>
    </w:p>
    <w:p>
      <w:pPr>
        <w:pStyle w:val="FirstParagraph"/>
      </w:pPr>
      <w:r>
        <w:t xml:space="preserve">conforme a política de distribuição da comissão.</w:t>
      </w:r>
    </w:p>
    <w:p>
      <w:pPr>
        <w:pStyle w:val="BodyText"/>
      </w:pPr>
      <w:r>
        <w:t xml:space="preserve">Se o refund reduzir proporcionalmente o valor do Seller: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R$ 90</w:t>
      </w:r>
      <w:r>
        <w:br/>
      </w:r>
      <w:r>
        <w:br/>
      </w: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R$ 10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REFUND_CLEARING / RECEIVABLE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Seller:</w:t>
      </w:r>
      <w:r>
        <w:br/>
      </w:r>
      <w:r>
        <w:rPr>
          <w:rStyle w:val="VerbatimChar"/>
        </w:rPr>
        <w:t xml:space="preserve">450 → 360</w:t>
      </w:r>
      <w:r>
        <w:br/>
      </w:r>
      <w:r>
        <w:br/>
      </w:r>
      <w:r>
        <w:rPr>
          <w:rStyle w:val="VerbatimChar"/>
        </w:rPr>
        <w:t xml:space="preserve">MiniHub Commission:</w:t>
      </w:r>
      <w:r>
        <w:br/>
      </w:r>
      <w:r>
        <w:rPr>
          <w:rStyle w:val="VerbatimChar"/>
        </w:rPr>
        <w:t xml:space="preserve">50 → 40</w:t>
      </w:r>
    </w:p>
    <w:p>
      <w:pPr>
        <w:pStyle w:val="FirstParagraph"/>
      </w:pPr>
      <w:r>
        <w:t xml:space="preserve">Essa é a regra recomendada para refund proporcional.</w:t>
      </w:r>
    </w:p>
    <w:p>
      <w:r>
        <w:pict>
          <v:rect style="width:0;height:1.5pt" o:hralign="center" o:hrstd="t" o:hr="t"/>
        </w:pict>
      </w:r>
    </w:p>
    <w:bookmarkEnd w:id="33"/>
    <w:bookmarkStart w:id="34" w:name="política-de-comissão-no-refund"/>
    <w:p>
      <w:pPr>
        <w:pStyle w:val="Heading1"/>
      </w:pPr>
      <w:r>
        <w:t xml:space="preserve">23. Política de Comissão no Refund</w:t>
      </w:r>
    </w:p>
    <w:p>
      <w:pPr>
        <w:pStyle w:val="FirstParagraph"/>
      </w:pPr>
      <w:r>
        <w:t xml:space="preserve">A plataforma deverá possuir uma configuração explícita:</w:t>
      </w:r>
    </w:p>
    <w:p>
      <w:pPr>
        <w:pStyle w:val="SourceCode"/>
      </w:pPr>
      <w:r>
        <w:rPr>
          <w:rStyle w:val="VerbatimChar"/>
        </w:rPr>
        <w:t xml:space="preserve">REFUND_COMMISSION_POLICY</w:t>
      </w:r>
    </w:p>
    <w:p>
      <w:pPr>
        <w:pStyle w:val="FirstParagraph"/>
      </w:pPr>
      <w:r>
        <w:t xml:space="preserve">Opções futuras:</w:t>
      </w:r>
    </w:p>
    <w:p>
      <w:pPr>
        <w:pStyle w:val="SourceCode"/>
      </w:pPr>
      <w:r>
        <w:rPr>
          <w:rStyle w:val="VerbatimChar"/>
        </w:rPr>
        <w:t xml:space="preserve">FULL_REVERSAL</w:t>
      </w:r>
      <w:r>
        <w:br/>
      </w:r>
      <w:r>
        <w:rPr>
          <w:rStyle w:val="VerbatimChar"/>
        </w:rPr>
        <w:t xml:space="preserve">PROPORTIONAL_REVERSAL</w:t>
      </w:r>
      <w:r>
        <w:br/>
      </w:r>
      <w:r>
        <w:rPr>
          <w:rStyle w:val="VerbatimChar"/>
        </w:rPr>
        <w:t xml:space="preserve">NO_REVERSAL</w:t>
      </w:r>
    </w:p>
    <w:p>
      <w:pPr>
        <w:pStyle w:val="FirstParagraph"/>
      </w:pPr>
      <w:r>
        <w:t xml:space="preserve">Para o MVP financeiro:</w:t>
      </w:r>
    </w:p>
    <w:p>
      <w:pPr>
        <w:pStyle w:val="SourceCode"/>
      </w:pPr>
      <w:r>
        <w:rPr>
          <w:rStyle w:val="VerbatimChar"/>
        </w:rPr>
        <w:t xml:space="preserve">PROPORTIONAL_REVERSAL</w:t>
      </w:r>
    </w:p>
    <w:p>
      <w:pPr>
        <w:pStyle w:val="FirstParagraph"/>
      </w:pPr>
      <w:r>
        <w:t xml:space="preserve">é a recomendação inicial.</w:t>
      </w:r>
    </w:p>
    <w:p>
      <w:r>
        <w:pict>
          <v:rect style="width:0;height:1.5pt" o:hralign="center" o:hrstd="t" o:hr="t"/>
        </w:pict>
      </w:r>
    </w:p>
    <w:bookmarkEnd w:id="34"/>
    <w:bookmarkStart w:id="35" w:name="refund-depois-do-settlement"/>
    <w:p>
      <w:pPr>
        <w:pStyle w:val="Heading1"/>
      </w:pPr>
      <w:r>
        <w:t xml:space="preserve">24. Refund Depois do Settlement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Venda: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Seller:</w:t>
      </w:r>
      <w:r>
        <w:br/>
      </w:r>
      <w:r>
        <w:rPr>
          <w:rStyle w:val="VerbatimChar"/>
        </w:rPr>
        <w:t xml:space="preserve">450</w:t>
      </w:r>
      <w:r>
        <w:br/>
      </w:r>
      <w:r>
        <w:br/>
      </w:r>
      <w:r>
        <w:rPr>
          <w:rStyle w:val="VerbatimChar"/>
        </w:rPr>
        <w:t xml:space="preserve">Settlement:</w:t>
      </w:r>
      <w:r>
        <w:br/>
      </w:r>
      <w:r>
        <w:rPr>
          <w:rStyle w:val="VerbatimChar"/>
        </w:rPr>
        <w:t xml:space="preserve">450</w:t>
      </w:r>
      <w:r>
        <w:br/>
      </w:r>
      <w:r>
        <w:br/>
      </w:r>
      <w:r>
        <w:rPr>
          <w:rStyle w:val="VerbatimChar"/>
        </w:rPr>
        <w:t xml:space="preserve">Refund:</w:t>
      </w:r>
      <w:r>
        <w:br/>
      </w: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O histórico do settlement permanece:</w:t>
      </w:r>
    </w:p>
    <w:p>
      <w:pPr>
        <w:pStyle w:val="SourceCode"/>
      </w:pP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450</w:t>
      </w:r>
    </w:p>
    <w:p>
      <w:pPr>
        <w:pStyle w:val="FirstParagraph"/>
      </w:pPr>
      <w:r>
        <w:t xml:space="preserve">O refund não altera retroativamente o settlement.</w:t>
      </w:r>
    </w:p>
    <w:p>
      <w:pPr>
        <w:pStyle w:val="BodyText"/>
      </w:pPr>
      <w:r>
        <w:t xml:space="preserve">Será criado novo efeito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SELLER_RECEIVABLE / SELLER_RECOVERY</w:t>
      </w:r>
      <w:r>
        <w:br/>
      </w:r>
      <w:r>
        <w:rPr>
          <w:rStyle w:val="VerbatimChar"/>
        </w:rPr>
        <w:t xml:space="preserve">R$ 90</w:t>
      </w:r>
      <w:r>
        <w:br/>
      </w:r>
      <w:r>
        <w:br/>
      </w: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R$ 10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REFUND_CLEARING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A conta</w:t>
      </w:r>
      <w:r>
        <w:t xml:space="preserve"> </w:t>
      </w:r>
      <w:r>
        <w:rPr>
          <w:rStyle w:val="VerbatimChar"/>
        </w:rPr>
        <w:t xml:space="preserve">SELLER_RECOVERY</w:t>
      </w:r>
      <w:r>
        <w:t xml:space="preserve"> </w:t>
      </w:r>
      <w:r>
        <w:t xml:space="preserve">deverá ser criada formalmente caso essa política seja adotada.</w:t>
      </w:r>
    </w:p>
    <w:p>
      <w:r>
        <w:pict>
          <v:rect style="width:0;height:1.5pt" o:hralign="center" o:hrstd="t" o:hr="t"/>
        </w:pict>
      </w:r>
    </w:p>
    <w:bookmarkEnd w:id="35"/>
    <w:bookmarkStart w:id="36" w:name="nova-conta-recomendada-seller_recovery"/>
    <w:p>
      <w:pPr>
        <w:pStyle w:val="Heading1"/>
      </w:pPr>
      <w:r>
        <w:t xml:space="preserve">25. Nova Conta Recomendada — SELLER_RECOVERY</w:t>
      </w:r>
    </w:p>
    <w:p>
      <w:pPr>
        <w:pStyle w:val="FirstParagraph"/>
      </w:pPr>
      <w:r>
        <w:t xml:space="preserve">Para evitar distorção do</w:t>
      </w:r>
      <w:r>
        <w:t xml:space="preserve"> </w:t>
      </w:r>
      <w:r>
        <w:rPr>
          <w:rStyle w:val="VerbatimChar"/>
        </w:rPr>
        <w:t xml:space="preserve">SELLER_PAYABLE</w:t>
      </w:r>
      <w:r>
        <w:t xml:space="preserve">, recomenda-se criar:</w:t>
      </w:r>
    </w:p>
    <w:p>
      <w:pPr>
        <w:pStyle w:val="SourceCode"/>
      </w:pPr>
      <w:r>
        <w:rPr>
          <w:rStyle w:val="VerbatimChar"/>
        </w:rPr>
        <w:t xml:space="preserve">2200 — SELLER_RECOVERY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VerbatimChar"/>
        </w:rPr>
        <w:t xml:space="preserve">RECEIVABLE</w:t>
      </w:r>
    </w:p>
    <w:p>
      <w:pPr>
        <w:pStyle w:val="FirstParagraph"/>
      </w:pPr>
      <w: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Finalidade:</w:t>
      </w:r>
    </w:p>
    <w:p>
      <w:pPr>
        <w:pStyle w:val="BodyText"/>
      </w:pPr>
      <w:r>
        <w:t xml:space="preserve">Representar valores que o Seller deverá devolver/reembolsar ao MiniHub após já ter recebido o settlement.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recebeu:</w:t>
      </w:r>
      <w:r>
        <w:br/>
      </w:r>
      <w:r>
        <w:rPr>
          <w:rStyle w:val="VerbatimChar"/>
        </w:rPr>
        <w:t xml:space="preserve">R$ 450</w:t>
      </w:r>
      <w:r>
        <w:br/>
      </w:r>
      <w:r>
        <w:br/>
      </w:r>
      <w:r>
        <w:rPr>
          <w:rStyle w:val="VerbatimChar"/>
        </w:rPr>
        <w:t xml:space="preserve">Refund posterior:</w:t>
      </w:r>
      <w:r>
        <w:br/>
      </w:r>
      <w:r>
        <w:rPr>
          <w:rStyle w:val="VerbatimChar"/>
        </w:rPr>
        <w:t xml:space="preserve">R$ 90</w:t>
      </w:r>
      <w:r>
        <w:br/>
      </w:r>
      <w:r>
        <w:br/>
      </w:r>
      <w:r>
        <w:rPr>
          <w:rStyle w:val="VerbatimChar"/>
        </w:rPr>
        <w:t xml:space="preserve">SELLER_RECOVERY:</w:t>
      </w:r>
      <w:r>
        <w:br/>
      </w:r>
      <w:r>
        <w:rPr>
          <w:rStyle w:val="VerbatimChar"/>
        </w:rPr>
        <w:t xml:space="preserve">R$ 90</w:t>
      </w:r>
    </w:p>
    <w:p>
      <w:r>
        <w:pict>
          <v:rect style="width:0;height:1.5pt" o:hralign="center" o:hrstd="t" o:hr="t"/>
        </w:pict>
      </w:r>
    </w:p>
    <w:bookmarkEnd w:id="36"/>
    <w:bookmarkStart w:id="37" w:name="evento-chargeback-antes-do-settlement"/>
    <w:p>
      <w:pPr>
        <w:pStyle w:val="Heading1"/>
      </w:pPr>
      <w:r>
        <w:t xml:space="preserve">26. Evento — Chargeback Antes do Settlement</w:t>
      </w:r>
    </w:p>
    <w:p>
      <w:pPr>
        <w:pStyle w:val="FirstParagraph"/>
      </w:pPr>
      <w:r>
        <w:t xml:space="preserve">Venda: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Seller ainda não recebeu.</w:t>
      </w:r>
    </w:p>
    <w:p>
      <w:pPr>
        <w:pStyle w:val="BodyText"/>
      </w:pPr>
      <w:r>
        <w:t xml:space="preserve">Chargeback: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O valor do Seller deverá deixar de estar disponível.</w:t>
      </w:r>
    </w:p>
    <w:p>
      <w:pPr>
        <w:pStyle w:val="BodyText"/>
      </w:pPr>
      <w:r>
        <w:t xml:space="preserve">Dependendo do estágio, poderá ocorrer: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SELLER_HOLD</w:t>
      </w:r>
    </w:p>
    <w:p>
      <w:pPr>
        <w:pStyle w:val="FirstParagraph"/>
      </w:pPr>
      <w:r>
        <w:t xml:space="preserve">e posteriormente o efeito definitivo do chargeback.</w:t>
      </w:r>
    </w:p>
    <w:p>
      <w:pPr>
        <w:pStyle w:val="BodyText"/>
      </w:pPr>
      <w:r>
        <w:t xml:space="preserve">A regra de negócio deverá impedir settlement de valores atingidos pelo chargeback.</w:t>
      </w:r>
    </w:p>
    <w:p>
      <w:r>
        <w:pict>
          <v:rect style="width:0;height:1.5pt" o:hralign="center" o:hrstd="t" o:hr="t"/>
        </w:pict>
      </w:r>
    </w:p>
    <w:bookmarkEnd w:id="37"/>
    <w:bookmarkStart w:id="38" w:name="evento-chargeback-depois-do-settlement"/>
    <w:p>
      <w:pPr>
        <w:pStyle w:val="Heading1"/>
      </w:pPr>
      <w:r>
        <w:t xml:space="preserve">27. Evento — Chargeback Depois do Settlement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Seller Settlement:</w:t>
      </w:r>
      <w:r>
        <w:br/>
      </w:r>
      <w:r>
        <w:rPr>
          <w:rStyle w:val="VerbatimChar"/>
        </w:rPr>
        <w:t xml:space="preserve">R$ 450</w:t>
      </w:r>
      <w:r>
        <w:br/>
      </w:r>
      <w:r>
        <w:rPr>
          <w:rStyle w:val="VerbatimChar"/>
        </w:rPr>
        <w:t xml:space="preserve">PAID</w:t>
      </w:r>
      <w:r>
        <w:br/>
      </w:r>
      <w:r>
        <w:br/>
      </w:r>
      <w:r>
        <w:rPr>
          <w:rStyle w:val="VerbatimChar"/>
        </w:rPr>
        <w:t xml:space="preserve">Chargeback:</w:t>
      </w:r>
      <w:r>
        <w:br/>
      </w: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Não alterar:</w:t>
      </w:r>
    </w:p>
    <w:p>
      <w:pPr>
        <w:pStyle w:val="SourceCode"/>
      </w:pPr>
      <w:r>
        <w:rPr>
          <w:rStyle w:val="VerbatimChar"/>
        </w:rPr>
        <w:t xml:space="preserve">Settlement PAID</w:t>
      </w:r>
    </w:p>
    <w:p>
      <w:pPr>
        <w:pStyle w:val="FirstParagraph"/>
      </w:pPr>
      <w:r>
        <w:t xml:space="preserve">Criar novo fato financeiro:</w:t>
      </w:r>
    </w:p>
    <w:p>
      <w:pPr>
        <w:pStyle w:val="SourceCode"/>
      </w:pPr>
      <w:r>
        <w:rPr>
          <w:rStyle w:val="VerbatimChar"/>
        </w:rPr>
        <w:t xml:space="preserve">SELLER_RECOVERY</w:t>
      </w:r>
      <w:r>
        <w:br/>
      </w: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e tratar eventual diferença conforme a política comercial.</w:t>
      </w:r>
    </w:p>
    <w:p>
      <w:r>
        <w:pict>
          <v:rect style="width:0;height:1.5pt" o:hralign="center" o:hrstd="t" o:hr="t"/>
        </w:pict>
      </w:r>
    </w:p>
    <w:bookmarkEnd w:id="38"/>
    <w:bookmarkStart w:id="39" w:name="evento-seller-hold"/>
    <w:p>
      <w:pPr>
        <w:pStyle w:val="Heading1"/>
      </w:pPr>
      <w:r>
        <w:t xml:space="preserve">28. Evento — Seller Hold</w:t>
      </w:r>
    </w:p>
    <w:p>
      <w:pPr>
        <w:pStyle w:val="FirstParagraph"/>
      </w:pPr>
      <w:r>
        <w:t xml:space="preserve">Quando R$ 100 forem colocados em retenção: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poderá ocorrer uma reclassificação: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R$ 100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SELLER_HOLD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O total devido ao Seller permanece:</w:t>
      </w:r>
    </w:p>
    <w:p>
      <w:pPr>
        <w:pStyle w:val="SourceCode"/>
      </w:pP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mas sua disponibilidade muda.</w:t>
      </w:r>
    </w:p>
    <w:p>
      <w:r>
        <w:pict>
          <v:rect style="width:0;height:1.5pt" o:hralign="center" o:hrstd="t" o:hr="t"/>
        </w:pict>
      </w:r>
    </w:p>
    <w:bookmarkEnd w:id="39"/>
    <w:bookmarkStart w:id="40" w:name="evento-release-de-hold"/>
    <w:p>
      <w:pPr>
        <w:pStyle w:val="Heading1"/>
      </w:pPr>
      <w:r>
        <w:t xml:space="preserve">29. Evento — Release de Hold</w:t>
      </w:r>
    </w:p>
    <w:p>
      <w:pPr>
        <w:pStyle w:val="FirstParagraph"/>
      </w:pPr>
      <w:r>
        <w:t xml:space="preserve">Quando o valor for liberado: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SELLER_HOLD</w:t>
      </w:r>
      <w:r>
        <w:br/>
      </w:r>
      <w:r>
        <w:rPr>
          <w:rStyle w:val="VerbatimChar"/>
        </w:rPr>
        <w:t xml:space="preserve">R$ 100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O valor volta à classificação normal de obrigação disponível conforme as regras de elegibilidade.</w:t>
      </w:r>
    </w:p>
    <w:p>
      <w:r>
        <w:pict>
          <v:rect style="width:0;height:1.5pt" o:hralign="center" o:hrstd="t" o:hr="t"/>
        </w:pict>
      </w:r>
    </w:p>
    <w:bookmarkEnd w:id="40"/>
    <w:bookmarkStart w:id="41" w:name="hold-perda"/>
    <w:p>
      <w:pPr>
        <w:pStyle w:val="Heading1"/>
      </w:pPr>
      <w:r>
        <w:t xml:space="preserve">30. Hold ≠ Perda</w:t>
      </w:r>
    </w:p>
    <w:p>
      <w:pPr>
        <w:pStyle w:val="FirstParagraph"/>
      </w:pPr>
      <w:r>
        <w:t xml:space="preserve">Um Hold não representa:</w:t>
      </w:r>
    </w:p>
    <w:p>
      <w:pPr>
        <w:pStyle w:val="SourceCode"/>
      </w:pPr>
      <w:r>
        <w:rPr>
          <w:rStyle w:val="VerbatimChar"/>
        </w:rPr>
        <w:t xml:space="preserve">despesa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chargeback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Representa uma retenção operacional.</w:t>
      </w:r>
    </w:p>
    <w:p>
      <w:r>
        <w:pict>
          <v:rect style="width:0;height:1.5pt" o:hralign="center" o:hrstd="t" o:hr="t"/>
        </w:pict>
      </w:r>
    </w:p>
    <w:bookmarkEnd w:id="41"/>
    <w:bookmarkStart w:id="42" w:name="evento-settlement-pending"/>
    <w:p>
      <w:pPr>
        <w:pStyle w:val="Heading1"/>
      </w:pPr>
      <w:r>
        <w:t xml:space="preserve">31. Evento — Settlement Pending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status = PENDING</w:t>
      </w:r>
    </w:p>
    <w:p>
      <w:pPr>
        <w:pStyle w:val="FirstParagraph"/>
      </w:pPr>
      <w:r>
        <w:t xml:space="preserve">Não registrar saída financeira definitiva apenas porque o settlement foi solicitado.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PAID</w:t>
      </w:r>
    </w:p>
    <w:p>
      <w:r>
        <w:pict>
          <v:rect style="width:0;height:1.5pt" o:hralign="center" o:hrstd="t" o:hr="t"/>
        </w:pict>
      </w:r>
    </w:p>
    <w:bookmarkEnd w:id="42"/>
    <w:bookmarkStart w:id="43" w:name="evento-settlement-paid"/>
    <w:p>
      <w:pPr>
        <w:pStyle w:val="Heading1"/>
      </w:pPr>
      <w:r>
        <w:t xml:space="preserve">32. Evento — Settlement Paid</w:t>
      </w:r>
    </w:p>
    <w:p>
      <w:pPr>
        <w:pStyle w:val="FirstParagraph"/>
      </w:pPr>
      <w:r>
        <w:t xml:space="preserve">Quando o provider confirmar:</w:t>
      </w:r>
    </w:p>
    <w:p>
      <w:pPr>
        <w:pStyle w:val="SourceCode"/>
      </w:pP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o Ledger deverá reduzir a obrigação do Seller.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Payable:</w:t>
      </w:r>
      <w:r>
        <w:br/>
      </w:r>
      <w:r>
        <w:rPr>
          <w:rStyle w:val="VerbatimChar"/>
        </w:rPr>
        <w:t xml:space="preserve">R$ 600</w:t>
      </w:r>
    </w:p>
    <w:p>
      <w:pPr>
        <w:pStyle w:val="FirstParagraph"/>
      </w:pPr>
      <w:r>
        <w:t xml:space="preserve">Lançamento: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R$ 600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SETTLEMENT_CLEARING</w:t>
      </w:r>
      <w:r>
        <w:br/>
      </w:r>
      <w:r>
        <w:rPr>
          <w:rStyle w:val="VerbatimChar"/>
        </w:rPr>
        <w:t xml:space="preserve">R$ 600</w:t>
      </w:r>
    </w:p>
    <w:p>
      <w:pPr>
        <w:pStyle w:val="FirstParagraph"/>
      </w:pPr>
      <w:r>
        <w:t xml:space="preserve">O efeito representa a liquidação da obrigação.</w:t>
      </w:r>
    </w:p>
    <w:p>
      <w:r>
        <w:pict>
          <v:rect style="width:0;height:1.5pt" o:hralign="center" o:hrstd="t" o:hr="t"/>
        </w:pict>
      </w:r>
    </w:p>
    <w:bookmarkEnd w:id="43"/>
    <w:bookmarkStart w:id="44" w:name="settlement-clearing"/>
    <w:p>
      <w:pPr>
        <w:pStyle w:val="Heading1"/>
      </w:pPr>
      <w:r>
        <w:t xml:space="preserve">33. Settlement Clearing</w:t>
      </w:r>
    </w:p>
    <w:p>
      <w:pPr>
        <w:pStyle w:val="FirstParagraph"/>
      </w:pPr>
      <w:r>
        <w:t xml:space="preserve">Após o provider confirmar a saída efetiva, o valor deverá ser reconciliado com o provider.</w:t>
      </w:r>
    </w:p>
    <w:p>
      <w:pPr>
        <w:pStyle w:val="BodyText"/>
      </w:pPr>
      <w:r>
        <w:t xml:space="preserve">O fluxo poderá ser: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SETTLEMENT_CLEARING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 CONFIRMATION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RECONCILIATION</w:t>
      </w:r>
    </w:p>
    <w:p>
      <w:r>
        <w:pict>
          <v:rect style="width:0;height:1.5pt" o:hralign="center" o:hrstd="t" o:hr="t"/>
        </w:pict>
      </w:r>
    </w:p>
    <w:bookmarkEnd w:id="44"/>
    <w:bookmarkStart w:id="45" w:name="settlement-transferência-bancária"/>
    <w:p>
      <w:pPr>
        <w:pStyle w:val="Heading1"/>
      </w:pPr>
      <w:r>
        <w:t xml:space="preserve">34. Settlement ≠ Transferência Bancária</w:t>
      </w:r>
    </w:p>
    <w:p>
      <w:pPr>
        <w:pStyle w:val="FirstParagraph"/>
      </w:pPr>
      <w:r>
        <w:t xml:space="preserve">O objeto:</w:t>
      </w:r>
    </w:p>
    <w:p>
      <w:pPr>
        <w:pStyle w:val="SourceCode"/>
      </w:pP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não representa necessariamente uma transferência bancária.</w:t>
      </w:r>
    </w:p>
    <w:p>
      <w:pPr>
        <w:pStyle w:val="BodyText"/>
      </w:pPr>
      <w:r>
        <w:t xml:space="preserve">Ele representa a operação de repasse.</w:t>
      </w:r>
    </w:p>
    <w:p>
      <w:pPr>
        <w:pStyle w:val="BodyText"/>
      </w:pPr>
      <w:r>
        <w:t xml:space="preserve">A confirmação financeira deverá vir do:</w:t>
      </w:r>
    </w:p>
    <w:p>
      <w:pPr>
        <w:pStyle w:val="SourceCode"/>
      </w:pPr>
      <w:r>
        <w:rPr>
          <w:rStyle w:val="VerbatimChar"/>
        </w:rPr>
        <w:t xml:space="preserve">Payment Provider</w:t>
      </w:r>
    </w:p>
    <w:p>
      <w:pPr>
        <w:pStyle w:val="FirstParagraph"/>
      </w:pPr>
      <w:r>
        <w:t xml:space="preserve">ou da infraestrutura responsável pelo payout.</w:t>
      </w:r>
    </w:p>
    <w:p>
      <w:r>
        <w:pict>
          <v:rect style="width:0;height:1.5pt" o:hralign="center" o:hrstd="t" o:hr="t"/>
        </w:pict>
      </w:r>
    </w:p>
    <w:bookmarkEnd w:id="45"/>
    <w:bookmarkStart w:id="46" w:name="evento-financial-adjustment"/>
    <w:p>
      <w:pPr>
        <w:pStyle w:val="Heading1"/>
      </w:pPr>
      <w:r>
        <w:t xml:space="preserve">35. Evento — Financial Adjustment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Ajuste:</w:t>
      </w:r>
      <w:r>
        <w:br/>
      </w:r>
      <w:r>
        <w:rPr>
          <w:rStyle w:val="VerbatimChar"/>
        </w:rPr>
        <w:t xml:space="preserve">R$ 25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UPDATE balance</w:t>
      </w:r>
    </w:p>
    <w:p>
      <w:pPr>
        <w:pStyle w:val="FirstParagraph"/>
      </w:pPr>
      <w:r>
        <w:t xml:space="preserve">Sempre:</w:t>
      </w:r>
    </w:p>
    <w:p>
      <w:pPr>
        <w:pStyle w:val="SourceCode"/>
      </w:pP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O ajuste deverá possuir:</w:t>
      </w:r>
    </w:p>
    <w:p>
      <w:pPr>
        <w:pStyle w:val="SourceCode"/>
      </w:pP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approved_by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46"/>
    <w:bookmarkStart w:id="47" w:name="ajuste-positivo-para-seller"/>
    <w:p>
      <w:pPr>
        <w:pStyle w:val="Heading1"/>
      </w:pPr>
      <w:r>
        <w:t xml:space="preserve">36. Ajuste Positivo para Seller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 deve reconhecer R$ 25 adicionais</w:t>
      </w:r>
    </w:p>
    <w:p>
      <w:pPr>
        <w:pStyle w:val="FirstParagraph"/>
      </w:pPr>
      <w:r>
        <w:t xml:space="preserve">O efeito poderá ser: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R$ 25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R$ 25</w:t>
      </w:r>
    </w:p>
    <w:p>
      <w:pPr>
        <w:pStyle w:val="FirstParagraph"/>
      </w:pPr>
      <w:r>
        <w:t xml:space="preserve">A conta de ajuste deverá ser classificada de acordo com sua finalidade econômica.</w:t>
      </w:r>
    </w:p>
    <w:p>
      <w:r>
        <w:pict>
          <v:rect style="width:0;height:1.5pt" o:hralign="center" o:hrstd="t" o:hr="t"/>
        </w:pict>
      </w:r>
    </w:p>
    <w:bookmarkEnd w:id="47"/>
    <w:bookmarkStart w:id="48" w:name="ajuste-negativo-para-seller"/>
    <w:p>
      <w:pPr>
        <w:pStyle w:val="Heading1"/>
      </w:pPr>
      <w:r>
        <w:t xml:space="preserve">37. Ajuste Negativo para Seller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R$ 25</w:t>
      </w:r>
    </w:p>
    <w:p>
      <w:pPr>
        <w:pStyle w:val="FirstParagraph"/>
      </w:pPr>
      <w:r>
        <w:t xml:space="preserve">a serem recuperados do Seller: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SELLER_RECOVERY</w:t>
      </w:r>
      <w:r>
        <w:br/>
      </w:r>
      <w:r>
        <w:rPr>
          <w:rStyle w:val="VerbatimChar"/>
        </w:rPr>
        <w:t xml:space="preserve">R$ 25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R$ 25</w:t>
      </w:r>
    </w:p>
    <w:p>
      <w:pPr>
        <w:pStyle w:val="FirstParagraph"/>
      </w:pPr>
      <w:r>
        <w:t xml:space="preserve">A classificação definitiva dependerá da natureza do ajuste.</w:t>
      </w:r>
    </w:p>
    <w:p>
      <w:r>
        <w:pict>
          <v:rect style="width:0;height:1.5pt" o:hralign="center" o:hrstd="t" o:hr="t"/>
        </w:pict>
      </w:r>
    </w:p>
    <w:bookmarkEnd w:id="48"/>
    <w:bookmarkStart w:id="49" w:name="provider-fee"/>
    <w:p>
      <w:pPr>
        <w:pStyle w:val="Heading1"/>
      </w:pPr>
      <w:r>
        <w:t xml:space="preserve">38. Provider Fee</w:t>
      </w:r>
    </w:p>
    <w:p>
      <w:pPr>
        <w:pStyle w:val="FirstParagraph"/>
      </w:pPr>
      <w:r>
        <w:t xml:space="preserve">Caso o Payment Provider cobre:</w:t>
      </w:r>
    </w:p>
    <w:p>
      <w:pPr>
        <w:pStyle w:val="SourceCode"/>
      </w:pPr>
      <w:r>
        <w:rPr>
          <w:rStyle w:val="VerbatimChar"/>
        </w:rPr>
        <w:t xml:space="preserve">R$ 10</w:t>
      </w:r>
    </w:p>
    <w:p>
      <w:pPr>
        <w:pStyle w:val="FirstParagraph"/>
      </w:pPr>
      <w:r>
        <w:t xml:space="preserve">a taxa deverá ser registrada separadamente da comissão do MiniHub.</w:t>
      </w:r>
    </w:p>
    <w:p>
      <w:pPr>
        <w:pStyle w:val="BodyText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COMMISSION = 60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Commission MiniHub = 50</w:t>
      </w:r>
      <w:r>
        <w:br/>
      </w:r>
      <w:r>
        <w:rPr>
          <w:rStyle w:val="VerbatimChar"/>
        </w:rPr>
        <w:t xml:space="preserve">Provider Fee = 10</w:t>
      </w:r>
    </w:p>
    <w:p>
      <w:pPr>
        <w:pStyle w:val="FirstParagraph"/>
      </w:pPr>
      <w:r>
        <w:t xml:space="preserve">São fatos diferentes.</w:t>
      </w:r>
    </w:p>
    <w:p>
      <w:r>
        <w:pict>
          <v:rect style="width:0;height:1.5pt" o:hralign="center" o:hrstd="t" o:hr="t"/>
        </w:pict>
      </w:r>
    </w:p>
    <w:bookmarkEnd w:id="49"/>
    <w:bookmarkStart w:id="50" w:name="conta-para-provider-fee"/>
    <w:p>
      <w:pPr>
        <w:pStyle w:val="Heading1"/>
      </w:pPr>
      <w:r>
        <w:t xml:space="preserve">39. Conta para Provider Fee</w:t>
      </w:r>
    </w:p>
    <w:p>
      <w:pPr>
        <w:pStyle w:val="FirstParagraph"/>
      </w:pPr>
      <w:r>
        <w:t xml:space="preserve">Recomenda-se criar futuramente:</w:t>
      </w:r>
    </w:p>
    <w:p>
      <w:pPr>
        <w:pStyle w:val="SourceCode"/>
      </w:pPr>
      <w:r>
        <w:rPr>
          <w:rStyle w:val="VerbatimChar"/>
        </w:rPr>
        <w:t xml:space="preserve">7000 — PAYMENT_PROVIDER_FEES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VerbatimChar"/>
        </w:rPr>
        <w:t xml:space="preserve">EXPENSE</w:t>
      </w:r>
    </w:p>
    <w:p>
      <w:pPr>
        <w:pStyle w:val="FirstParagraph"/>
      </w:pPr>
      <w:r>
        <w:t xml:space="preserve">Natureza: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PAYMENT_PROVIDER_FEES</w:t>
      </w:r>
      <w:r>
        <w:br/>
      </w:r>
      <w:r>
        <w:rPr>
          <w:rStyle w:val="VerbatimChar"/>
        </w:rPr>
        <w:t xml:space="preserve">R$ 10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PAYMENT_PROVIDER_RECEIVABLE</w:t>
      </w:r>
      <w:r>
        <w:br/>
      </w:r>
      <w:r>
        <w:rPr>
          <w:rStyle w:val="VerbatimChar"/>
        </w:rPr>
        <w:t xml:space="preserve">R$ 10</w:t>
      </w:r>
    </w:p>
    <w:p>
      <w:pPr>
        <w:pStyle w:val="FirstParagraph"/>
      </w:pPr>
      <w:r>
        <w:t xml:space="preserve">Isso representa o custo cobrado pelo provider.</w:t>
      </w:r>
    </w:p>
    <w:p>
      <w:r>
        <w:pict>
          <v:rect style="width:0;height:1.5pt" o:hralign="center" o:hrstd="t" o:hr="t"/>
        </w:pict>
      </w:r>
    </w:p>
    <w:bookmarkEnd w:id="50"/>
    <w:bookmarkStart w:id="51" w:name="fluxo-completo-venda"/>
    <w:p>
      <w:pPr>
        <w:pStyle w:val="Heading1"/>
      </w:pPr>
      <w:r>
        <w:t xml:space="preserve">40. Fluxo Completo — Venda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R$ 500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DEBIT  Receivable     500   │</w:t>
      </w:r>
      <w:r>
        <w:br/>
      </w:r>
      <w:r>
        <w:rPr>
          <w:rStyle w:val="VerbatimChar"/>
        </w:rPr>
        <w:t xml:space="preserve">│ CREDIT Seller Payable 450   │</w:t>
      </w:r>
      <w:r>
        <w:br/>
      </w:r>
      <w:r>
        <w:rPr>
          <w:rStyle w:val="VerbatimChar"/>
        </w:rPr>
        <w:t xml:space="preserve">│ CREDIT Commission      50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DELIVERY / ELIGIBILITY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PAID</w:t>
      </w:r>
    </w:p>
    <w:p>
      <w:r>
        <w:pict>
          <v:rect style="width:0;height:1.5pt" o:hralign="center" o:hrstd="t" o:hr="t"/>
        </w:pict>
      </w:r>
    </w:p>
    <w:bookmarkEnd w:id="51"/>
    <w:bookmarkStart w:id="52" w:name="fluxo-refund"/>
    <w:p>
      <w:pPr>
        <w:pStyle w:val="Heading1"/>
      </w:pPr>
      <w:r>
        <w:t xml:space="preserve">41. Fluxo — Refund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REFUND REQUESTED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REFUND COMPLETED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NEW FINANCIAL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REDUÇÃO DA OBRIGAÇÃO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BALANCE RECALCULATED</w:t>
      </w:r>
    </w:p>
    <w:p>
      <w:r>
        <w:pict>
          <v:rect style="width:0;height:1.5pt" o:hralign="center" o:hrstd="t" o:hr="t"/>
        </w:pict>
      </w:r>
    </w:p>
    <w:bookmarkEnd w:id="52"/>
    <w:bookmarkStart w:id="53" w:name="fluxo-chargeback"/>
    <w:p>
      <w:pPr>
        <w:pStyle w:val="Heading1"/>
      </w:pPr>
      <w:r>
        <w:t xml:space="preserve">42. Fluxo — Chargeback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NEW FINANCIAL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HOLD / SELLER RECOVERY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BALANCE</w:t>
      </w:r>
    </w:p>
    <w:p>
      <w:r>
        <w:pict>
          <v:rect style="width:0;height:1.5pt" o:hralign="center" o:hrstd="t" o:hr="t"/>
        </w:pict>
      </w:r>
    </w:p>
    <w:bookmarkEnd w:id="53"/>
    <w:bookmarkStart w:id="54" w:name="fluxo-settlement"/>
    <w:p>
      <w:pPr>
        <w:pStyle w:val="Heading1"/>
      </w:pPr>
      <w:r>
        <w:t xml:space="preserve">43. Fluxo — Settlement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RECONCILIATION</w:t>
      </w:r>
    </w:p>
    <w:p>
      <w:r>
        <w:pict>
          <v:rect style="width:0;height:1.5pt" o:hralign="center" o:hrstd="t" o:hr="t"/>
        </w:pict>
      </w:r>
    </w:p>
    <w:bookmarkEnd w:id="54"/>
    <w:bookmarkStart w:id="55" w:name="matriz-resumida"/>
    <w:p>
      <w:pPr>
        <w:pStyle w:val="Heading1"/>
      </w:pPr>
      <w:r>
        <w:t xml:space="preserve">44. Matriz Resumida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Débito</w:t>
            </w:r>
          </w:p>
        </w:tc>
        <w:tc>
          <w:tcPr/>
          <w:p>
            <w:pPr>
              <w:pStyle w:val="Compact"/>
            </w:pPr>
            <w:r>
              <w:t xml:space="preserve">Crédito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 reconhecida</w:t>
            </w:r>
          </w:p>
        </w:tc>
        <w:tc>
          <w:tcPr/>
          <w:p>
            <w:pPr>
              <w:pStyle w:val="Compact"/>
            </w:pPr>
            <w:r>
              <w:t xml:space="preserve">Receivable/Clearing</w:t>
            </w:r>
          </w:p>
        </w:tc>
        <w:tc>
          <w:tcPr/>
          <w:p>
            <w:pPr>
              <w:pStyle w:val="Compact"/>
            </w:pPr>
            <w:r>
              <w:t xml:space="preserve">Seller Payable +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t xml:space="preserve">Seller Payable/Recovery + Commission Reversal</w:t>
            </w:r>
          </w:p>
        </w:tc>
        <w:tc>
          <w:tcPr/>
          <w:p>
            <w:pPr>
              <w:pStyle w:val="Compact"/>
            </w:pPr>
            <w:r>
              <w:t xml:space="preserve">Refund Clearing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Chargeback</w:t>
            </w:r>
          </w:p>
        </w:tc>
        <w:tc>
          <w:tcPr/>
          <w:p>
            <w:pPr>
              <w:pStyle w:val="Compact"/>
            </w:pPr>
            <w:r>
              <w:t xml:space="preserve">Seller Payable/Recovery</w:t>
            </w:r>
          </w:p>
        </w:tc>
        <w:tc>
          <w:tcPr/>
          <w:p>
            <w:pPr>
              <w:pStyle w:val="Compact"/>
            </w:pPr>
            <w:r>
              <w:t xml:space="preserve">Chargeback Clearing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Seller Payable</w:t>
            </w:r>
          </w:p>
        </w:tc>
        <w:tc>
          <w:tcPr/>
          <w:p>
            <w:pPr>
              <w:pStyle w:val="Compact"/>
            </w:pPr>
            <w:r>
              <w:t xml:space="preserve">Seller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Hold</w:t>
            </w:r>
          </w:p>
        </w:tc>
        <w:tc>
          <w:tcPr/>
          <w:p>
            <w:pPr>
              <w:pStyle w:val="Compact"/>
            </w:pPr>
            <w:r>
              <w:t xml:space="preserve">Seller Hold</w:t>
            </w:r>
          </w:p>
        </w:tc>
        <w:tc>
          <w:tcPr/>
          <w:p>
            <w:pPr>
              <w:pStyle w:val="Compact"/>
            </w:pPr>
            <w:r>
              <w:t xml:space="preserve">Seller Payable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Paid</w:t>
            </w:r>
          </w:p>
        </w:tc>
        <w:tc>
          <w:tcPr/>
          <w:p>
            <w:pPr>
              <w:pStyle w:val="Compact"/>
            </w:pPr>
            <w:r>
              <w:t xml:space="preserve">Seller Payable</w:t>
            </w:r>
          </w:p>
        </w:tc>
        <w:tc>
          <w:tcPr/>
          <w:p>
            <w:pPr>
              <w:pStyle w:val="Compact"/>
            </w:pPr>
            <w:r>
              <w:t xml:space="preserve">Settlement Clearing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Seller positivo</w:t>
            </w:r>
          </w:p>
        </w:tc>
        <w:tc>
          <w:tcPr/>
          <w:p>
            <w:pPr>
              <w:pStyle w:val="Compact"/>
            </w:pPr>
            <w:r>
              <w:t xml:space="preserve">Adjustment/Expense</w:t>
            </w:r>
          </w:p>
        </w:tc>
        <w:tc>
          <w:tcPr/>
          <w:p>
            <w:pPr>
              <w:pStyle w:val="Compact"/>
            </w:pPr>
            <w:r>
              <w:t xml:space="preserve">Seller Payable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Seller negativo</w:t>
            </w:r>
          </w:p>
        </w:tc>
        <w:tc>
          <w:tcPr/>
          <w:p>
            <w:pPr>
              <w:pStyle w:val="Compact"/>
            </w:pPr>
            <w:r>
              <w:t xml:space="preserve">Seller Recovery</w:t>
            </w:r>
          </w:p>
        </w:tc>
        <w:tc>
          <w:tcPr/>
          <w:p>
            <w:pPr>
              <w:pStyle w:val="Compact"/>
            </w:pPr>
            <w:r>
              <w:t xml:space="preserve">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Fee</w:t>
            </w:r>
          </w:p>
        </w:tc>
        <w:tc>
          <w:tcPr/>
          <w:p>
            <w:pPr>
              <w:pStyle w:val="Compact"/>
            </w:pPr>
            <w:r>
              <w:t xml:space="preserve">Provider Fee Expense</w:t>
            </w:r>
          </w:p>
        </w:tc>
        <w:tc>
          <w:tcPr/>
          <w:p>
            <w:pPr>
              <w:pStyle w:val="Compact"/>
            </w:pPr>
            <w:r>
              <w:t xml:space="preserve">Provider Receivable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regra-de-ouro-da-matriz"/>
    <w:p>
      <w:pPr>
        <w:pStyle w:val="Heading1"/>
      </w:pPr>
      <w:r>
        <w:t xml:space="preserve">45. Regra de Ouro da Matriz</w:t>
      </w:r>
    </w:p>
    <w:p>
      <w:pPr>
        <w:pStyle w:val="FirstParagraph"/>
      </w:pPr>
      <w:r>
        <w:t xml:space="preserve">Toda linha da matriz deverá satisfazer:</w:t>
      </w:r>
    </w:p>
    <w:p>
      <w:pPr>
        <w:pStyle w:val="SourceCode"/>
      </w:pPr>
      <w:r>
        <w:rPr>
          <w:rStyle w:val="VerbatimChar"/>
        </w:rPr>
        <w:t xml:space="preserve">SUM(DEBIT)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SUM(CREDIT)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450 + 50</w:t>
      </w:r>
    </w:p>
    <w:p>
      <w:r>
        <w:pict>
          <v:rect style="width:0;height:1.5pt" o:hralign="center" o:hrstd="t" o:hr="t"/>
        </w:pict>
      </w:r>
    </w:p>
    <w:bookmarkEnd w:id="56"/>
    <w:bookmarkStart w:id="57" w:name="financial-transaction"/>
    <w:p>
      <w:pPr>
        <w:pStyle w:val="Heading1"/>
      </w:pPr>
      <w:r>
        <w:t xml:space="preserve">46. Financial Transaction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FINANCIAL_TRANSACTION</w:t>
      </w:r>
      <w:r>
        <w:t xml:space="preserve"> </w:t>
      </w:r>
      <w:r>
        <w:t xml:space="preserve">deverá representar o fato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PAYMENT_RECOGNIZED</w:t>
      </w:r>
      <w:r>
        <w:br/>
      </w:r>
      <w:r>
        <w:rPr>
          <w:rStyle w:val="VerbatimChar"/>
        </w:rPr>
        <w:t xml:space="preserve">COMMISSION_RECOGNIZED</w:t>
      </w:r>
      <w:r>
        <w:br/>
      </w: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CHARGEBACK_APPLIED</w:t>
      </w:r>
      <w:r>
        <w:br/>
      </w:r>
      <w:r>
        <w:rPr>
          <w:rStyle w:val="VerbatimChar"/>
        </w:rPr>
        <w:t xml:space="preserve">SELLER_HOLD_CREATED</w:t>
      </w:r>
      <w:r>
        <w:br/>
      </w:r>
      <w:r>
        <w:rPr>
          <w:rStyle w:val="VerbatimChar"/>
        </w:rPr>
        <w:t xml:space="preserve">SELLER_HOLD_RELEASED</w:t>
      </w:r>
      <w:r>
        <w:br/>
      </w:r>
      <w:r>
        <w:rPr>
          <w:rStyle w:val="VerbatimChar"/>
        </w:rPr>
        <w:t xml:space="preserve">SELLER_SETTLEMENT_PAID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PROVIDER_FEE</w:t>
      </w:r>
    </w:p>
    <w:p>
      <w:r>
        <w:pict>
          <v:rect style="width:0;height:1.5pt" o:hralign="center" o:hrstd="t" o:hr="t"/>
        </w:pict>
      </w:r>
    </w:p>
    <w:bookmarkEnd w:id="57"/>
    <w:bookmarkStart w:id="58" w:name="ledger-transaction"/>
    <w:p>
      <w:pPr>
        <w:pStyle w:val="Heading1"/>
      </w:pPr>
      <w:r>
        <w:t xml:space="preserve">47. Ledger Transaction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 </w:t>
      </w:r>
      <w:r>
        <w:t xml:space="preserve">representa a materialização contábil-operacional daquele fato.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PAYMENT_RECOGNIZED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DEBIT  Receivable      500</w:t>
      </w:r>
      <w:r>
        <w:br/>
      </w:r>
      <w:r>
        <w:rPr>
          <w:rStyle w:val="VerbatimChar"/>
        </w:rPr>
        <w:t xml:space="preserve">CREDIT Seller Payable  450</w:t>
      </w:r>
      <w:r>
        <w:br/>
      </w:r>
      <w:r>
        <w:rPr>
          <w:rStyle w:val="VerbatimChar"/>
        </w:rPr>
        <w:t xml:space="preserve">CREDIT Commission       50</w:t>
      </w:r>
    </w:p>
    <w:p>
      <w:r>
        <w:pict>
          <v:rect style="width:0;height:1.5pt" o:hralign="center" o:hrstd="t" o:hr="t"/>
        </w:pict>
      </w:r>
    </w:p>
    <w:bookmarkEnd w:id="58"/>
    <w:bookmarkStart w:id="59" w:name="regras-de-idempotência"/>
    <w:p>
      <w:pPr>
        <w:pStyle w:val="Heading1"/>
      </w:pPr>
      <w:r>
        <w:t xml:space="preserve">48. Regras de Idempotência</w:t>
      </w:r>
    </w:p>
    <w:p>
      <w:pPr>
        <w:pStyle w:val="FirstParagraph"/>
      </w:pPr>
      <w:r>
        <w:t xml:space="preserve">Cada tipo de evento deverá possuir chave única.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payment:{payment_id}:recognized</w:t>
      </w:r>
      <w:r>
        <w:br/>
      </w:r>
      <w:r>
        <w:br/>
      </w:r>
      <w:r>
        <w:rPr>
          <w:rStyle w:val="VerbatimChar"/>
        </w:rPr>
        <w:t xml:space="preserve">payment:{payment_id}:commission</w:t>
      </w:r>
      <w:r>
        <w:br/>
      </w:r>
      <w:r>
        <w:br/>
      </w:r>
      <w:r>
        <w:rPr>
          <w:rStyle w:val="VerbatimChar"/>
        </w:rPr>
        <w:t xml:space="preserve">refund:{refund_id}:completed</w:t>
      </w:r>
      <w:r>
        <w:br/>
      </w:r>
      <w:r>
        <w:br/>
      </w:r>
      <w:r>
        <w:rPr>
          <w:rStyle w:val="VerbatimChar"/>
        </w:rPr>
        <w:t xml:space="preserve">chargeback:{chargeback_id}:applied</w:t>
      </w:r>
      <w:r>
        <w:br/>
      </w:r>
      <w:r>
        <w:br/>
      </w:r>
      <w:r>
        <w:rPr>
          <w:rStyle w:val="VerbatimChar"/>
        </w:rPr>
        <w:t xml:space="preserve">settlement:{settlement_id}:paid</w:t>
      </w:r>
      <w:r>
        <w:br/>
      </w:r>
      <w:r>
        <w:br/>
      </w:r>
      <w:r>
        <w:rPr>
          <w:rStyle w:val="VerbatimChar"/>
        </w:rPr>
        <w:t xml:space="preserve">adjustment:{adjustment_id}:posted</w:t>
      </w:r>
    </w:p>
    <w:p>
      <w:r>
        <w:pict>
          <v:rect style="width:0;height:1.5pt" o:hralign="center" o:hrstd="t" o:hr="t"/>
        </w:pict>
      </w:r>
    </w:p>
    <w:bookmarkEnd w:id="59"/>
    <w:bookmarkStart w:id="60" w:name="nunca-usar-amount-negativo"/>
    <w:p>
      <w:pPr>
        <w:pStyle w:val="Heading1"/>
      </w:pPr>
      <w:r>
        <w:t xml:space="preserve">49. Nunca Usar Amount Negativo</w:t>
      </w:r>
    </w:p>
    <w:p>
      <w:pPr>
        <w:pStyle w:val="FirstParagraph"/>
      </w:pPr>
      <w:r>
        <w:t xml:space="preserve">Não fazer: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sentido é determinado exclusivamente por:</w:t>
      </w:r>
    </w:p>
    <w:p>
      <w:pPr>
        <w:pStyle w:val="SourceCode"/>
      </w:pPr>
      <w:r>
        <w:rPr>
          <w:rStyle w:val="VerbatimChar"/>
        </w:rPr>
        <w:t xml:space="preserve">entry_type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account.normal_balance</w:t>
      </w:r>
    </w:p>
    <w:p>
      <w:r>
        <w:pict>
          <v:rect style="width:0;height:1.5pt" o:hralign="center" o:hrstd="t" o:hr="t"/>
        </w:pict>
      </w:r>
    </w:p>
    <w:bookmarkEnd w:id="60"/>
    <w:bookmarkStart w:id="61" w:name="cálculo-de-saldo"/>
    <w:p>
      <w:pPr>
        <w:pStyle w:val="Heading1"/>
      </w:pPr>
      <w:r>
        <w:t xml:space="preserve">50. Cálculo de Saldo</w:t>
      </w:r>
    </w:p>
    <w:p>
      <w:pPr>
        <w:pStyle w:val="FirstParagraph"/>
      </w:pPr>
      <w:r>
        <w:t xml:space="preserve">Para uma conta de natureza DEBIT: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Debits - Credits</w:t>
      </w:r>
    </w:p>
    <w:p>
      <w:pPr>
        <w:pStyle w:val="FirstParagraph"/>
      </w:pPr>
      <w:r>
        <w:t xml:space="preserve">Para uma conta de natureza CREDIT: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Credits - Debits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if DEBIT then subtract</w:t>
      </w:r>
      <w:r>
        <w:br/>
      </w:r>
      <w:r>
        <w:rPr>
          <w:rStyle w:val="VerbatimChar"/>
        </w:rPr>
        <w:t xml:space="preserve">if CREDIT then add</w:t>
      </w:r>
    </w:p>
    <w:p>
      <w:pPr>
        <w:pStyle w:val="FirstParagraph"/>
      </w:pPr>
      <w:r>
        <w:t xml:space="preserve">Essa regra está proibida na implementação.</w:t>
      </w:r>
    </w:p>
    <w:p>
      <w:r>
        <w:pict>
          <v:rect style="width:0;height:1.5pt" o:hralign="center" o:hrstd="t" o:hr="t"/>
        </w:pict>
      </w:r>
    </w:p>
    <w:bookmarkEnd w:id="61"/>
    <w:bookmarkStart w:id="62" w:name="saldo-do-seller"/>
    <w:p>
      <w:pPr>
        <w:pStyle w:val="Heading1"/>
      </w:pPr>
      <w:r>
        <w:t xml:space="preserve">51. Saldo do Seller</w:t>
      </w:r>
    </w:p>
    <w:p>
      <w:pPr>
        <w:pStyle w:val="FirstParagraph"/>
      </w:pPr>
      <w:r>
        <w:t xml:space="preserve">O sistema deverá separar pelo menos:</w:t>
      </w:r>
    </w:p>
    <w:p>
      <w:pPr>
        <w:pStyle w:val="SourceCode"/>
      </w:pPr>
      <w:r>
        <w:rPr>
          <w:rStyle w:val="VerbatimChar"/>
        </w:rPr>
        <w:t xml:space="preserve">Gross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Adjustments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Recovery</w:t>
      </w:r>
    </w:p>
    <w:p>
      <w:pPr>
        <w:pStyle w:val="FirstParagraph"/>
      </w:pPr>
      <w:r>
        <w:t xml:space="preserve">A API poderá apresentar: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available-ledger-account"/>
    <w:p>
      <w:pPr>
        <w:pStyle w:val="Heading1"/>
      </w:pPr>
      <w:r>
        <w:t xml:space="preserve">52. Available ≠ Ledger Account</w:t>
      </w:r>
    </w:p>
    <w:p>
      <w:pPr>
        <w:pStyle w:val="FirstParagraph"/>
      </w:pPr>
      <w:r>
        <w:rPr>
          <w:rStyle w:val="VerbatimChar"/>
        </w:rPr>
        <w:t xml:space="preserve">AVAILABLE</w:t>
      </w:r>
      <w:r>
        <w:t xml:space="preserve"> </w:t>
      </w:r>
      <w:r>
        <w:t xml:space="preserve">não deverá ser tratado como uma conta contábil independente.</w:t>
      </w:r>
    </w:p>
    <w:p>
      <w:pPr>
        <w:pStyle w:val="BodyText"/>
      </w:pPr>
      <w:r>
        <w:t xml:space="preserve">É uma projeção derivada de: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Settlement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Hold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Eligibility Rules</w:t>
      </w:r>
    </w:p>
    <w:p>
      <w:r>
        <w:pict>
          <v:rect style="width:0;height:1.5pt" o:hralign="center" o:hrstd="t" o:hr="t"/>
        </w:pict>
      </w:r>
    </w:p>
    <w:bookmarkEnd w:id="63"/>
    <w:bookmarkStart w:id="64" w:name="eligible"/>
    <w:p>
      <w:pPr>
        <w:pStyle w:val="Heading1"/>
      </w:pPr>
      <w:r>
        <w:t xml:space="preserve">53. Eligible</w:t>
      </w:r>
    </w:p>
    <w:p>
      <w:pPr>
        <w:pStyle w:val="FirstParagraph"/>
      </w:pPr>
      <w:r>
        <w:rPr>
          <w:rStyle w:val="VerbatimChar"/>
        </w:rPr>
        <w:t xml:space="preserve">ELIGIBLE</w:t>
      </w:r>
      <w:r>
        <w:t xml:space="preserve"> </w:t>
      </w:r>
      <w:r>
        <w:t xml:space="preserve">representa:</w:t>
      </w:r>
    </w:p>
    <w:p>
      <w:pPr>
        <w:pStyle w:val="BlockText"/>
      </w:pPr>
      <w:r>
        <w:t xml:space="preserve">valor que atende às condições para ser incluído em um settlement.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já solicitado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já pago</w:t>
      </w:r>
    </w:p>
    <w:p>
      <w:r>
        <w:pict>
          <v:rect style="width:0;height:1.5pt" o:hralign="center" o:hrstd="t" o:hr="t"/>
        </w:pict>
      </w:r>
    </w:p>
    <w:bookmarkEnd w:id="64"/>
    <w:bookmarkStart w:id="65" w:name="available"/>
    <w:p>
      <w:pPr>
        <w:pStyle w:val="Heading1"/>
      </w:pPr>
      <w:r>
        <w:t xml:space="preserve">54. Available</w:t>
      </w:r>
    </w:p>
    <w:p>
      <w:pPr>
        <w:pStyle w:val="FirstParagraph"/>
      </w:pPr>
      <w:r>
        <w:rPr>
          <w:rStyle w:val="VerbatimChar"/>
        </w:rPr>
        <w:t xml:space="preserve">AVAILABLE</w:t>
      </w:r>
      <w:r>
        <w:t xml:space="preserve"> </w:t>
      </w:r>
      <w:r>
        <w:t xml:space="preserve">representa:</w:t>
      </w:r>
    </w:p>
    <w:p>
      <w:pPr>
        <w:pStyle w:val="BlockText"/>
      </w:pPr>
      <w:r>
        <w:t xml:space="preserve">valor operacionalmente disponível para uma nova ação de settlement.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quando existirem outras regras de bloqueio ou reserva.</w:t>
      </w:r>
    </w:p>
    <w:p>
      <w:r>
        <w:pict>
          <v:rect style="width:0;height:1.5pt" o:hralign="center" o:hrstd="t" o:hr="t"/>
        </w:pict>
      </w:r>
    </w:p>
    <w:bookmarkEnd w:id="65"/>
    <w:bookmarkStart w:id="66" w:name="held"/>
    <w:p>
      <w:pPr>
        <w:pStyle w:val="Heading1"/>
      </w:pPr>
      <w:r>
        <w:t xml:space="preserve">55. Held</w:t>
      </w:r>
    </w:p>
    <w:p>
      <w:pPr>
        <w:pStyle w:val="FirstParagraph"/>
      </w:pPr>
      <w:r>
        <w:rPr>
          <w:rStyle w:val="VerbatimChar"/>
        </w:rPr>
        <w:t xml:space="preserve">HELD</w:t>
      </w:r>
      <w:r>
        <w:t xml:space="preserve"> </w:t>
      </w:r>
      <w:r>
        <w:t xml:space="preserve">representa valor temporariamente indisponível.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fraud review</w:t>
      </w:r>
      <w:r>
        <w:br/>
      </w:r>
      <w:r>
        <w:rPr>
          <w:rStyle w:val="VerbatimChar"/>
        </w:rPr>
        <w:t xml:space="preserve">dispute</w:t>
      </w:r>
      <w:r>
        <w:br/>
      </w:r>
      <w:r>
        <w:rPr>
          <w:rStyle w:val="VerbatimChar"/>
        </w:rPr>
        <w:t xml:space="preserve">commercial hold</w:t>
      </w:r>
      <w:r>
        <w:br/>
      </w:r>
      <w:r>
        <w:rPr>
          <w:rStyle w:val="VerbatimChar"/>
        </w:rPr>
        <w:t xml:space="preserve">delivery requirement</w:t>
      </w:r>
    </w:p>
    <w:p>
      <w:r>
        <w:pict>
          <v:rect style="width:0;height:1.5pt" o:hralign="center" o:hrstd="t" o:hr="t"/>
        </w:pict>
      </w:r>
    </w:p>
    <w:bookmarkEnd w:id="66"/>
    <w:bookmarkStart w:id="67" w:name="pending"/>
    <w:p>
      <w:pPr>
        <w:pStyle w:val="Heading1"/>
      </w:pPr>
      <w:r>
        <w:t xml:space="preserve">56. Pending</w:t>
      </w:r>
    </w:p>
    <w:p>
      <w:pPr>
        <w:pStyle w:val="FirstParagraph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representa valores cujo ciclo financeiro ainda não atingiu o estágio necessário para disponibilidade.</w:t>
      </w:r>
    </w:p>
    <w:p>
      <w:r>
        <w:pict>
          <v:rect style="width:0;height:1.5pt" o:hralign="center" o:hrstd="t" o:hr="t"/>
        </w:pict>
      </w:r>
    </w:p>
    <w:bookmarkEnd w:id="67"/>
    <w:bookmarkStart w:id="68" w:name="paid"/>
    <w:p>
      <w:pPr>
        <w:pStyle w:val="Heading1"/>
      </w:pPr>
      <w:r>
        <w:t xml:space="preserve">57. Paid</w:t>
      </w:r>
    </w:p>
    <w:p>
      <w:pPr>
        <w:pStyle w:val="FirstParagraph"/>
      </w:pPr>
      <w:r>
        <w:rPr>
          <w:rStyle w:val="VerbatimChar"/>
        </w:rPr>
        <w:t xml:space="preserve">PAID</w:t>
      </w:r>
      <w:r>
        <w:t xml:space="preserve"> </w:t>
      </w:r>
      <w:r>
        <w:t xml:space="preserve">representa valores já liquidados ao Seller.</w:t>
      </w:r>
    </w:p>
    <w:p>
      <w:pPr>
        <w:pStyle w:val="BodyText"/>
      </w:pPr>
      <w:r>
        <w:t xml:space="preserve">Uma vez pago:</w:t>
      </w:r>
    </w:p>
    <w:p>
      <w:pPr>
        <w:pStyle w:val="SourceCode"/>
      </w:pPr>
      <w:r>
        <w:rPr>
          <w:rStyle w:val="VerbatimChar"/>
        </w:rPr>
        <w:t xml:space="preserve">não retornar simplesmente para AVAILABLE</w:t>
      </w:r>
    </w:p>
    <w:p>
      <w:pPr>
        <w:pStyle w:val="FirstParagraph"/>
      </w:pPr>
      <w:r>
        <w:t xml:space="preserve">Qualquer reversão posterior deverá gerar novo fato financeiro.</w:t>
      </w:r>
    </w:p>
    <w:p>
      <w:r>
        <w:pict>
          <v:rect style="width:0;height:1.5pt" o:hralign="center" o:hrstd="t" o:hr="t"/>
        </w:pict>
      </w:r>
    </w:p>
    <w:bookmarkEnd w:id="68"/>
    <w:bookmarkStart w:id="69" w:name="reconciliação"/>
    <w:p>
      <w:pPr>
        <w:pStyle w:val="Heading1"/>
      </w:pPr>
      <w:r>
        <w:t xml:space="preserve">58. Reconciliação</w:t>
      </w:r>
    </w:p>
    <w:p>
      <w:pPr>
        <w:pStyle w:val="FirstParagraph"/>
      </w:pPr>
      <w:r>
        <w:t xml:space="preserve">O sistema deverá comparar:</w:t>
      </w:r>
    </w:p>
    <w:p>
      <w:pPr>
        <w:pStyle w:val="SourceCode"/>
      </w:pPr>
      <w:r>
        <w:rPr>
          <w:rStyle w:val="VerbatimChar"/>
        </w:rPr>
        <w:t xml:space="preserve">MINIHUB LEDGER</w:t>
      </w:r>
      <w:r>
        <w:br/>
      </w:r>
      <w:r>
        <w:rPr>
          <w:rStyle w:val="VerbatimChar"/>
        </w:rPr>
        <w:t xml:space="preserve">        ×</w:t>
      </w:r>
      <w:r>
        <w:br/>
      </w:r>
      <w:r>
        <w:rPr>
          <w:rStyle w:val="VerbatimChar"/>
        </w:rPr>
        <w:t xml:space="preserve">PAYMENT PROVIDER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        ×</w:t>
      </w:r>
      <w:r>
        <w:br/>
      </w:r>
      <w:r>
        <w:rPr>
          <w:rStyle w:val="VerbatimChar"/>
        </w:rPr>
        <w:t xml:space="preserve">PROVIDER PAYOUT</w:t>
      </w:r>
    </w:p>
    <w:p>
      <w:pPr>
        <w:pStyle w:val="FirstParagraph"/>
      </w:pPr>
      <w:r>
        <w:t xml:space="preserve">Possíveis estados:</w:t>
      </w:r>
    </w:p>
    <w:p>
      <w:pPr>
        <w:pStyle w:val="SourceCode"/>
      </w:pPr>
      <w:r>
        <w:rPr>
          <w:rStyle w:val="VerbatimChar"/>
        </w:rPr>
        <w:t xml:space="preserve">MATCHED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DIVERGENT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RESOLVED</w:t>
      </w:r>
    </w:p>
    <w:p>
      <w:r>
        <w:pict>
          <v:rect style="width:0;height:1.5pt" o:hralign="center" o:hrstd="t" o:hr="t"/>
        </w:pict>
      </w:r>
    </w:p>
    <w:bookmarkEnd w:id="69"/>
    <w:bookmarkStart w:id="70" w:name="divergência"/>
    <w:p>
      <w:pPr>
        <w:pStyle w:val="Heading1"/>
      </w:pPr>
      <w:r>
        <w:t xml:space="preserve">59. Divergência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MiniHub:</w:t>
      </w:r>
    </w:p>
    <w:p>
      <w:pPr>
        <w:pStyle w:val="SourceCode"/>
      </w:pPr>
      <w:r>
        <w:rPr>
          <w:rStyle w:val="VerbatimChar"/>
        </w:rPr>
        <w:t xml:space="preserve">Settlement = R$ 450</w:t>
      </w:r>
    </w:p>
    <w:p>
      <w:pPr>
        <w:pStyle w:val="FirstParagraph"/>
      </w:pPr>
      <w:r>
        <w:t xml:space="preserve">Provider:</w:t>
      </w:r>
    </w:p>
    <w:p>
      <w:pPr>
        <w:pStyle w:val="SourceCode"/>
      </w:pPr>
      <w:r>
        <w:rPr>
          <w:rStyle w:val="VerbatimChar"/>
        </w:rPr>
        <w:t xml:space="preserve">Payout = R$ 440</w:t>
      </w:r>
    </w:p>
    <w:p>
      <w:pPr>
        <w:pStyle w:val="FirstParagraph"/>
      </w:pPr>
      <w:r>
        <w:t xml:space="preserve">Não alterar:</w:t>
      </w:r>
    </w:p>
    <w:p>
      <w:pPr>
        <w:pStyle w:val="SourceCode"/>
      </w:pPr>
      <w:r>
        <w:rPr>
          <w:rStyle w:val="VerbatimChar"/>
        </w:rPr>
        <w:t xml:space="preserve">Settlement = 450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RECONCILIATION_DIVERGENCE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FINANCIAL_ADJUSTMENT</w:t>
      </w:r>
    </w:p>
    <w:p>
      <w:pPr>
        <w:pStyle w:val="FirstParagraph"/>
      </w:pPr>
      <w:r>
        <w:t xml:space="preserve">se a diferença for validada.</w:t>
      </w:r>
    </w:p>
    <w:p>
      <w:r>
        <w:pict>
          <v:rect style="width:0;height:1.5pt" o:hralign="center" o:hrstd="t" o:hr="t"/>
        </w:pict>
      </w:r>
    </w:p>
    <w:bookmarkEnd w:id="70"/>
    <w:bookmarkStart w:id="71" w:name="reconciliação-ajuste-automático"/>
    <w:p>
      <w:pPr>
        <w:pStyle w:val="Heading1"/>
      </w:pPr>
      <w:r>
        <w:t xml:space="preserve">60. Reconciliação ≠ Ajuste Automático</w:t>
      </w:r>
    </w:p>
    <w:p>
      <w:pPr>
        <w:pStyle w:val="FirstParagraph"/>
      </w:pPr>
      <w:r>
        <w:t xml:space="preserve">A descoberta de divergência não deverá automaticamente gerar: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A divergência deverá primeiro ser analisada.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DIVERGENCE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ADJUSTMENT</w:t>
      </w:r>
    </w:p>
    <w:p>
      <w:r>
        <w:pict>
          <v:rect style="width:0;height:1.5pt" o:hralign="center" o:hrstd="t" o:hr="t"/>
        </w:pict>
      </w:r>
    </w:p>
    <w:bookmarkEnd w:id="71"/>
    <w:bookmarkStart w:id="72" w:name="auditoria-financeira"/>
    <w:p>
      <w:pPr>
        <w:pStyle w:val="Heading1"/>
      </w:pPr>
      <w:r>
        <w:t xml:space="preserve">61. Auditoria Financeira</w:t>
      </w:r>
    </w:p>
    <w:p>
      <w:pPr>
        <w:pStyle w:val="FirstParagraph"/>
      </w:pPr>
      <w:r>
        <w:t xml:space="preserve">Todo evento financeiro deverá permitir responder:</w:t>
      </w:r>
    </w:p>
    <w:p>
      <w:pPr>
        <w:pStyle w:val="SourceCode"/>
      </w:pPr>
      <w:r>
        <w:rPr>
          <w:rStyle w:val="VerbatimChar"/>
        </w:rPr>
        <w:t xml:space="preserve">quem gerou?</w:t>
      </w:r>
      <w:r>
        <w:br/>
      </w:r>
      <w:r>
        <w:rPr>
          <w:rStyle w:val="VerbatimChar"/>
        </w:rPr>
        <w:t xml:space="preserve">quando?</w:t>
      </w:r>
      <w:r>
        <w:br/>
      </w:r>
      <w:r>
        <w:rPr>
          <w:rStyle w:val="VerbatimChar"/>
        </w:rPr>
        <w:t xml:space="preserve">qual operação?</w:t>
      </w:r>
      <w:r>
        <w:br/>
      </w:r>
      <w:r>
        <w:rPr>
          <w:rStyle w:val="VerbatimChar"/>
        </w:rPr>
        <w:t xml:space="preserve">qual pedido?</w:t>
      </w:r>
      <w:r>
        <w:br/>
      </w:r>
      <w:r>
        <w:rPr>
          <w:rStyle w:val="VerbatimChar"/>
        </w:rPr>
        <w:t xml:space="preserve">qual payment?</w:t>
      </w:r>
      <w:r>
        <w:br/>
      </w:r>
      <w:r>
        <w:rPr>
          <w:rStyle w:val="VerbatimChar"/>
        </w:rPr>
        <w:t xml:space="preserve">qual seller?</w:t>
      </w:r>
      <w:r>
        <w:br/>
      </w:r>
      <w:r>
        <w:rPr>
          <w:rStyle w:val="VerbatimChar"/>
        </w:rPr>
        <w:t xml:space="preserve">qual provider?</w:t>
      </w:r>
      <w:r>
        <w:br/>
      </w:r>
      <w:r>
        <w:rPr>
          <w:rStyle w:val="VerbatimChar"/>
        </w:rPr>
        <w:t xml:space="preserve">qual valor?</w:t>
      </w:r>
      <w:r>
        <w:br/>
      </w:r>
      <w:r>
        <w:rPr>
          <w:rStyle w:val="VerbatimChar"/>
        </w:rPr>
        <w:t xml:space="preserve">qual motivo?</w:t>
      </w:r>
      <w:r>
        <w:br/>
      </w:r>
      <w:r>
        <w:rPr>
          <w:rStyle w:val="VerbatimChar"/>
        </w:rPr>
        <w:t xml:space="preserve">qual idempotency key?</w:t>
      </w:r>
      <w:r>
        <w:br/>
      </w:r>
      <w:r>
        <w:rPr>
          <w:rStyle w:val="VerbatimChar"/>
        </w:rPr>
        <w:t xml:space="preserve">qual ledger transaction?</w:t>
      </w:r>
    </w:p>
    <w:p>
      <w:r>
        <w:pict>
          <v:rect style="width:0;height:1.5pt" o:hralign="center" o:hrstd="t" o:hr="t"/>
        </w:pict>
      </w:r>
    </w:p>
    <w:bookmarkEnd w:id="72"/>
    <w:bookmarkStart w:id="73" w:name="correção-financeira"/>
    <w:p>
      <w:pPr>
        <w:pStyle w:val="Heading1"/>
      </w:pPr>
      <w:r>
        <w:t xml:space="preserve">62. Correção Financeira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UPDATE ledger_entry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DELETE ledger_entry</w:t>
      </w:r>
    </w:p>
    <w:p>
      <w:pPr>
        <w:pStyle w:val="FirstParagraph"/>
      </w:pPr>
      <w:r>
        <w:t xml:space="preserve">Correção:</w:t>
      </w:r>
    </w:p>
    <w:p>
      <w:pPr>
        <w:pStyle w:val="SourceCode"/>
      </w:pPr>
      <w:r>
        <w:rPr>
          <w:rStyle w:val="VerbatimChar"/>
        </w:rPr>
        <w:t xml:space="preserve">ORIGINAL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REVERSAL / ADJUSTMENT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 LEDGER TRANSACTION</w:t>
      </w:r>
    </w:p>
    <w:p>
      <w:r>
        <w:pict>
          <v:rect style="width:0;height:1.5pt" o:hralign="center" o:hrstd="t" o:hr="t"/>
        </w:pict>
      </w:r>
    </w:p>
    <w:bookmarkEnd w:id="73"/>
    <w:bookmarkStart w:id="74" w:name="reversão-de-comissão"/>
    <w:p>
      <w:pPr>
        <w:pStyle w:val="Heading1"/>
      </w:pPr>
      <w:r>
        <w:t xml:space="preserve">63. Reversão de Comissão</w:t>
      </w:r>
    </w:p>
    <w:p>
      <w:pPr>
        <w:pStyle w:val="FirstParagraph"/>
      </w:pPr>
      <w:r>
        <w:t xml:space="preserve">Comissão original:</w:t>
      </w:r>
    </w:p>
    <w:p>
      <w:pPr>
        <w:pStyle w:val="SourceCode"/>
      </w:pP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Reversão: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R$ 50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REFUND_CLEARING</w:t>
      </w:r>
      <w:r>
        <w:br/>
      </w: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O lançamento original permanece intacto.</w:t>
      </w:r>
    </w:p>
    <w:p>
      <w:r>
        <w:pict>
          <v:rect style="width:0;height:1.5pt" o:hralign="center" o:hrstd="t" o:hr="t"/>
        </w:pict>
      </w:r>
    </w:p>
    <w:bookmarkEnd w:id="74"/>
    <w:bookmarkStart w:id="75" w:name="reversão-de-seller-payable"/>
    <w:p>
      <w:pPr>
        <w:pStyle w:val="Heading1"/>
      </w:pPr>
      <w:r>
        <w:t xml:space="preserve">64. Reversão de Seller Payable</w:t>
      </w:r>
    </w:p>
    <w:p>
      <w:pPr>
        <w:pStyle w:val="FirstParagraph"/>
      </w:pPr>
      <w:r>
        <w:t xml:space="preserve">Obrigação original:</w:t>
      </w:r>
    </w:p>
    <w:p>
      <w:pPr>
        <w:pStyle w:val="SourceCode"/>
      </w:pP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Reversão: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R$ 450</w:t>
      </w:r>
      <w:r>
        <w:br/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REFUND_CLEARING</w:t>
      </w:r>
      <w:r>
        <w:br/>
      </w:r>
      <w:r>
        <w:rPr>
          <w:rStyle w:val="VerbatimChar"/>
        </w:rPr>
        <w:t xml:space="preserve">R$ 450</w:t>
      </w:r>
    </w:p>
    <w:p>
      <w:r>
        <w:pict>
          <v:rect style="width:0;height:1.5pt" o:hralign="center" o:hrstd="t" o:hr="t"/>
        </w:pict>
      </w:r>
    </w:p>
    <w:bookmarkEnd w:id="75"/>
    <w:bookmarkStart w:id="76" w:name="não-misturar-refund-com-chargeback"/>
    <w:p>
      <w:pPr>
        <w:pStyle w:val="Heading1"/>
      </w:pPr>
      <w:r>
        <w:t xml:space="preserve">65. Não Misturar Refund com Chargeback</w:t>
      </w:r>
    </w:p>
    <w:p>
      <w:pPr>
        <w:pStyle w:val="FirstParagraph"/>
      </w:pPr>
      <w:r>
        <w:t xml:space="preserve">Embora ambos reduzam o valor econômico da venda:</w:t>
      </w:r>
    </w:p>
    <w:p>
      <w:pPr>
        <w:pStyle w:val="SourceCode"/>
      </w:pP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CHARGEBACK</w:t>
      </w:r>
    </w:p>
    <w:p>
      <w:pPr>
        <w:pStyle w:val="FirstParagraph"/>
      </w:pPr>
      <w:r>
        <w:t xml:space="preserve">são fatos diferentes.</w:t>
      </w:r>
    </w:p>
    <w:p>
      <w:pPr>
        <w:pStyle w:val="BodyText"/>
      </w:pPr>
      <w:r>
        <w:t xml:space="preserve">Refund:</w:t>
      </w:r>
    </w:p>
    <w:p>
      <w:pPr>
        <w:pStyle w:val="SourceCode"/>
      </w:pPr>
      <w:r>
        <w:rPr>
          <w:rStyle w:val="VerbatimChar"/>
        </w:rPr>
        <w:t xml:space="preserve">decisão/processo de devolução</w:t>
      </w:r>
    </w:p>
    <w:p>
      <w:pPr>
        <w:pStyle w:val="FirstParagraph"/>
      </w:pPr>
      <w:r>
        <w:t xml:space="preserve">Chargeback:</w:t>
      </w:r>
    </w:p>
    <w:p>
      <w:pPr>
        <w:pStyle w:val="SourceCode"/>
      </w:pPr>
      <w:r>
        <w:rPr>
          <w:rStyle w:val="VerbatimChar"/>
        </w:rPr>
        <w:t xml:space="preserve">disputa/intervenção do emissor/provider</w:t>
      </w:r>
    </w:p>
    <w:p>
      <w:pPr>
        <w:pStyle w:val="FirstParagraph"/>
      </w:pPr>
      <w:r>
        <w:t xml:space="preserve">Cada um deverá possuir:</w:t>
      </w:r>
    </w:p>
    <w:p>
      <w:pPr>
        <w:pStyle w:val="SourceCode"/>
      </w:pPr>
      <w:r>
        <w:rPr>
          <w:rStyle w:val="VerbatimChar"/>
        </w:rPr>
        <w:t xml:space="preserve">Financial Transaction própria</w:t>
      </w:r>
      <w:r>
        <w:br/>
      </w:r>
      <w:r>
        <w:rPr>
          <w:rStyle w:val="VerbatimChar"/>
        </w:rPr>
        <w:t xml:space="preserve">Ledger Transaction própria</w:t>
      </w:r>
      <w:r>
        <w:br/>
      </w:r>
      <w:r>
        <w:rPr>
          <w:rStyle w:val="VerbatimChar"/>
        </w:rPr>
        <w:t xml:space="preserve">idempotência própria</w:t>
      </w:r>
      <w:r>
        <w:br/>
      </w:r>
      <w:r>
        <w:rPr>
          <w:rStyle w:val="VerbatimChar"/>
        </w:rPr>
        <w:t xml:space="preserve">auditoria própria</w:t>
      </w:r>
    </w:p>
    <w:p>
      <w:r>
        <w:pict>
          <v:rect style="width:0;height:1.5pt" o:hralign="center" o:hrstd="t" o:hr="t"/>
        </w:pict>
      </w:r>
    </w:p>
    <w:bookmarkEnd w:id="76"/>
    <w:bookmarkStart w:id="77" w:name="não-misturar-commission-com-provider-fee"/>
    <w:p>
      <w:pPr>
        <w:pStyle w:val="Heading1"/>
      </w:pPr>
      <w:r>
        <w:t xml:space="preserve">66. Não Misturar Commission com Provider Fee</w:t>
      </w:r>
    </w:p>
    <w:p>
      <w:pPr>
        <w:pStyle w:val="SourceCode"/>
      </w:pP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receita operacional do MiniHub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Provider Fee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custo operacional do MiniHub</w:t>
      </w:r>
    </w:p>
    <w:p>
      <w:pPr>
        <w:pStyle w:val="FirstParagraph"/>
      </w:pPr>
      <w:r>
        <w:t xml:space="preserve">São economicamente opostos e deverão permanecer separados.</w:t>
      </w:r>
    </w:p>
    <w:p>
      <w:r>
        <w:pict>
          <v:rect style="width:0;height:1.5pt" o:hralign="center" o:hrstd="t" o:hr="t"/>
        </w:pict>
      </w:r>
    </w:p>
    <w:bookmarkEnd w:id="77"/>
    <w:bookmarkStart w:id="78" w:name="regra-para-o-código"/>
    <w:p>
      <w:pPr>
        <w:pStyle w:val="Heading1"/>
      </w:pPr>
      <w:r>
        <w:t xml:space="preserve">67. Regra para o Código</w:t>
      </w:r>
    </w:p>
    <w:p>
      <w:pPr>
        <w:pStyle w:val="FirstParagraph"/>
      </w:pPr>
      <w:r>
        <w:t xml:space="preserve">Nenhum módulo poderá decidir:</w:t>
      </w:r>
    </w:p>
    <w:p>
      <w:pPr>
        <w:pStyle w:val="SourceCode"/>
      </w:pPr>
      <w:r>
        <w:rPr>
          <w:rStyle w:val="VerbatimChar"/>
        </w:rPr>
        <w:t xml:space="preserve">"Seller Payable é crédito porque estou adicionando saldo"</w:t>
      </w:r>
    </w:p>
    <w:p>
      <w:pPr>
        <w:pStyle w:val="FirstParagraph"/>
      </w:pPr>
      <w:r>
        <w:t xml:space="preserve">A decisão deverá vir de:</w:t>
      </w:r>
    </w:p>
    <w:p>
      <w:pPr>
        <w:pStyle w:val="SourceCode"/>
      </w:pPr>
      <w:r>
        <w:rPr>
          <w:rStyle w:val="VerbatimChar"/>
        </w:rPr>
        <w:t xml:space="preserve">LEDGER_ACCOUNT.normal_balance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normalBalance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credit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normalBalance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credit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implementação real deverá centralizar essa lógica em um único serviço de domínio financeiro.</w:t>
      </w:r>
    </w:p>
    <w:p>
      <w:r>
        <w:pict>
          <v:rect style="width:0;height:1.5pt" o:hralign="center" o:hrstd="t" o:hr="t"/>
        </w:pict>
      </w:r>
    </w:p>
    <w:bookmarkEnd w:id="78"/>
    <w:bookmarkStart w:id="79" w:name="finance-domain"/>
    <w:p>
      <w:pPr>
        <w:pStyle w:val="Heading1"/>
      </w:pPr>
      <w:r>
        <w:t xml:space="preserve">68. Finance Domain</w:t>
      </w:r>
    </w:p>
    <w:p>
      <w:pPr>
        <w:pStyle w:val="FirstParagraph"/>
      </w:pPr>
      <w:r>
        <w:t xml:space="preserve">Recomenda-se:</w:t>
      </w:r>
    </w:p>
    <w:p>
      <w:pPr>
        <w:pStyle w:val="SourceCode"/>
      </w:pPr>
      <w:r>
        <w:rPr>
          <w:rStyle w:val="VerbatimChar"/>
        </w:rPr>
        <w:t xml:space="preserve">FinanceDomain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LedgerService</w:t>
      </w:r>
    </w:p>
    <w:p>
      <w:pPr>
        <w:pStyle w:val="FirstParagraph"/>
      </w:pPr>
      <w:r>
        <w:t xml:space="preserve">como autoridade para:</w:t>
      </w:r>
    </w:p>
    <w:p>
      <w:pPr>
        <w:pStyle w:val="SourceCode"/>
      </w:pPr>
      <w:r>
        <w:rPr>
          <w:rStyle w:val="VerbatimChar"/>
        </w:rPr>
        <w:t xml:space="preserve">createTransaction()</w:t>
      </w:r>
      <w:r>
        <w:br/>
      </w:r>
      <w:r>
        <w:rPr>
          <w:rStyle w:val="VerbatimChar"/>
        </w:rPr>
        <w:t xml:space="preserve">createEntry()</w:t>
      </w:r>
      <w:r>
        <w:br/>
      </w:r>
      <w:r>
        <w:rPr>
          <w:rStyle w:val="VerbatimChar"/>
        </w:rPr>
        <w:t xml:space="preserve">validateBalance()</w:t>
      </w:r>
      <w:r>
        <w:br/>
      </w:r>
      <w:r>
        <w:rPr>
          <w:rStyle w:val="VerbatimChar"/>
        </w:rPr>
        <w:t xml:space="preserve">reverseTransaction()</w:t>
      </w:r>
      <w:r>
        <w:br/>
      </w:r>
      <w:r>
        <w:rPr>
          <w:rStyle w:val="VerbatimChar"/>
        </w:rPr>
        <w:t xml:space="preserve">createAdjustment()</w:t>
      </w:r>
      <w:r>
        <w:br/>
      </w:r>
      <w:r>
        <w:rPr>
          <w:rStyle w:val="VerbatimChar"/>
        </w:rPr>
        <w:t xml:space="preserve">rebuildBalance()</w:t>
      </w:r>
    </w:p>
    <w:p>
      <w:pPr>
        <w:pStyle w:val="FirstParagraph"/>
      </w:pPr>
      <w:r>
        <w:t xml:space="preserve">Payment, Order, Settlement e outros módulos não deverão duplicar essas regras.</w:t>
      </w:r>
    </w:p>
    <w:p>
      <w:r>
        <w:pict>
          <v:rect style="width:0;height:1.5pt" o:hralign="center" o:hrstd="t" o:hr="t"/>
        </w:pict>
      </w:r>
    </w:p>
    <w:bookmarkEnd w:id="79"/>
    <w:bookmarkStart w:id="80" w:name="api-financeira"/>
    <w:p>
      <w:pPr>
        <w:pStyle w:val="Heading1"/>
      </w:pPr>
      <w:r>
        <w:t xml:space="preserve">69. API Financeira</w:t>
      </w:r>
    </w:p>
    <w:p>
      <w:pPr>
        <w:pStyle w:val="FirstParagraph"/>
      </w:pPr>
      <w:r>
        <w:t xml:space="preserve">APIs de negócio:</w:t>
      </w:r>
    </w:p>
    <w:p>
      <w:pPr>
        <w:pStyle w:val="SourceCode"/>
      </w:pPr>
      <w:r>
        <w:rPr>
          <w:rStyle w:val="VerbatimChar"/>
        </w:rPr>
        <w:t xml:space="preserve">POST /api/v1/refunds</w:t>
      </w:r>
      <w:r>
        <w:br/>
      </w:r>
      <w:r>
        <w:rPr>
          <w:rStyle w:val="VerbatimChar"/>
        </w:rPr>
        <w:t xml:space="preserve">POST /api/v1/seller-settlements</w:t>
      </w:r>
      <w:r>
        <w:br/>
      </w:r>
      <w:r>
        <w:rPr>
          <w:rStyle w:val="VerbatimChar"/>
        </w:rPr>
        <w:t xml:space="preserve">POST /api/v1/financial-adjustments</w:t>
      </w:r>
    </w:p>
    <w:p>
      <w:pPr>
        <w:pStyle w:val="FirstParagraph"/>
      </w:pPr>
      <w:r>
        <w:t xml:space="preserve">O domínio financeiro criará internamente: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</w:p>
    <w:p>
      <w:r>
        <w:pict>
          <v:rect style="width:0;height:1.5pt" o:hralign="center" o:hrstd="t" o:hr="t"/>
        </w:pict>
      </w:r>
    </w:p>
    <w:bookmarkEnd w:id="80"/>
    <w:bookmarkStart w:id="81" w:name="api-proibida"/>
    <w:p>
      <w:pPr>
        <w:pStyle w:val="Heading1"/>
      </w:pPr>
      <w:r>
        <w:t xml:space="preserve">70. API Proibida</w:t>
      </w:r>
    </w:p>
    <w:p>
      <w:pPr>
        <w:pStyle w:val="FirstParagraph"/>
      </w:pPr>
      <w:r>
        <w:t xml:space="preserve">Não expor:</w:t>
      </w:r>
    </w:p>
    <w:p>
      <w:pPr>
        <w:pStyle w:val="SourceCode"/>
      </w:pPr>
      <w:r>
        <w:rPr>
          <w:rStyle w:val="VerbatimChar"/>
        </w:rPr>
        <w:t xml:space="preserve">POST /api/v1/ledger/entries</w:t>
      </w:r>
    </w:p>
    <w:p>
      <w:pPr>
        <w:pStyle w:val="FirstParagraph"/>
      </w:pPr>
      <w:r>
        <w:t xml:space="preserve">para criação arbitrária.</w:t>
      </w:r>
    </w:p>
    <w:p>
      <w:pPr>
        <w:pStyle w:val="BodyText"/>
      </w:pPr>
      <w:r>
        <w:t xml:space="preserve">Isso permitiria:</w:t>
      </w:r>
    </w:p>
    <w:p>
      <w:pPr>
        <w:pStyle w:val="SourceCode"/>
      </w:pPr>
      <w:r>
        <w:rPr>
          <w:rStyle w:val="VerbatimChar"/>
        </w:rPr>
        <w:t xml:space="preserve">usuário → crédito artificial</w:t>
      </w:r>
    </w:p>
    <w:p>
      <w:pPr>
        <w:pStyle w:val="FirstParagraph"/>
      </w:pPr>
      <w:r>
        <w:t xml:space="preserve">e quebraria a integridade financeira.</w:t>
      </w:r>
    </w:p>
    <w:p>
      <w:r>
        <w:pict>
          <v:rect style="width:0;height:1.5pt" o:hralign="center" o:hrstd="t" o:hr="t"/>
        </w:pict>
      </w:r>
    </w:p>
    <w:bookmarkEnd w:id="81"/>
    <w:bookmarkStart w:id="85" w:name="testes-obrigatórios"/>
    <w:p>
      <w:pPr>
        <w:pStyle w:val="Heading1"/>
      </w:pPr>
      <w:r>
        <w:t xml:space="preserve">71. Testes Obrigatórios</w:t>
      </w:r>
    </w:p>
    <w:bookmarkStart w:id="82" w:name="teste-1-conta-debit-normal"/>
    <w:p>
      <w:pPr>
        <w:pStyle w:val="Heading3"/>
      </w:pPr>
      <w:r>
        <w:t xml:space="preserve">Teste 1 — Conta Debit Normal</w:t>
      </w:r>
    </w:p>
    <w:p>
      <w:pPr>
        <w:pStyle w:val="SourceCode"/>
      </w:pPr>
      <w:r>
        <w:rPr>
          <w:rStyle w:val="VerbatimChar"/>
        </w:rPr>
        <w:t xml:space="preserve">DEBIT 100</w:t>
      </w:r>
      <w:r>
        <w:br/>
      </w:r>
      <w:r>
        <w:rPr>
          <w:rStyle w:val="VerbatimChar"/>
        </w:rPr>
        <w:t xml:space="preserve">CREDIT 20</w:t>
      </w:r>
      <w:r>
        <w:br/>
      </w:r>
      <w:r>
        <w:br/>
      </w:r>
      <w:r>
        <w:rPr>
          <w:rStyle w:val="VerbatimChar"/>
        </w:rPr>
        <w:t xml:space="preserve">Saldo:</w:t>
      </w:r>
      <w:r>
        <w:br/>
      </w:r>
      <w:r>
        <w:rPr>
          <w:rStyle w:val="VerbatimChar"/>
        </w:rPr>
        <w:t xml:space="preserve">80</w:t>
      </w:r>
    </w:p>
    <w:bookmarkEnd w:id="82"/>
    <w:bookmarkStart w:id="83" w:name="teste-2-conta-credit-normal"/>
    <w:p>
      <w:pPr>
        <w:pStyle w:val="Heading3"/>
      </w:pPr>
      <w:r>
        <w:t xml:space="preserve">Teste 2 — Conta Credit Normal</w:t>
      </w:r>
    </w:p>
    <w:p>
      <w:pPr>
        <w:pStyle w:val="SourceCode"/>
      </w:pPr>
      <w:r>
        <w:rPr>
          <w:rStyle w:val="VerbatimChar"/>
        </w:rPr>
        <w:t xml:space="preserve">CREDIT 100</w:t>
      </w:r>
      <w:r>
        <w:br/>
      </w:r>
      <w:r>
        <w:rPr>
          <w:rStyle w:val="VerbatimChar"/>
        </w:rPr>
        <w:t xml:space="preserve">DEBIT 20</w:t>
      </w:r>
      <w:r>
        <w:br/>
      </w:r>
      <w:r>
        <w:br/>
      </w:r>
      <w:r>
        <w:rPr>
          <w:rStyle w:val="VerbatimChar"/>
        </w:rPr>
        <w:t xml:space="preserve">Saldo:</w:t>
      </w:r>
      <w:r>
        <w:br/>
      </w:r>
      <w:r>
        <w:rPr>
          <w:rStyle w:val="VerbatimChar"/>
        </w:rPr>
        <w:t xml:space="preserve">80</w:t>
      </w:r>
    </w:p>
    <w:bookmarkEnd w:id="83"/>
    <w:bookmarkStart w:id="84" w:name="teste-3-transaction"/>
    <w:p>
      <w:pPr>
        <w:pStyle w:val="Heading3"/>
      </w:pPr>
      <w:r>
        <w:t xml:space="preserve">Teste 3 — Transaction</w:t>
      </w:r>
    </w:p>
    <w:p>
      <w:pPr>
        <w:pStyle w:val="SourceCode"/>
      </w:pPr>
      <w:r>
        <w:rPr>
          <w:rStyle w:val="VerbatimChar"/>
        </w:rPr>
        <w:t xml:space="preserve">DEBIT 500</w:t>
      </w:r>
      <w:r>
        <w:br/>
      </w:r>
      <w:r>
        <w:rPr>
          <w:rStyle w:val="VerbatimChar"/>
        </w:rPr>
        <w:t xml:space="preserve">CREDIT 450</w:t>
      </w:r>
      <w:r>
        <w:br/>
      </w:r>
      <w:r>
        <w:rPr>
          <w:rStyle w:val="VerbatimChar"/>
        </w:rPr>
        <w:t xml:space="preserve">CREDIT 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BALANCED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teste-de-transaction-desequilibrada"/>
    <w:p>
      <w:pPr>
        <w:pStyle w:val="Heading1"/>
      </w:pPr>
      <w:r>
        <w:t xml:space="preserve">72. Teste de Transaction Desequilibrada</w:t>
      </w:r>
    </w:p>
    <w:p>
      <w:pPr>
        <w:pStyle w:val="SourceCode"/>
      </w:pPr>
      <w:r>
        <w:rPr>
          <w:rStyle w:val="VerbatimChar"/>
        </w:rPr>
        <w:t xml:space="preserve">DEBIT 500</w:t>
      </w:r>
      <w:r>
        <w:br/>
      </w:r>
      <w:r>
        <w:rPr>
          <w:rStyle w:val="VerbatimChar"/>
        </w:rPr>
        <w:t xml:space="preserve">CREDIT 450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Não permitir persistência.</w:t>
      </w:r>
    </w:p>
    <w:p>
      <w:r>
        <w:pict>
          <v:rect style="width:0;height:1.5pt" o:hralign="center" o:hrstd="t" o:hr="t"/>
        </w:pict>
      </w:r>
    </w:p>
    <w:bookmarkEnd w:id="86"/>
    <w:bookmarkStart w:id="87" w:name="teste-de-amount-negativo"/>
    <w:p>
      <w:pPr>
        <w:pStyle w:val="Heading1"/>
      </w:pPr>
      <w:r>
        <w:t xml:space="preserve">73. Teste de Amount Negativo</w:t>
      </w:r>
    </w:p>
    <w:p>
      <w:pPr>
        <w:pStyle w:val="SourceCode"/>
      </w:pPr>
      <w:r>
        <w:rPr>
          <w:rStyle w:val="VerbatimChar"/>
        </w:rPr>
        <w:t xml:space="preserve">amount = -100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87"/>
    <w:bookmarkStart w:id="88" w:name="teste-de-refund-duplicado"/>
    <w:p>
      <w:pPr>
        <w:pStyle w:val="Heading1"/>
      </w:pPr>
      <w:r>
        <w:t xml:space="preserve">74. Teste de Refund Duplicado</w:t>
      </w:r>
    </w:p>
    <w:p>
      <w:pPr>
        <w:pStyle w:val="FirstParagraph"/>
      </w:pPr>
      <w:r>
        <w:t xml:space="preserve">Enviar:</w:t>
      </w:r>
    </w:p>
    <w:p>
      <w:pPr>
        <w:pStyle w:val="SourceCode"/>
      </w:pPr>
      <w:r>
        <w:rPr>
          <w:rStyle w:val="VerbatimChar"/>
        </w:rPr>
        <w:t xml:space="preserve">refund_123</w:t>
      </w:r>
    </w:p>
    <w:p>
      <w:pPr>
        <w:pStyle w:val="FirstParagraph"/>
      </w:pPr>
      <w:r>
        <w:t xml:space="preserve">duas vezes.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Financial Transaction</w:t>
      </w:r>
      <w:r>
        <w:br/>
      </w:r>
      <w:r>
        <w:rPr>
          <w:rStyle w:val="VerbatimChar"/>
        </w:rPr>
        <w:t xml:space="preserve">1 Ledger Transaction</w:t>
      </w:r>
      <w:r>
        <w:br/>
      </w:r>
      <w:r>
        <w:rPr>
          <w:rStyle w:val="VerbatimChar"/>
        </w:rPr>
        <w:t xml:space="preserve">1 efeito financeiro</w:t>
      </w:r>
    </w:p>
    <w:p>
      <w:r>
        <w:pict>
          <v:rect style="width:0;height:1.5pt" o:hralign="center" o:hrstd="t" o:hr="t"/>
        </w:pict>
      </w:r>
    </w:p>
    <w:bookmarkEnd w:id="88"/>
    <w:bookmarkStart w:id="89" w:name="teste-de-settlement-duplicado"/>
    <w:p>
      <w:pPr>
        <w:pStyle w:val="Heading1"/>
      </w:pPr>
      <w:r>
        <w:t xml:space="preserve">75. Teste de Settlement Duplicado</w:t>
      </w:r>
    </w:p>
    <w:p>
      <w:pPr>
        <w:pStyle w:val="FirstParagraph"/>
      </w:pPr>
      <w:r>
        <w:t xml:space="preserve">Enviar:</w:t>
      </w:r>
    </w:p>
    <w:p>
      <w:pPr>
        <w:pStyle w:val="SourceCode"/>
      </w:pPr>
      <w:r>
        <w:rPr>
          <w:rStyle w:val="VerbatimChar"/>
        </w:rPr>
        <w:t xml:space="preserve">settlement_123 = PAID</w:t>
      </w:r>
    </w:p>
    <w:p>
      <w:pPr>
        <w:pStyle w:val="FirstParagraph"/>
      </w:pPr>
      <w:r>
        <w:t xml:space="preserve">duas vezes.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lançamento</w:t>
      </w:r>
    </w:p>
    <w:p>
      <w:r>
        <w:pict>
          <v:rect style="width:0;height:1.5pt" o:hralign="center" o:hrstd="t" o:hr="t"/>
        </w:pict>
      </w:r>
    </w:p>
    <w:bookmarkEnd w:id="89"/>
    <w:bookmarkStart w:id="90" w:name="teste-de-rebuild"/>
    <w:p>
      <w:pPr>
        <w:pStyle w:val="Heading1"/>
      </w:pPr>
      <w:r>
        <w:t xml:space="preserve">76. Teste de Rebuild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VerbatimChar"/>
        </w:rPr>
        <w:t xml:space="preserve">DELETE BALANCE PROJECTION</w:t>
      </w:r>
    </w:p>
    <w:p>
      <w:pPr>
        <w:pStyle w:val="FirstParagraph"/>
      </w:pPr>
      <w:r>
        <w:t xml:space="preserve">somente em ambiente controlado de teste.</w:t>
      </w:r>
    </w:p>
    <w:p>
      <w:pPr>
        <w:pStyle w:val="BodyText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REBUILD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Balance Rebuilt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Balance Original</w:t>
      </w:r>
    </w:p>
    <w:p>
      <w:r>
        <w:pict>
          <v:rect style="width:0;height:1.5pt" o:hralign="center" o:hrstd="t" o:hr="t"/>
        </w:pict>
      </w:r>
    </w:p>
    <w:bookmarkEnd w:id="90"/>
    <w:bookmarkStart w:id="91" w:name="teste-de-refund-após-settlement"/>
    <w:p>
      <w:pPr>
        <w:pStyle w:val="Heading1"/>
      </w:pPr>
      <w:r>
        <w:t xml:space="preserve">77. Teste de Refund Após Settlement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Sale = 500</w:t>
      </w:r>
      <w:r>
        <w:br/>
      </w:r>
      <w:r>
        <w:rPr>
          <w:rStyle w:val="VerbatimChar"/>
        </w:rPr>
        <w:t xml:space="preserve">Seller = 450</w:t>
      </w:r>
      <w:r>
        <w:br/>
      </w:r>
      <w:r>
        <w:rPr>
          <w:rStyle w:val="VerbatimChar"/>
        </w:rPr>
        <w:t xml:space="preserve">Settlement = 450 PAID</w:t>
      </w:r>
      <w:r>
        <w:br/>
      </w:r>
      <w:r>
        <w:rPr>
          <w:rStyle w:val="VerbatimChar"/>
        </w:rPr>
        <w:t xml:space="preserve">Refund = 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Settlement continua PAID</w:t>
      </w:r>
      <w:r>
        <w:br/>
      </w:r>
      <w:r>
        <w:br/>
      </w:r>
      <w:r>
        <w:rPr>
          <w:rStyle w:val="VerbatimChar"/>
        </w:rPr>
        <w:t xml:space="preserve">Novo efeito:</w:t>
      </w:r>
      <w:r>
        <w:br/>
      </w:r>
      <w:r>
        <w:rPr>
          <w:rStyle w:val="VerbatimChar"/>
        </w:rPr>
        <w:t xml:space="preserve">Seller Recovery</w:t>
      </w:r>
    </w:p>
    <w:p>
      <w:r>
        <w:pict>
          <v:rect style="width:0;height:1.5pt" o:hralign="center" o:hrstd="t" o:hr="t"/>
        </w:pict>
      </w:r>
    </w:p>
    <w:bookmarkEnd w:id="91"/>
    <w:bookmarkStart w:id="92" w:name="teste-de-hold"/>
    <w:p>
      <w:pPr>
        <w:pStyle w:val="Heading1"/>
      </w:pPr>
      <w:r>
        <w:t xml:space="preserve">78. Teste de Hold</w:t>
      </w:r>
    </w:p>
    <w:p>
      <w:pPr>
        <w:pStyle w:val="SourceCode"/>
      </w:pPr>
      <w:r>
        <w:rPr>
          <w:rStyle w:val="VerbatimChar"/>
        </w:rPr>
        <w:t xml:space="preserve">Seller Payable = 500</w:t>
      </w:r>
      <w:r>
        <w:br/>
      </w:r>
      <w:r>
        <w:br/>
      </w:r>
      <w:r>
        <w:rPr>
          <w:rStyle w:val="VerbatimChar"/>
        </w:rPr>
        <w:t xml:space="preserve">Hold = 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Payable disponível = 400</w:t>
      </w:r>
      <w:r>
        <w:br/>
      </w:r>
      <w:r>
        <w:rPr>
          <w:rStyle w:val="VerbatimChar"/>
        </w:rPr>
        <w:t xml:space="preserve">Held = 100</w:t>
      </w:r>
      <w:r>
        <w:br/>
      </w:r>
      <w:r>
        <w:rPr>
          <w:rStyle w:val="VerbatimChar"/>
        </w:rPr>
        <w:t xml:space="preserve">Total obrigação = 500</w:t>
      </w:r>
    </w:p>
    <w:p>
      <w:pPr>
        <w:pStyle w:val="FirstParagraph"/>
      </w:pPr>
      <w:r>
        <w:t xml:space="preserve">Não pode ocorrer:</w:t>
      </w:r>
    </w:p>
    <w:p>
      <w:pPr>
        <w:pStyle w:val="SourceCode"/>
      </w:pPr>
      <w:r>
        <w:rPr>
          <w:rStyle w:val="VerbatimChar"/>
        </w:rPr>
        <w:t xml:space="preserve">Total = 400</w:t>
      </w:r>
    </w:p>
    <w:p>
      <w:r>
        <w:pict>
          <v:rect style="width:0;height:1.5pt" o:hralign="center" o:hrstd="t" o:hr="t"/>
        </w:pict>
      </w:r>
    </w:p>
    <w:bookmarkEnd w:id="92"/>
    <w:bookmarkStart w:id="93" w:name="teste-de-release"/>
    <w:p>
      <w:pPr>
        <w:pStyle w:val="Heading1"/>
      </w:pPr>
      <w:r>
        <w:t xml:space="preserve">79. Teste de Release</w:t>
      </w:r>
    </w:p>
    <w:p>
      <w:pPr>
        <w:pStyle w:val="SourceCode"/>
      </w:pPr>
      <w:r>
        <w:rPr>
          <w:rStyle w:val="VerbatimChar"/>
        </w:rPr>
        <w:t xml:space="preserve">Held = 100</w:t>
      </w:r>
    </w:p>
    <w:p>
      <w:pPr>
        <w:pStyle w:val="FirstParagraph"/>
      </w:pPr>
      <w:r>
        <w:t xml:space="preserve">Após release:</w:t>
      </w:r>
    </w:p>
    <w:p>
      <w:pPr>
        <w:pStyle w:val="SourceCode"/>
      </w:pPr>
      <w:r>
        <w:rPr>
          <w:rStyle w:val="VerbatimChar"/>
        </w:rPr>
        <w:t xml:space="preserve">Held = 0</w:t>
      </w:r>
      <w:r>
        <w:br/>
      </w:r>
      <w:r>
        <w:rPr>
          <w:rStyle w:val="VerbatimChar"/>
        </w:rPr>
        <w:t xml:space="preserve">Available/Payable classification += 100</w:t>
      </w:r>
    </w:p>
    <w:p>
      <w:pPr>
        <w:pStyle w:val="FirstParagraph"/>
      </w:pPr>
      <w:r>
        <w:t xml:space="preserve">A obrigação total permanece consistente.</w:t>
      </w:r>
    </w:p>
    <w:p>
      <w:r>
        <w:pict>
          <v:rect style="width:0;height:1.5pt" o:hralign="center" o:hrstd="t" o:hr="t"/>
        </w:pict>
      </w:r>
    </w:p>
    <w:bookmarkEnd w:id="93"/>
    <w:bookmarkStart w:id="94" w:name="regra-final-do-plano-de-contas"/>
    <w:p>
      <w:pPr>
        <w:pStyle w:val="Heading1"/>
      </w:pPr>
      <w:r>
        <w:t xml:space="preserve">80. Regra Final do Plano de Contas</w:t>
      </w:r>
    </w:p>
    <w:p>
      <w:pPr>
        <w:pStyle w:val="FirstParagraph"/>
      </w:pPr>
      <w:r>
        <w:t xml:space="preserve">O plano de contas operacional inicial deverá ser pequeno.</w:t>
      </w:r>
    </w:p>
    <w:p>
      <w:pPr>
        <w:pStyle w:val="BodyText"/>
      </w:pPr>
      <w:r>
        <w:t xml:space="preserve">A plataforma não deverá tentar reproduzir um plano contábil completo.</w:t>
      </w:r>
    </w:p>
    <w:p>
      <w:pPr>
        <w:pStyle w:val="BodyText"/>
      </w:pPr>
      <w:r>
        <w:t xml:space="preserve">O objetivo é controlar:</w:t>
      </w:r>
    </w:p>
    <w:p>
      <w:pPr>
        <w:pStyle w:val="SourceCode"/>
      </w:pPr>
      <w:r>
        <w:rPr>
          <w:rStyle w:val="VerbatimChar"/>
        </w:rPr>
        <w:t xml:space="preserve">recebimentos</w:t>
      </w:r>
      <w:r>
        <w:br/>
      </w:r>
      <w:r>
        <w:rPr>
          <w:rStyle w:val="VerbatimChar"/>
        </w:rPr>
        <w:t xml:space="preserve">obrigações</w:t>
      </w:r>
      <w:r>
        <w:br/>
      </w:r>
      <w:r>
        <w:rPr>
          <w:rStyle w:val="VerbatimChar"/>
        </w:rPr>
        <w:t xml:space="preserve">comissões</w:t>
      </w:r>
      <w:r>
        <w:br/>
      </w:r>
      <w:r>
        <w:rPr>
          <w:rStyle w:val="VerbatimChar"/>
        </w:rPr>
        <w:t xml:space="preserve">taxas</w:t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holds</w:t>
      </w:r>
      <w:r>
        <w:br/>
      </w:r>
      <w:r>
        <w:rPr>
          <w:rStyle w:val="VerbatimChar"/>
        </w:rPr>
        <w:t xml:space="preserve">settlements</w:t>
      </w:r>
      <w:r>
        <w:br/>
      </w:r>
      <w:r>
        <w:rPr>
          <w:rStyle w:val="VerbatimChar"/>
        </w:rPr>
        <w:t xml:space="preserve">adjustments</w:t>
      </w:r>
      <w:r>
        <w:br/>
      </w:r>
      <w:r>
        <w:rPr>
          <w:rStyle w:val="VerbatimChar"/>
        </w:rPr>
        <w:t xml:space="preserve">reconciliações</w:t>
      </w:r>
    </w:p>
    <w:p>
      <w:r>
        <w:pict>
          <v:rect style="width:0;height:1.5pt" o:hralign="center" o:hrstd="t" o:hr="t"/>
        </w:pict>
      </w:r>
    </w:p>
    <w:bookmarkEnd w:id="94"/>
    <w:bookmarkStart w:id="95" w:name="modelo-final"/>
    <w:p>
      <w:pPr>
        <w:pStyle w:val="Heading1"/>
      </w:pPr>
      <w:r>
        <w:t xml:space="preserve">81. Modelo Final</w:t>
      </w:r>
    </w:p>
    <w:p>
      <w:pPr>
        <w:pStyle w:val="SourceCode"/>
      </w:pPr>
      <w:r>
        <w:rPr>
          <w:rStyle w:val="VerbatimChar"/>
        </w:rPr>
        <w:t xml:space="preserve">                         FINANCIAL EVENT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FINANCIAL_TRANSACTION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LEDGER_TRANSACTION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▼                       ▼</w:t>
      </w:r>
      <w:r>
        <w:br/>
      </w:r>
      <w:r>
        <w:rPr>
          <w:rStyle w:val="VerbatimChar"/>
        </w:rPr>
        <w:t xml:space="preserve">                  DEBIT                   CREDIT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▼                       ▼</w:t>
      </w:r>
      <w:r>
        <w:br/>
      </w:r>
      <w:r>
        <w:rPr>
          <w:rStyle w:val="VerbatimChar"/>
        </w:rPr>
        <w:t xml:space="preserve">                 ACCOUNT A               ACCOUNT B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BALANCE PROJECTION</w:t>
      </w:r>
    </w:p>
    <w:p>
      <w:r>
        <w:pict>
          <v:rect style="width:0;height:1.5pt" o:hralign="center" o:hrstd="t" o:hr="t"/>
        </w:pict>
      </w:r>
    </w:p>
    <w:bookmarkEnd w:id="95"/>
    <w:bookmarkStart w:id="96" w:name="regra-de-ouro-financeira"/>
    <w:p>
      <w:pPr>
        <w:pStyle w:val="Heading1"/>
      </w:pPr>
      <w:r>
        <w:t xml:space="preserve">82. Regra de Ouro Financeira</w:t>
      </w:r>
    </w:p>
    <w:p>
      <w:pPr>
        <w:pStyle w:val="BlockText"/>
      </w:pPr>
      <w:r>
        <w:rPr>
          <w:b/>
          <w:bCs/>
        </w:rPr>
        <w:t xml:space="preserve">Toda operação financeira relevante deverá possuir um fato de negócio, uma Financial Transaction, uma Ledger Transaction e lançamentos equilibrados.</w:t>
      </w:r>
    </w:p>
    <w:p>
      <w:pPr>
        <w:pStyle w:val="BlockText"/>
      </w:pPr>
      <w:r>
        <w:rPr>
          <w:b/>
          <w:bCs/>
        </w:rPr>
        <w:t xml:space="preserve">Toda Ledger Transaction deverá possuir débitos e créditos em valores positivos, sendo o efeito sobre o saldo determinado pela natureza normal da conta.</w:t>
      </w:r>
    </w:p>
    <w:p>
      <w:pPr>
        <w:pStyle w:val="BlockText"/>
      </w:pPr>
      <w:r>
        <w:rPr>
          <w:b/>
          <w:bCs/>
        </w:rPr>
        <w:t xml:space="preserve">Nenhum módulo poderá reinterpretar localmente o significado de Débito ou Crédito.</w:t>
      </w:r>
    </w:p>
    <w:p>
      <w:pPr>
        <w:pStyle w:val="BlockText"/>
      </w:pPr>
      <w:r>
        <w:rPr>
          <w:b/>
          <w:bCs/>
        </w:rPr>
        <w:t xml:space="preserve">Refund, Chargeback, Settlement, Hold e Adjustment nunca deverão apagar ou alterar o histórico financeiro.</w:t>
      </w:r>
    </w:p>
    <w:p>
      <w:pPr>
        <w:pStyle w:val="BlockText"/>
      </w:pPr>
      <w:r>
        <w:rPr>
          <w:b/>
          <w:bCs/>
        </w:rPr>
        <w:t xml:space="preserve">Todo saldo deverá ser explicável por lançamentos do Ledger e pelas regras de negócio que determinam sua classificação como Pending, Held, Eligible, Available ou Paid.</w:t>
      </w:r>
    </w:p>
    <w:p>
      <w:r>
        <w:pict>
          <v:rect style="width:0;height:1.5pt" o:hralign="center" o:hrstd="t" o:hr="t"/>
        </w:pict>
      </w:r>
    </w:p>
    <w:bookmarkEnd w:id="96"/>
    <w:bookmarkStart w:id="97" w:name="decisões-para-implementação"/>
    <w:p>
      <w:pPr>
        <w:pStyle w:val="Heading1"/>
      </w:pPr>
      <w:r>
        <w:t xml:space="preserve">83. Decisões para Implementação</w:t>
      </w:r>
    </w:p>
    <w:p>
      <w:pPr>
        <w:pStyle w:val="FirstParagraph"/>
      </w:pPr>
      <w:r>
        <w:t xml:space="preserve">Antes das migrations definitivas do E13, ficam estabelecidas:</w:t>
      </w:r>
    </w:p>
    <w:p>
      <w:pPr>
        <w:pStyle w:val="SourceCode"/>
      </w:pPr>
      <w:r>
        <w:rPr>
          <w:rStyle w:val="VerbatimChar"/>
        </w:rPr>
        <w:t xml:space="preserve">1. Ledger = fonte histórica da verdade</w:t>
      </w:r>
      <w:r>
        <w:br/>
      </w:r>
      <w:r>
        <w:br/>
      </w:r>
      <w:r>
        <w:rPr>
          <w:rStyle w:val="VerbatimChar"/>
        </w:rPr>
        <w:t xml:space="preserve">2. Entry.amount sempre positivo</w:t>
      </w:r>
      <w:r>
        <w:br/>
      </w:r>
      <w:r>
        <w:br/>
      </w:r>
      <w:r>
        <w:rPr>
          <w:rStyle w:val="VerbatimChar"/>
        </w:rPr>
        <w:t xml:space="preserve">3. Entry.type = DEBIT | CREDIT</w:t>
      </w:r>
      <w:r>
        <w:br/>
      </w:r>
      <w:r>
        <w:br/>
      </w:r>
      <w:r>
        <w:rPr>
          <w:rStyle w:val="VerbatimChar"/>
        </w:rPr>
        <w:t xml:space="preserve">4. Account possui normal_balance</w:t>
      </w:r>
      <w:r>
        <w:br/>
      </w:r>
      <w:r>
        <w:br/>
      </w:r>
      <w:r>
        <w:rPr>
          <w:rStyle w:val="VerbatimChar"/>
        </w:rPr>
        <w:t xml:space="preserve">5. Debit/Credit não significam entrada/saída</w:t>
      </w:r>
      <w:r>
        <w:br/>
      </w:r>
      <w:r>
        <w:br/>
      </w:r>
      <w:r>
        <w:rPr>
          <w:rStyle w:val="VerbatimChar"/>
        </w:rPr>
        <w:t xml:space="preserve">6. Transaction deve ser equilibrada</w:t>
      </w:r>
      <w:r>
        <w:br/>
      </w:r>
      <w:r>
        <w:br/>
      </w:r>
      <w:r>
        <w:rPr>
          <w:rStyle w:val="VerbatimChar"/>
        </w:rPr>
        <w:t xml:space="preserve">7. Ledger é imutável</w:t>
      </w:r>
      <w:r>
        <w:br/>
      </w:r>
      <w:r>
        <w:br/>
      </w:r>
      <w:r>
        <w:rPr>
          <w:rStyle w:val="VerbatimChar"/>
        </w:rPr>
        <w:t xml:space="preserve">8. Correção = nova transação</w:t>
      </w:r>
      <w:r>
        <w:br/>
      </w:r>
      <w:r>
        <w:br/>
      </w:r>
      <w:r>
        <w:rPr>
          <w:rStyle w:val="VerbatimChar"/>
        </w:rPr>
        <w:t xml:space="preserve">9. Seller possui segregação financeira</w:t>
      </w:r>
      <w:r>
        <w:br/>
      </w:r>
      <w:r>
        <w:br/>
      </w:r>
      <w:r>
        <w:rPr>
          <w:rStyle w:val="VerbatimChar"/>
        </w:rPr>
        <w:t xml:space="preserve">10. Customer Wallet não faz parte do MVP</w:t>
      </w:r>
      <w:r>
        <w:br/>
      </w:r>
      <w:r>
        <w:br/>
      </w:r>
      <w:r>
        <w:rPr>
          <w:rStyle w:val="VerbatimChar"/>
        </w:rPr>
        <w:t xml:space="preserve">11. Commission ≠ Provider Fee</w:t>
      </w:r>
      <w:r>
        <w:br/>
      </w:r>
      <w:r>
        <w:br/>
      </w:r>
      <w:r>
        <w:rPr>
          <w:rStyle w:val="VerbatimChar"/>
        </w:rPr>
        <w:t xml:space="preserve">12. Refund ≠ Chargeback</w:t>
      </w:r>
      <w:r>
        <w:br/>
      </w:r>
      <w:r>
        <w:br/>
      </w:r>
      <w:r>
        <w:rPr>
          <w:rStyle w:val="VerbatimChar"/>
        </w:rPr>
        <w:t xml:space="preserve">13. Settlement ≠ Payment</w:t>
      </w:r>
      <w:r>
        <w:br/>
      </w:r>
      <w:r>
        <w:br/>
      </w:r>
      <w:r>
        <w:rPr>
          <w:rStyle w:val="VerbatimChar"/>
        </w:rPr>
        <w:t xml:space="preserve">14. Settlement ≠ dinheiro já transferido</w:t>
      </w:r>
      <w:r>
        <w:br/>
      </w:r>
      <w:r>
        <w:br/>
      </w:r>
      <w:r>
        <w:rPr>
          <w:rStyle w:val="VerbatimChar"/>
        </w:rPr>
        <w:t xml:space="preserve">15. Balance = projeção</w:t>
      </w:r>
      <w:r>
        <w:br/>
      </w:r>
      <w:r>
        <w:br/>
      </w:r>
      <w:r>
        <w:rPr>
          <w:rStyle w:val="VerbatimChar"/>
        </w:rPr>
        <w:t xml:space="preserve">16. Available/Held/Eligible/Pending/Paid = classificações derivadas</w:t>
      </w:r>
      <w:r>
        <w:br/>
      </w:r>
      <w:r>
        <w:br/>
      </w:r>
      <w:r>
        <w:rPr>
          <w:rStyle w:val="VerbatimChar"/>
        </w:rPr>
        <w:t xml:space="preserve">17. Reconciliação não gera ajuste automaticamente</w:t>
      </w:r>
      <w:r>
        <w:br/>
      </w:r>
      <w:r>
        <w:br/>
      </w:r>
      <w:r>
        <w:rPr>
          <w:rStyle w:val="VerbatimChar"/>
        </w:rPr>
        <w:t xml:space="preserve">18. Ajustes exigem motivo e auditoria</w:t>
      </w:r>
      <w:r>
        <w:br/>
      </w:r>
      <w:r>
        <w:br/>
      </w:r>
      <w:r>
        <w:rPr>
          <w:rStyle w:val="VerbatimChar"/>
        </w:rPr>
        <w:t xml:space="preserve">19. Nenhum usuário cria Ledger Entry arbitrariamente</w:t>
      </w:r>
      <w:r>
        <w:br/>
      </w:r>
      <w:r>
        <w:br/>
      </w:r>
      <w:r>
        <w:rPr>
          <w:rStyle w:val="VerbatimChar"/>
        </w:rPr>
        <w:t xml:space="preserve">20. Finance Domain é autoridade única para débito/crédito</w:t>
      </w:r>
    </w:p>
    <w:p>
      <w:r>
        <w:pict>
          <v:rect style="width:0;height:1.5pt" o:hralign="center" o:hrstd="t" o:hr="t"/>
        </w:pict>
      </w:r>
    </w:p>
    <w:bookmarkEnd w:id="97"/>
    <w:bookmarkStart w:id="98" w:name="próximo-passo-técnico"/>
    <w:p>
      <w:pPr>
        <w:pStyle w:val="Heading1"/>
      </w:pPr>
      <w:r>
        <w:t xml:space="preserve">84. Próximo Passo Técnico</w:t>
      </w:r>
    </w:p>
    <w:p>
      <w:pPr>
        <w:pStyle w:val="FirstParagraph"/>
      </w:pPr>
      <w:r>
        <w:t xml:space="preserve">Com esta especificação, o próximo documento do E13 deverá ser:</w:t>
      </w:r>
    </w:p>
    <w:p>
      <w:pPr>
        <w:pStyle w:val="BodyText"/>
      </w:pPr>
      <w:r>
        <w:rPr>
          <w:b/>
          <w:bCs/>
        </w:rPr>
        <w:t xml:space="preserve">10.20.3 — Modelo Físico do Ledger e Financeiro</w:t>
      </w:r>
    </w:p>
    <w:p>
      <w:pPr>
        <w:pStyle w:val="BodyText"/>
      </w:pPr>
      <w:r>
        <w:t xml:space="preserve">Contendo: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LEDGER_ACCOUNT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SELLER_RECOVERY</w:t>
      </w:r>
      <w:r>
        <w:br/>
      </w:r>
      <w:r>
        <w:rPr>
          <w:rStyle w:val="VerbatimChar"/>
        </w:rPr>
        <w:t xml:space="preserve">RECONCILIATION</w:t>
      </w:r>
    </w:p>
    <w:p>
      <w:pPr>
        <w:pStyle w:val="FirstParagraph"/>
      </w:pPr>
      <w:r>
        <w:t xml:space="preserve">incluindo:</w:t>
      </w:r>
    </w:p>
    <w:p>
      <w:pPr>
        <w:pStyle w:val="Compact"/>
        <w:numPr>
          <w:ilvl w:val="0"/>
          <w:numId w:val="1002"/>
        </w:numPr>
      </w:pPr>
      <w:r>
        <w:t xml:space="preserve">PKs;</w:t>
      </w:r>
    </w:p>
    <w:p>
      <w:pPr>
        <w:pStyle w:val="Compact"/>
        <w:numPr>
          <w:ilvl w:val="0"/>
          <w:numId w:val="1002"/>
        </w:numPr>
      </w:pPr>
      <w:r>
        <w:t xml:space="preserve">FKs;</w:t>
      </w:r>
    </w:p>
    <w:p>
      <w:pPr>
        <w:pStyle w:val="Compact"/>
        <w:numPr>
          <w:ilvl w:val="0"/>
          <w:numId w:val="1002"/>
        </w:numPr>
      </w:pPr>
      <w:r>
        <w:t xml:space="preserve">UUIDs;</w:t>
      </w:r>
    </w:p>
    <w:p>
      <w:pPr>
        <w:pStyle w:val="Compact"/>
        <w:numPr>
          <w:ilvl w:val="0"/>
          <w:numId w:val="1002"/>
        </w:numPr>
      </w:pPr>
      <w:r>
        <w:t xml:space="preserve">índices;</w:t>
      </w:r>
    </w:p>
    <w:p>
      <w:pPr>
        <w:pStyle w:val="Compact"/>
        <w:numPr>
          <w:ilvl w:val="0"/>
          <w:numId w:val="1002"/>
        </w:numPr>
      </w:pPr>
      <w:r>
        <w:t xml:space="preserve">unique constraints;</w:t>
      </w:r>
    </w:p>
    <w:p>
      <w:pPr>
        <w:pStyle w:val="Compact"/>
        <w:numPr>
          <w:ilvl w:val="0"/>
          <w:numId w:val="1002"/>
        </w:numPr>
      </w:pPr>
      <w:r>
        <w:t xml:space="preserve">enum/status;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NUMERIC(14,2)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owner_type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normal_balance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idempotency;</w:t>
      </w:r>
    </w:p>
    <w:p>
      <w:pPr>
        <w:pStyle w:val="Compact"/>
        <w:numPr>
          <w:ilvl w:val="0"/>
          <w:numId w:val="1002"/>
        </w:numPr>
      </w:pPr>
      <w:r>
        <w:t xml:space="preserve">índices de reconciliação;</w:t>
      </w:r>
    </w:p>
    <w:p>
      <w:pPr>
        <w:pStyle w:val="Compact"/>
        <w:numPr>
          <w:ilvl w:val="0"/>
          <w:numId w:val="1002"/>
        </w:numPr>
      </w:pPr>
      <w:r>
        <w:t xml:space="preserve">integridade de dupla entrada;</w:t>
      </w:r>
    </w:p>
    <w:p>
      <w:pPr>
        <w:pStyle w:val="Compact"/>
        <w:numPr>
          <w:ilvl w:val="0"/>
          <w:numId w:val="1002"/>
        </w:numPr>
      </w:pPr>
      <w:r>
        <w:t xml:space="preserve">estratégia de locking;</w:t>
      </w:r>
    </w:p>
    <w:p>
      <w:pPr>
        <w:pStyle w:val="Compact"/>
        <w:numPr>
          <w:ilvl w:val="0"/>
          <w:numId w:val="1002"/>
        </w:numPr>
      </w:pPr>
      <w:r>
        <w:t xml:space="preserve">estratégia de rebuild;</w:t>
      </w:r>
    </w:p>
    <w:p>
      <w:pPr>
        <w:pStyle w:val="Compact"/>
        <w:numPr>
          <w:ilvl w:val="0"/>
          <w:numId w:val="1002"/>
        </w:numPr>
      </w:pPr>
      <w:r>
        <w:t xml:space="preserve">SQL PostgreSQL;</w:t>
      </w:r>
    </w:p>
    <w:p>
      <w:pPr>
        <w:pStyle w:val="Compact"/>
        <w:numPr>
          <w:ilvl w:val="0"/>
          <w:numId w:val="1002"/>
        </w:numPr>
      </w:pPr>
      <w:r>
        <w:t xml:space="preserve">migrations;</w:t>
      </w:r>
    </w:p>
    <w:p>
      <w:pPr>
        <w:pStyle w:val="Compact"/>
        <w:numPr>
          <w:ilvl w:val="0"/>
          <w:numId w:val="1002"/>
        </w:numPr>
      </w:pPr>
      <w:r>
        <w:t xml:space="preserve">triggers ou validações de domínio;</w:t>
      </w:r>
    </w:p>
    <w:p>
      <w:pPr>
        <w:pStyle w:val="Compact"/>
        <w:numPr>
          <w:ilvl w:val="0"/>
          <w:numId w:val="1002"/>
        </w:numPr>
      </w:pPr>
      <w:r>
        <w:t xml:space="preserve">exemplos reais de registros.</w:t>
      </w:r>
    </w:p>
    <w:p>
      <w:pPr>
        <w:pStyle w:val="FirstParagraph"/>
      </w:pPr>
      <w:r>
        <w:t xml:space="preserve">Esse será o ponto em que o E13 deixará de ser apenas uma especificação funcional e passará a ser</w:t>
      </w:r>
      <w:r>
        <w:t xml:space="preserve"> </w:t>
      </w:r>
      <w:r>
        <w:rPr>
          <w:b/>
          <w:bCs/>
        </w:rPr>
        <w:t xml:space="preserve">implementável diretamente pelo backend Node.js + PostgreSQL</w:t>
      </w:r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