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9eee4aa3428dfa748260e6f991d334b99aa72d"/>
    <w:p>
      <w:pPr>
        <w:pStyle w:val="Heading1"/>
      </w:pPr>
      <w:r>
        <w:t xml:space="preserve">Documento 10.20.1 — Backlog Detalhado de Implementação da Fase 2</w:t>
      </w:r>
    </w:p>
    <w:bookmarkStart w:id="9" w:name="e22-observabilidade"/>
    <w:p>
      <w:pPr>
        <w:pStyle w:val="Heading2"/>
      </w:pPr>
      <w:r>
        <w:t xml:space="preserve">E22 — Observabilidade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P0 — Fundação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Detalhamento executável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-do-e22"/>
    <w:p>
      <w:pPr>
        <w:pStyle w:val="Heading1"/>
      </w:pPr>
      <w:r>
        <w:t xml:space="preserve">1. Objetivo do E22</w:t>
      </w:r>
    </w:p>
    <w:p>
      <w:pPr>
        <w:pStyle w:val="FirstParagraph"/>
      </w:pPr>
      <w:r>
        <w:t xml:space="preserve">Implementar a infraestrutura de observabilidade necessária para que o MiniHub Car consiga identificar, diagnosticar e acompanhar o comportamento da aplicação.</w:t>
      </w:r>
    </w:p>
    <w:p>
      <w:pPr>
        <w:pStyle w:val="BodyText"/>
      </w:pPr>
      <w:r>
        <w:t xml:space="preserve">A observabilidade deverá permitir responder:</w:t>
      </w:r>
    </w:p>
    <w:p>
      <w:pPr>
        <w:pStyle w:val="SourceCode"/>
      </w:pPr>
      <w:r>
        <w:rPr>
          <w:rStyle w:val="VerbatimChar"/>
        </w:rPr>
        <w:t xml:space="preserve">O QUE aconteceu?</w:t>
      </w:r>
      <w:r>
        <w:br/>
      </w:r>
      <w:r>
        <w:rPr>
          <w:rStyle w:val="VerbatimChar"/>
        </w:rPr>
        <w:t xml:space="preserve">QUANDO aconteceu?</w:t>
      </w:r>
      <w:r>
        <w:br/>
      </w:r>
      <w:r>
        <w:rPr>
          <w:rStyle w:val="VerbatimChar"/>
        </w:rPr>
        <w:t xml:space="preserve">ONDE aconteceu?</w:t>
      </w:r>
      <w:r>
        <w:br/>
      </w:r>
      <w:r>
        <w:rPr>
          <w:rStyle w:val="VerbatimChar"/>
        </w:rPr>
        <w:t xml:space="preserve">COM QUAL REQUISIÇÃO?</w:t>
      </w:r>
      <w:r>
        <w:br/>
      </w:r>
      <w:r>
        <w:rPr>
          <w:rStyle w:val="VerbatimChar"/>
        </w:rPr>
        <w:t xml:space="preserve">COM QUAL USUÁRIO?</w:t>
      </w:r>
      <w:r>
        <w:br/>
      </w:r>
      <w:r>
        <w:rPr>
          <w:rStyle w:val="VerbatimChar"/>
        </w:rPr>
        <w:t xml:space="preserve">EM QUAL SERVIÇO/MÓDULO?</w:t>
      </w:r>
      <w:r>
        <w:br/>
      </w:r>
      <w:r>
        <w:rPr>
          <w:rStyle w:val="VerbatimChar"/>
        </w:rPr>
        <w:t xml:space="preserve">QUAL FOI O RESULTADO?</w:t>
      </w:r>
      <w:r>
        <w:br/>
      </w:r>
      <w:r>
        <w:rPr>
          <w:rStyle w:val="VerbatimChar"/>
        </w:rPr>
        <w:t xml:space="preserve">QUANTO TEMPO LEVOU?</w:t>
      </w:r>
      <w:r>
        <w:br/>
      </w:r>
      <w:r>
        <w:rPr>
          <w:rStyle w:val="VerbatimChar"/>
        </w:rPr>
        <w:t xml:space="preserve">HOUVE ERRO?</w:t>
      </w:r>
      <w:r>
        <w:br/>
      </w:r>
      <w:r>
        <w:rPr>
          <w:rStyle w:val="VerbatimChar"/>
        </w:rPr>
        <w:t xml:space="preserve">O PROCESSAMENTO ASSÍNCRONO FOI EXECUTADO?</w:t>
      </w:r>
    </w:p>
    <w:p>
      <w:pPr>
        <w:pStyle w:val="FirstParagraph"/>
      </w:pPr>
      <w:r>
        <w:t xml:space="preserve">O E22 deverá preparar a plataforma para operação segura e diagnóstico dos módulos seguintes.</w:t>
      </w:r>
    </w:p>
    <w:p>
      <w:r>
        <w:pict>
          <v:rect style="width:0;height:1.5pt" o:hralign="center" o:hrstd="t" o:hr="t"/>
        </w:pict>
      </w:r>
    </w:p>
    <w:bookmarkEnd w:id="11"/>
    <w:bookmarkStart w:id="17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arquitetura deverá separar claramente:</w:t>
      </w:r>
    </w:p>
    <w:p>
      <w:pPr>
        <w:pStyle w:val="SourceCode"/>
      </w:pPr>
      <w:r>
        <w:rPr>
          <w:rStyle w:val="VerbatimChar"/>
        </w:rPr>
        <w:t xml:space="preserve">TECHNICAL LOG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APPLICATION EVENT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TRACE</w:t>
      </w:r>
    </w:p>
    <w:p>
      <w:pPr>
        <w:pStyle w:val="FirstParagraph"/>
      </w:pPr>
      <w:r>
        <w:t xml:space="preserve">Cada mecanismo possui uma finalidade diferente.</w:t>
      </w:r>
    </w:p>
    <w:bookmarkStart w:id="12" w:name="technical-log"/>
    <w:p>
      <w:pPr>
        <w:pStyle w:val="Heading3"/>
      </w:pPr>
      <w:r>
        <w:t xml:space="preserve">Technical Log</w:t>
      </w:r>
    </w:p>
    <w:p>
      <w:pPr>
        <w:pStyle w:val="FirstParagraph"/>
      </w:pPr>
      <w:r>
        <w:t xml:space="preserve">Registra informações técnicas sobre a execução da aplicação.</w:t>
      </w:r>
    </w:p>
    <w:bookmarkEnd w:id="12"/>
    <w:bookmarkStart w:id="13" w:name="audit-log"/>
    <w:p>
      <w:pPr>
        <w:pStyle w:val="Heading3"/>
      </w:pPr>
      <w:r>
        <w:t xml:space="preserve">Audit Log</w:t>
      </w:r>
    </w:p>
    <w:p>
      <w:pPr>
        <w:pStyle w:val="FirstParagraph"/>
      </w:pPr>
      <w:r>
        <w:t xml:space="preserve">Registra ações relevantes que precisam ser rastreáveis.</w:t>
      </w:r>
    </w:p>
    <w:bookmarkEnd w:id="13"/>
    <w:bookmarkStart w:id="14" w:name="application-event"/>
    <w:p>
      <w:pPr>
        <w:pStyle w:val="Heading3"/>
      </w:pPr>
      <w:r>
        <w:t xml:space="preserve">Application Event</w:t>
      </w:r>
    </w:p>
    <w:p>
      <w:pPr>
        <w:pStyle w:val="FirstParagraph"/>
      </w:pPr>
      <w:r>
        <w:t xml:space="preserve">Representa um fato ocorrido no domínio.</w:t>
      </w:r>
    </w:p>
    <w:bookmarkEnd w:id="14"/>
    <w:bookmarkStart w:id="15" w:name="metric"/>
    <w:p>
      <w:pPr>
        <w:pStyle w:val="Heading3"/>
      </w:pPr>
      <w:r>
        <w:t xml:space="preserve">Metric</w:t>
      </w:r>
    </w:p>
    <w:p>
      <w:pPr>
        <w:pStyle w:val="FirstParagraph"/>
      </w:pPr>
      <w:r>
        <w:t xml:space="preserve">Representa uma medida agregada.</w:t>
      </w:r>
    </w:p>
    <w:bookmarkEnd w:id="15"/>
    <w:bookmarkStart w:id="16" w:name="trace"/>
    <w:p>
      <w:pPr>
        <w:pStyle w:val="Heading3"/>
      </w:pPr>
      <w:r>
        <w:t xml:space="preserve">Trace</w:t>
      </w:r>
    </w:p>
    <w:p>
      <w:pPr>
        <w:pStyle w:val="FirstParagraph"/>
      </w:pPr>
      <w:r>
        <w:t xml:space="preserve">Permite acompanhar uma operação através de diferentes componentes.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user-stories-do-e22"/>
    <w:p>
      <w:pPr>
        <w:pStyle w:val="Heading1"/>
      </w:pPr>
      <w:r>
        <w:t xml:space="preserve">3. User Stories do E22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E22-US01</w:t>
            </w:r>
          </w:p>
        </w:tc>
        <w:tc>
          <w:tcPr/>
          <w:p>
            <w:pPr>
              <w:pStyle w:val="Compact"/>
            </w:pPr>
            <w:r>
              <w:t xml:space="preserve">Implementar Correlation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E22-US02</w:t>
            </w:r>
          </w:p>
        </w:tc>
        <w:tc>
          <w:tcPr/>
          <w:p>
            <w:pPr>
              <w:pStyle w:val="Compact"/>
            </w:pPr>
            <w:r>
              <w:t xml:space="preserve">Implementar Logs Técnicos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E22-US03</w:t>
            </w:r>
          </w:p>
        </w:tc>
        <w:tc>
          <w:tcPr/>
          <w:p>
            <w:pPr>
              <w:pStyle w:val="Compact"/>
            </w:pPr>
            <w:r>
              <w:t xml:space="preserve">Separar Logs Técnicos de Auditoria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E22-US04</w:t>
            </w:r>
          </w:p>
        </w:tc>
        <w:tc>
          <w:tcPr/>
          <w:p>
            <w:pPr>
              <w:pStyle w:val="Compact"/>
            </w:pPr>
            <w:r>
              <w:t xml:space="preserve">Implementar Monitoramento de Workers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rquitetura-de-observabilidade"/>
    <w:p>
      <w:pPr>
        <w:pStyle w:val="Heading1"/>
      </w:pPr>
      <w:r>
        <w:t xml:space="preserve">4. Arquitetura de observabilidade</w:t>
      </w:r>
    </w:p>
    <w:p>
      <w:pPr>
        <w:pStyle w:val="FirstParagraph"/>
      </w:pPr>
      <w:r>
        <w:t xml:space="preserve">Fluxo de uma requisição: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TECHNICAL LOG</w:t>
      </w:r>
    </w:p>
    <w:p>
      <w:pPr>
        <w:pStyle w:val="FirstParagraph"/>
      </w:pPr>
      <w:r>
        <w:t xml:space="preserve">Quando existir processamento assíncrono: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 OPERATION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TECHNICAL 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METRICS</w:t>
      </w:r>
    </w:p>
    <w:p>
      <w:r>
        <w:pict>
          <v:rect style="width:0;height:1.5pt" o:hralign="center" o:hrstd="t" o:hr="t"/>
        </w:pict>
      </w:r>
    </w:p>
    <w:bookmarkEnd w:id="19"/>
    <w:bookmarkStart w:id="34" w:name="e22-us01-implementar-correlation-id"/>
    <w:p>
      <w:pPr>
        <w:pStyle w:val="Heading1"/>
      </w:pPr>
      <w:r>
        <w:t xml:space="preserve">5. E22-US01 — Implementar Correlation ID</w:t>
      </w:r>
    </w:p>
    <w:bookmarkStart w:id="20" w:name="objetivo"/>
    <w:p>
      <w:pPr>
        <w:pStyle w:val="Heading2"/>
      </w:pPr>
      <w:r>
        <w:t xml:space="preserve">5.1 Objetivo</w:t>
      </w:r>
    </w:p>
    <w:p>
      <w:pPr>
        <w:pStyle w:val="FirstParagraph"/>
      </w:pPr>
      <w:r>
        <w:t xml:space="preserve">Permitir identificar e acompanhar uma operação individual através de toda a aplicação.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 correlation_id = 8f3...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Database operation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O mesmo identificador deverá permitir correlacionar registros relacionados à mesma operação.</w:t>
      </w:r>
    </w:p>
    <w:p>
      <w:r>
        <w:pict>
          <v:rect style="width:0;height:1.5pt" o:hralign="center" o:hrstd="t" o:hr="t"/>
        </w:pict>
      </w:r>
    </w:p>
    <w:bookmarkEnd w:id="20"/>
    <w:bookmarkStart w:id="26" w:name="tarefas-técnicas"/>
    <w:p>
      <w:pPr>
        <w:pStyle w:val="Heading2"/>
      </w:pPr>
      <w:r>
        <w:t xml:space="preserve">5.2 Tarefas técnicas</w:t>
      </w:r>
    </w:p>
    <w:bookmarkStart w:id="21" w:name="Xf72e51cc28f0538169a572057aec9498b26e5b1"/>
    <w:p>
      <w:pPr>
        <w:pStyle w:val="Heading3"/>
      </w:pPr>
      <w:r>
        <w:t xml:space="preserve">TASK E22-US01-01 — Criar middleware de correlação</w:t>
      </w:r>
    </w:p>
    <w:p>
      <w:pPr>
        <w:pStyle w:val="FirstParagraph"/>
      </w:pPr>
      <w:r>
        <w:t xml:space="preserve">Implementar middleware responsável por:</w:t>
      </w:r>
    </w:p>
    <w:p>
      <w:pPr>
        <w:pStyle w:val="Compact"/>
        <w:numPr>
          <w:ilvl w:val="0"/>
          <w:numId w:val="1001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, quando permitido;</w:t>
      </w:r>
    </w:p>
    <w:p>
      <w:pPr>
        <w:pStyle w:val="Compact"/>
        <w:numPr>
          <w:ilvl w:val="0"/>
          <w:numId w:val="1001"/>
        </w:numPr>
      </w:pPr>
      <w:r>
        <w:t xml:space="preserve">gerar um novo ID quando não fornecido;</w:t>
      </w:r>
    </w:p>
    <w:p>
      <w:pPr>
        <w:pStyle w:val="Compact"/>
        <w:numPr>
          <w:ilvl w:val="0"/>
          <w:numId w:val="1001"/>
        </w:numPr>
      </w:pPr>
      <w:r>
        <w:t xml:space="preserve">validar formato;</w:t>
      </w:r>
    </w:p>
    <w:p>
      <w:pPr>
        <w:pStyle w:val="Compact"/>
        <w:numPr>
          <w:ilvl w:val="0"/>
          <w:numId w:val="1001"/>
        </w:numPr>
      </w:pPr>
      <w:r>
        <w:t xml:space="preserve">disponibilizar o ID no contexto da requisição.</w:t>
      </w:r>
    </w:p>
    <w:p>
      <w:r>
        <w:pict>
          <v:rect style="width:0;height:1.5pt" o:hralign="center" o:hrstd="t" o:hr="t"/>
        </w:pict>
      </w:r>
    </w:p>
    <w:bookmarkEnd w:id="21"/>
    <w:bookmarkStart w:id="22" w:name="task-e22-us01-02-propagar-correlation-id"/>
    <w:p>
      <w:pPr>
        <w:pStyle w:val="Heading3"/>
      </w:pPr>
      <w:r>
        <w:t xml:space="preserve">TASK E22-US01-02 — Propagar Correlation ID</w:t>
      </w:r>
    </w:p>
    <w:p>
      <w:pPr>
        <w:pStyle w:val="FirstParagraph"/>
      </w:pPr>
      <w:r>
        <w:t xml:space="preserve">O identificador deverá acompanhar:</w:t>
      </w:r>
    </w:p>
    <w:p>
      <w:pPr>
        <w:pStyle w:val="Compact"/>
        <w:numPr>
          <w:ilvl w:val="0"/>
          <w:numId w:val="1002"/>
        </w:numPr>
      </w:pPr>
      <w:r>
        <w:t xml:space="preserve">logs;</w:t>
      </w:r>
    </w:p>
    <w:p>
      <w:pPr>
        <w:pStyle w:val="Compact"/>
        <w:numPr>
          <w:ilvl w:val="0"/>
          <w:numId w:val="1002"/>
        </w:numPr>
      </w:pPr>
      <w:r>
        <w:t xml:space="preserve">chamadas internas relevantes;</w:t>
      </w:r>
    </w:p>
    <w:p>
      <w:pPr>
        <w:pStyle w:val="Compact"/>
        <w:numPr>
          <w:ilvl w:val="0"/>
          <w:numId w:val="1002"/>
        </w:numPr>
      </w:pPr>
      <w:r>
        <w:t xml:space="preserve">eventos;</w:t>
      </w:r>
    </w:p>
    <w:p>
      <w:pPr>
        <w:pStyle w:val="Compact"/>
        <w:numPr>
          <w:ilvl w:val="0"/>
          <w:numId w:val="1002"/>
        </w:numPr>
      </w:pPr>
      <w:r>
        <w:t xml:space="preserve">jobs;</w:t>
      </w:r>
    </w:p>
    <w:p>
      <w:pPr>
        <w:pStyle w:val="Compact"/>
        <w:numPr>
          <w:ilvl w:val="0"/>
          <w:numId w:val="1002"/>
        </w:numPr>
      </w:pPr>
      <w:r>
        <w:t xml:space="preserve">workers;</w:t>
      </w:r>
    </w:p>
    <w:p>
      <w:pPr>
        <w:pStyle w:val="Compact"/>
        <w:numPr>
          <w:ilvl w:val="0"/>
          <w:numId w:val="1002"/>
        </w:numPr>
      </w:pPr>
      <w:r>
        <w:t xml:space="preserve">integrações externas;</w:t>
      </w:r>
    </w:p>
    <w:p>
      <w:pPr>
        <w:pStyle w:val="Compact"/>
        <w:numPr>
          <w:ilvl w:val="0"/>
          <w:numId w:val="1002"/>
        </w:numPr>
      </w:pPr>
      <w:r>
        <w:t xml:space="preserve">respostas da API.</w:t>
      </w:r>
    </w:p>
    <w:p>
      <w:r>
        <w:pict>
          <v:rect style="width:0;height:1.5pt" o:hralign="center" o:hrstd="t" o:hr="t"/>
        </w:pict>
      </w:r>
    </w:p>
    <w:bookmarkEnd w:id="22"/>
    <w:bookmarkStart w:id="23" w:name="X49decd5c66dc15c578b7d17c7e1500b3a7beaee"/>
    <w:p>
      <w:pPr>
        <w:pStyle w:val="Heading3"/>
      </w:pPr>
      <w:r>
        <w:t xml:space="preserve">TASK E22-US01-03 — Integrar com Event Envelope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deverá ser compatível com o envelope definido no Documento 10.18.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"2026-09-13T11:00:00Z"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task-e22-us01-04-propagar-para-workers"/>
    <w:p>
      <w:pPr>
        <w:pStyle w:val="Heading3"/>
      </w:pPr>
      <w:r>
        <w:t xml:space="preserve">TASK E22-US01-04 — Propagar para workers</w:t>
      </w:r>
    </w:p>
    <w:p>
      <w:pPr>
        <w:pStyle w:val="FirstParagraph"/>
      </w:pPr>
      <w:r>
        <w:t xml:space="preserve">Quando uma operação gerar processamento assíncrono: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o contexto de correlação deverá ser preservado.</w:t>
      </w:r>
    </w:p>
    <w:p>
      <w:r>
        <w:pict>
          <v:rect style="width:0;height:1.5pt" o:hralign="center" o:hrstd="t" o:hr="t"/>
        </w:pict>
      </w:r>
    </w:p>
    <w:bookmarkEnd w:id="24"/>
    <w:bookmarkStart w:id="25" w:name="task-e22-us01-05-retornar-correlation-id"/>
    <w:p>
      <w:pPr>
        <w:pStyle w:val="Heading3"/>
      </w:pPr>
      <w:r>
        <w:t xml:space="preserve">TASK E22-US01-05 — Retornar Correlation ID</w:t>
      </w:r>
    </w:p>
    <w:p>
      <w:pPr>
        <w:pStyle w:val="FirstParagraph"/>
      </w:pPr>
      <w:r>
        <w:t xml:space="preserve">Quando apropriado, a API deverá devolver o identificador nos headers da resposta.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X-Correlation-ID: uuid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critérios-de-aceite"/>
    <w:p>
      <w:pPr>
        <w:pStyle w:val="Heading2"/>
      </w:pPr>
      <w:r>
        <w:t xml:space="preserve">5.3 Critérios de aceite</w:t>
      </w:r>
    </w:p>
    <w:bookmarkStart w:id="27" w:name="ca01-id-fornecido"/>
    <w:p>
      <w:pPr>
        <w:pStyle w:val="Heading3"/>
      </w:pPr>
      <w:r>
        <w:t xml:space="preserve">CA01 — ID fornecido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requisição contém um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válido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API processar a requisição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identificador deverá ser associado ao contexto da operação.</w:t>
      </w:r>
    </w:p>
    <w:bookmarkEnd w:id="27"/>
    <w:bookmarkStart w:id="28" w:name="ca02-id-ausente"/>
    <w:p>
      <w:pPr>
        <w:pStyle w:val="Heading3"/>
      </w:pPr>
      <w:r>
        <w:t xml:space="preserve">CA02 — ID ausente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requisição não contém Correlation ID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chegar à API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gerar um novo identificador.</w:t>
      </w:r>
    </w:p>
    <w:bookmarkEnd w:id="28"/>
    <w:bookmarkStart w:id="29" w:name="ca03-logs"/>
    <w:p>
      <w:pPr>
        <w:pStyle w:val="Heading3"/>
      </w:pPr>
      <w:r>
        <w:t xml:space="preserve">CA03 — Logs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operação possui Correlation ID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logs forem produzidos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os logs relacionados deverão conter o mesmo identificador.</w:t>
      </w:r>
    </w:p>
    <w:bookmarkEnd w:id="29"/>
    <w:bookmarkStart w:id="30" w:name="ca04-worker"/>
    <w:p>
      <w:pPr>
        <w:pStyle w:val="Heading3"/>
      </w:pPr>
      <w:r>
        <w:t xml:space="preserve">CA04 — Worker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requisição gera um evento assíncrono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worker processar esse evento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contexto de correlação deverá ser preservado.</w:t>
      </w:r>
    </w:p>
    <w:bookmarkEnd w:id="30"/>
    <w:bookmarkStart w:id="31" w:name="ca05-identificador-inválido"/>
    <w:p>
      <w:pPr>
        <w:pStyle w:val="Heading3"/>
      </w:pPr>
      <w:r>
        <w:t xml:space="preserve">CA05 — Identificador inválido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 Correlation ID inválido seja enviado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requisição chegar à API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rejeitá-lo ou substituí-lo por um identificador válido conforme a política definida.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sos-de-teste"/>
    <w:p>
      <w:pPr>
        <w:pStyle w:val="Heading2"/>
      </w:pPr>
      <w:r>
        <w:t xml:space="preserve">5.4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E22-US01-T01</w:t>
            </w:r>
          </w:p>
        </w:tc>
        <w:tc>
          <w:tcPr/>
          <w:p>
            <w:pPr>
              <w:pStyle w:val="Compact"/>
            </w:pPr>
            <w:r>
              <w:t xml:space="preserve">Request com ID válido</w:t>
            </w:r>
          </w:p>
        </w:tc>
        <w:tc>
          <w:tcPr/>
          <w:p>
            <w:pPr>
              <w:pStyle w:val="Compact"/>
            </w:pPr>
            <w:r>
              <w:t xml:space="preserve">ID preservado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E22-US01-T02</w:t>
            </w:r>
          </w:p>
        </w:tc>
        <w:tc>
          <w:tcPr/>
          <w:p>
            <w:pPr>
              <w:pStyle w:val="Compact"/>
            </w:pPr>
            <w:r>
              <w:t xml:space="preserve">Request sem ID</w:t>
            </w:r>
          </w:p>
        </w:tc>
        <w:tc>
          <w:tcPr/>
          <w:p>
            <w:pPr>
              <w:pStyle w:val="Compact"/>
            </w:pPr>
            <w:r>
              <w:t xml:space="preserve">ID gerado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E22-US01-T03</w:t>
            </w:r>
          </w:p>
        </w:tc>
        <w:tc>
          <w:tcPr/>
          <w:p>
            <w:pPr>
              <w:pStyle w:val="Compact"/>
            </w:pPr>
            <w:r>
              <w:t xml:space="preserve">Log da requisição</w:t>
            </w:r>
          </w:p>
        </w:tc>
        <w:tc>
          <w:tcPr/>
          <w:p>
            <w:pPr>
              <w:pStyle w:val="Compact"/>
            </w:pPr>
            <w:r>
              <w:t xml:space="preserve">ID 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E22-US01-T04</w:t>
            </w:r>
          </w:p>
        </w:tc>
        <w:tc>
          <w:tcPr/>
          <w:p>
            <w:pPr>
              <w:pStyle w:val="Compact"/>
            </w:pPr>
            <w:r>
              <w:t xml:space="preserve">Evento assíncrono</w:t>
            </w:r>
          </w:p>
        </w:tc>
        <w:tc>
          <w:tcPr/>
          <w:p>
            <w:pPr>
              <w:pStyle w:val="Compact"/>
            </w:pPr>
            <w:r>
              <w:t xml:space="preserve">ID propagado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E22-US01-T05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ID preservado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E22-US01-T06</w:t>
            </w:r>
          </w:p>
        </w:tc>
        <w:tc>
          <w:tcPr/>
          <w:p>
            <w:pPr>
              <w:pStyle w:val="Compact"/>
            </w:pPr>
            <w:r>
              <w:t xml:space="preserve">ID inválido</w:t>
            </w:r>
          </w:p>
        </w:tc>
        <w:tc>
          <w:tcPr/>
          <w:p>
            <w:pPr>
              <w:pStyle w:val="Compact"/>
            </w:pPr>
            <w:r>
              <w:t xml:space="preserve">Tratado conforme política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e22-us02-implementar-logs-técnicos"/>
    <w:p>
      <w:pPr>
        <w:pStyle w:val="Heading1"/>
      </w:pPr>
      <w:r>
        <w:t xml:space="preserve">6. E22-US02 — Implementar Logs Técnicos</w:t>
      </w:r>
    </w:p>
    <w:bookmarkStart w:id="35" w:name="objetivo-1"/>
    <w:p>
      <w:pPr>
        <w:pStyle w:val="Heading2"/>
      </w:pPr>
      <w:r>
        <w:t xml:space="preserve">6.1 Objetivo</w:t>
      </w:r>
    </w:p>
    <w:p>
      <w:pPr>
        <w:pStyle w:val="FirstParagraph"/>
      </w:pPr>
      <w:r>
        <w:t xml:space="preserve">Criar mecanismo padronizado para registrar informações técnicas relevantes da aplicação.</w:t>
      </w:r>
    </w:p>
    <w:p>
      <w:pPr>
        <w:pStyle w:val="BodyText"/>
      </w:pPr>
      <w:r>
        <w:t xml:space="preserve">Os logs deverão ser estruturados e pesquisáveis.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níveis-de-log"/>
    <w:p>
      <w:pPr>
        <w:pStyle w:val="Heading1"/>
      </w:pPr>
      <w:r>
        <w:t xml:space="preserve">6.2 Níveis de log</w:t>
      </w:r>
    </w:p>
    <w:p>
      <w:pPr>
        <w:pStyle w:val="FirstParagraph"/>
      </w:pPr>
      <w:r>
        <w:t xml:space="preserve">Definir inicialmente: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</w:t>
      </w:r>
      <w:r>
        <w:br/>
      </w:r>
      <w:r>
        <w:rPr>
          <w:rStyle w:val="VerbatimChar"/>
        </w:rPr>
        <w:t xml:space="preserve">ERROR</w:t>
      </w:r>
    </w:p>
    <w:bookmarkStart w:id="37" w:name="debug"/>
    <w:p>
      <w:pPr>
        <w:pStyle w:val="Heading3"/>
      </w:pPr>
      <w:r>
        <w:t xml:space="preserve">DEBUG</w:t>
      </w:r>
    </w:p>
    <w:p>
      <w:pPr>
        <w:pStyle w:val="FirstParagraph"/>
      </w:pPr>
      <w:r>
        <w:t xml:space="preserve">Informações utilizadas principalmente durante desenvolvimento e diagnóstico controlado.</w:t>
      </w:r>
    </w:p>
    <w:bookmarkEnd w:id="37"/>
    <w:bookmarkStart w:id="38" w:name="info"/>
    <w:p>
      <w:pPr>
        <w:pStyle w:val="Heading3"/>
      </w:pPr>
      <w:r>
        <w:t xml:space="preserve">INFO</w:t>
      </w:r>
    </w:p>
    <w:p>
      <w:pPr>
        <w:pStyle w:val="FirstParagraph"/>
      </w:pPr>
      <w:r>
        <w:t xml:space="preserve">Eventos operacionais normais.</w:t>
      </w:r>
    </w:p>
    <w:bookmarkEnd w:id="38"/>
    <w:bookmarkStart w:id="39" w:name="warn"/>
    <w:p>
      <w:pPr>
        <w:pStyle w:val="Heading3"/>
      </w:pPr>
      <w:r>
        <w:t xml:space="preserve">WARN</w:t>
      </w:r>
    </w:p>
    <w:p>
      <w:pPr>
        <w:pStyle w:val="FirstParagraph"/>
      </w:pPr>
      <w:r>
        <w:t xml:space="preserve">Situações anormais que não interrompem necessariamente a operação.</w:t>
      </w:r>
    </w:p>
    <w:bookmarkEnd w:id="39"/>
    <w:bookmarkStart w:id="40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Falhas que precisam de investigação.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strutura-recomendada"/>
    <w:p>
      <w:pPr>
        <w:pStyle w:val="Heading1"/>
      </w:pPr>
      <w:r>
        <w:t xml:space="preserve">6.3 Estrutura recomendada</w:t>
      </w:r>
    </w:p>
    <w:p>
      <w:pPr>
        <w:pStyle w:val="FirstParagraph"/>
      </w:pPr>
      <w:r>
        <w:t xml:space="preserve">Os logs deverão ser estruturados, preferencialmente em JSON.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"2026-09-13T11:00:00Z"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"Falha ao processar pagamento"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"PAYMENT_PROVIDER_ERROR"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estrutura poderá evoluir, mas deverá existir um formato consistente.</w:t>
      </w:r>
    </w:p>
    <w:p>
      <w:r>
        <w:pict>
          <v:rect style="width:0;height:1.5pt" o:hralign="center" o:hrstd="t" o:hr="t"/>
        </w:pict>
      </w:r>
    </w:p>
    <w:bookmarkEnd w:id="42"/>
    <w:bookmarkStart w:id="56" w:name="tarefas-técnicas-1"/>
    <w:p>
      <w:pPr>
        <w:pStyle w:val="Heading1"/>
      </w:pPr>
      <w:r>
        <w:t xml:space="preserve">6.4 Tarefas técnicas</w:t>
      </w:r>
    </w:p>
    <w:bookmarkStart w:id="43" w:name="Xcd62b6969cc4601a70910328fea3a65bd956e63"/>
    <w:p>
      <w:pPr>
        <w:pStyle w:val="Heading3"/>
      </w:pPr>
      <w:r>
        <w:t xml:space="preserve">TASK E22-US02-01 — Escolher biblioteca de logging</w:t>
      </w:r>
    </w:p>
    <w:p>
      <w:pPr>
        <w:pStyle w:val="FirstParagraph"/>
      </w:pPr>
      <w:r>
        <w:t xml:space="preserve">Selecionar biblioteca compatível com Node.js + TypeScript.</w:t>
      </w:r>
    </w:p>
    <w:p>
      <w:pPr>
        <w:pStyle w:val="BodyText"/>
      </w:pPr>
      <w:r>
        <w:t xml:space="preserve">A escolha deverá privilegiar:</w:t>
      </w:r>
    </w:p>
    <w:p>
      <w:pPr>
        <w:pStyle w:val="Compact"/>
        <w:numPr>
          <w:ilvl w:val="0"/>
          <w:numId w:val="1003"/>
        </w:numPr>
      </w:pPr>
      <w:r>
        <w:t xml:space="preserve">logs estruturados;</w:t>
      </w:r>
    </w:p>
    <w:p>
      <w:pPr>
        <w:pStyle w:val="Compact"/>
        <w:numPr>
          <w:ilvl w:val="0"/>
          <w:numId w:val="1003"/>
        </w:numPr>
      </w:pPr>
      <w:r>
        <w:t xml:space="preserve">baixo overhead;</w:t>
      </w:r>
    </w:p>
    <w:p>
      <w:pPr>
        <w:pStyle w:val="Compact"/>
        <w:numPr>
          <w:ilvl w:val="0"/>
          <w:numId w:val="1003"/>
        </w:numPr>
      </w:pPr>
      <w:r>
        <w:t xml:space="preserve">integração com produção;</w:t>
      </w:r>
    </w:p>
    <w:p>
      <w:pPr>
        <w:pStyle w:val="Compact"/>
        <w:numPr>
          <w:ilvl w:val="0"/>
          <w:numId w:val="1003"/>
        </w:numPr>
      </w:pPr>
      <w:r>
        <w:t xml:space="preserve">níveis de log;</w:t>
      </w:r>
    </w:p>
    <w:p>
      <w:pPr>
        <w:pStyle w:val="Compact"/>
        <w:numPr>
          <w:ilvl w:val="0"/>
          <w:numId w:val="1003"/>
        </w:numPr>
      </w:pPr>
      <w:r>
        <w:t xml:space="preserve">serialização;</w:t>
      </w:r>
    </w:p>
    <w:p>
      <w:pPr>
        <w:pStyle w:val="Compact"/>
        <w:numPr>
          <w:ilvl w:val="0"/>
          <w:numId w:val="1003"/>
        </w:numPr>
      </w:pPr>
      <w:r>
        <w:t xml:space="preserve">contexto.</w:t>
      </w:r>
    </w:p>
    <w:p>
      <w:r>
        <w:pict>
          <v:rect style="width:0;height:1.5pt" o:hralign="center" o:hrstd="t" o:hr="t"/>
        </w:pict>
      </w:r>
    </w:p>
    <w:bookmarkEnd w:id="43"/>
    <w:bookmarkStart w:id="44" w:name="task-e22-us02-02-criar-loggerservice"/>
    <w:p>
      <w:pPr>
        <w:pStyle w:val="Heading3"/>
      </w:pPr>
      <w:r>
        <w:t xml:space="preserve">TASK E22-US02-02 — Criar LoggerService</w:t>
      </w:r>
    </w:p>
    <w:p>
      <w:pPr>
        <w:pStyle w:val="FirstParagraph"/>
      </w:pPr>
      <w:r>
        <w:t xml:space="preserve">Criar abstração interna:</w:t>
      </w:r>
    </w:p>
    <w:p>
      <w:pPr>
        <w:pStyle w:val="SourceCode"/>
      </w:pPr>
      <w:r>
        <w:rPr>
          <w:rStyle w:val="VerbatimChar"/>
        </w:rPr>
        <w:t xml:space="preserve">LoggerService</w:t>
      </w:r>
    </w:p>
    <w:p>
      <w:pPr>
        <w:pStyle w:val="FirstParagraph"/>
      </w:pPr>
      <w:r>
        <w:t xml:space="preserve">Os módulos não deverão depender diretamente da biblioteca externa de logging.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DOMAIN / APPLICATION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LOGGER INTERNO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LIBRARY</w:t>
      </w:r>
    </w:p>
    <w:p>
      <w:r>
        <w:pict>
          <v:rect style="width:0;height:1.5pt" o:hralign="center" o:hrstd="t" o:hr="t"/>
        </w:pict>
      </w:r>
    </w:p>
    <w:bookmarkEnd w:id="44"/>
    <w:bookmarkStart w:id="45" w:name="X7ebd276186f3bd2da854372e34a7af3741780f5"/>
    <w:p>
      <w:pPr>
        <w:pStyle w:val="Heading3"/>
      </w:pPr>
      <w:r>
        <w:t xml:space="preserve">TASK E22-US02-03 — Definir campos obrigatórios</w:t>
      </w:r>
    </w:p>
    <w:p>
      <w:pPr>
        <w:pStyle w:val="FirstParagraph"/>
      </w:pPr>
      <w:r>
        <w:t xml:space="preserve">No mínimo, quando aplicável:</w:t>
      </w:r>
    </w:p>
    <w:p>
      <w:pPr>
        <w:pStyle w:val="Compact"/>
        <w:numPr>
          <w:ilvl w:val="0"/>
          <w:numId w:val="1004"/>
        </w:numPr>
      </w:pPr>
      <w:r>
        <w:t xml:space="preserve">timestamp;</w:t>
      </w:r>
    </w:p>
    <w:p>
      <w:pPr>
        <w:pStyle w:val="Compact"/>
        <w:numPr>
          <w:ilvl w:val="0"/>
          <w:numId w:val="1004"/>
        </w:numPr>
      </w:pPr>
      <w:r>
        <w:t xml:space="preserve">level;</w:t>
      </w:r>
    </w:p>
    <w:p>
      <w:pPr>
        <w:pStyle w:val="Compact"/>
        <w:numPr>
          <w:ilvl w:val="0"/>
          <w:numId w:val="1004"/>
        </w:numPr>
      </w:pPr>
      <w:r>
        <w:t xml:space="preserve">service;</w:t>
      </w:r>
    </w:p>
    <w:p>
      <w:pPr>
        <w:pStyle w:val="Compact"/>
        <w:numPr>
          <w:ilvl w:val="0"/>
          <w:numId w:val="1004"/>
        </w:numPr>
      </w:pPr>
      <w:r>
        <w:t xml:space="preserve">module;</w:t>
      </w:r>
    </w:p>
    <w:p>
      <w:pPr>
        <w:pStyle w:val="Compact"/>
        <w:numPr>
          <w:ilvl w:val="0"/>
          <w:numId w:val="1004"/>
        </w:numPr>
      </w:pPr>
      <w:r>
        <w:t xml:space="preserve">message;</w:t>
      </w:r>
    </w:p>
    <w:p>
      <w:pPr>
        <w:pStyle w:val="Compact"/>
        <w:numPr>
          <w:ilvl w:val="0"/>
          <w:numId w:val="1004"/>
        </w:numPr>
      </w:pPr>
      <w:r>
        <w:t xml:space="preserve">correlation_id;</w:t>
      </w:r>
    </w:p>
    <w:p>
      <w:pPr>
        <w:pStyle w:val="Compact"/>
        <w:numPr>
          <w:ilvl w:val="0"/>
          <w:numId w:val="1004"/>
        </w:numPr>
      </w:pPr>
      <w:r>
        <w:t xml:space="preserve">operation;</w:t>
      </w:r>
    </w:p>
    <w:p>
      <w:pPr>
        <w:pStyle w:val="Compact"/>
        <w:numPr>
          <w:ilvl w:val="0"/>
          <w:numId w:val="1004"/>
        </w:numPr>
      </w:pPr>
      <w:r>
        <w:t xml:space="preserve">error_code.</w:t>
      </w:r>
    </w:p>
    <w:p>
      <w:r>
        <w:pict>
          <v:rect style="width:0;height:1.5pt" o:hralign="center" o:hrstd="t" o:hr="t"/>
        </w:pict>
      </w:r>
    </w:p>
    <w:bookmarkEnd w:id="45"/>
    <w:bookmarkStart w:id="46" w:name="task-e22-us02-04-registrar-erros"/>
    <w:p>
      <w:pPr>
        <w:pStyle w:val="Heading3"/>
      </w:pPr>
      <w:r>
        <w:t xml:space="preserve">TASK E22-US02-04 — Registrar erros</w:t>
      </w:r>
    </w:p>
    <w:p>
      <w:pPr>
        <w:pStyle w:val="FirstParagraph"/>
      </w:pPr>
      <w:r>
        <w:t xml:space="preserve">Erros deverão registrar informações suficientes para diagnóstico sem expor informações sensíveis.</w:t>
      </w:r>
    </w:p>
    <w:p>
      <w:r>
        <w:pict>
          <v:rect style="width:0;height:1.5pt" o:hralign="center" o:hrstd="t" o:hr="t"/>
        </w:pict>
      </w:r>
    </w:p>
    <w:bookmarkEnd w:id="46"/>
    <w:bookmarkStart w:id="47" w:name="task-e22-us02-05-não-registrar-segredos"/>
    <w:p>
      <w:pPr>
        <w:pStyle w:val="Heading3"/>
      </w:pPr>
      <w:r>
        <w:t xml:space="preserve">TASK E22-US02-05 — Não registrar segredos</w:t>
      </w:r>
    </w:p>
    <w:p>
      <w:pPr>
        <w:pStyle w:val="FirstParagraph"/>
      </w:pPr>
      <w:r>
        <w:t xml:space="preserve">Nunca registrar:</w:t>
      </w:r>
    </w:p>
    <w:p>
      <w:pPr>
        <w:pStyle w:val="Compact"/>
        <w:numPr>
          <w:ilvl w:val="0"/>
          <w:numId w:val="1005"/>
        </w:numPr>
      </w:pPr>
      <w:r>
        <w:t xml:space="preserve">senha;</w:t>
      </w:r>
    </w:p>
    <w:p>
      <w:pPr>
        <w:pStyle w:val="Compact"/>
        <w:numPr>
          <w:ilvl w:val="0"/>
          <w:numId w:val="1005"/>
        </w:numPr>
      </w:pPr>
      <w:r>
        <w:t xml:space="preserve">token;</w:t>
      </w:r>
    </w:p>
    <w:p>
      <w:pPr>
        <w:pStyle w:val="Compact"/>
        <w:numPr>
          <w:ilvl w:val="0"/>
          <w:numId w:val="1005"/>
        </w:numPr>
      </w:pPr>
      <w:r>
        <w:t xml:space="preserve">refresh token;</w:t>
      </w:r>
    </w:p>
    <w:p>
      <w:pPr>
        <w:pStyle w:val="Compact"/>
        <w:numPr>
          <w:ilvl w:val="0"/>
          <w:numId w:val="1005"/>
        </w:numPr>
      </w:pPr>
      <w:r>
        <w:t xml:space="preserve">secret;</w:t>
      </w:r>
    </w:p>
    <w:p>
      <w:pPr>
        <w:pStyle w:val="Compact"/>
        <w:numPr>
          <w:ilvl w:val="0"/>
          <w:numId w:val="1005"/>
        </w:numPr>
      </w:pPr>
      <w:r>
        <w:t xml:space="preserve">chave privada;</w:t>
      </w:r>
    </w:p>
    <w:p>
      <w:pPr>
        <w:pStyle w:val="Compact"/>
        <w:numPr>
          <w:ilvl w:val="0"/>
          <w:numId w:val="1005"/>
        </w:numPr>
      </w:pPr>
      <w:r>
        <w:t xml:space="preserve">dados completos de cartão;</w:t>
      </w:r>
    </w:p>
    <w:p>
      <w:pPr>
        <w:pStyle w:val="Compact"/>
        <w:numPr>
          <w:ilvl w:val="0"/>
          <w:numId w:val="1005"/>
        </w:numPr>
      </w:pPr>
      <w:r>
        <w:t xml:space="preserve">credenciais;</w:t>
      </w:r>
    </w:p>
    <w:p>
      <w:pPr>
        <w:pStyle w:val="Compact"/>
        <w:numPr>
          <w:ilvl w:val="0"/>
          <w:numId w:val="1005"/>
        </w:numPr>
      </w:pPr>
      <w:r>
        <w:t xml:space="preserve">informações pessoais desnecessárias.</w:t>
      </w:r>
    </w:p>
    <w:p>
      <w:r>
        <w:pict>
          <v:rect style="width:0;height:1.5pt" o:hralign="center" o:hrstd="t" o:hr="t"/>
        </w:pict>
      </w:r>
    </w:p>
    <w:bookmarkEnd w:id="47"/>
    <w:bookmarkStart w:id="48" w:name="task-e22-us02-06-configurar-ambientes"/>
    <w:p>
      <w:pPr>
        <w:pStyle w:val="Heading3"/>
      </w:pPr>
      <w:r>
        <w:t xml:space="preserve">TASK E22-US02-06 — Configurar ambientes</w:t>
      </w:r>
    </w:p>
    <w:p>
      <w:pPr>
        <w:pStyle w:val="FirstParagraph"/>
      </w:pPr>
      <w:r>
        <w:t xml:space="preserve">A verbosidade deverá ser configurável por ambiente.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DEVELOPMENT → DEBUG</w:t>
      </w:r>
      <w:r>
        <w:br/>
      </w:r>
      <w:r>
        <w:rPr>
          <w:rStyle w:val="VerbatimChar"/>
        </w:rPr>
        <w:t xml:space="preserve">TEST        → INFO/DEBUG</w:t>
      </w:r>
      <w:r>
        <w:br/>
      </w:r>
      <w:r>
        <w:rPr>
          <w:rStyle w:val="VerbatimChar"/>
        </w:rPr>
        <w:t xml:space="preserve">PRODUCTION  → INFO/WARN/ERROR</w:t>
      </w:r>
    </w:p>
    <w:p>
      <w:pPr>
        <w:pStyle w:val="FirstParagraph"/>
      </w:pPr>
      <w:r>
        <w:t xml:space="preserve">A configuração definitiva será estabelecida durante a implantação.</w:t>
      </w:r>
    </w:p>
    <w:p>
      <w:r>
        <w:pict>
          <v:rect style="width:0;height:1.5pt" o:hralign="center" o:hrstd="t" o:hr="t"/>
        </w:pict>
      </w:r>
    </w:p>
    <w:bookmarkEnd w:id="48"/>
    <w:bookmarkStart w:id="54" w:name="critérios-de-aceite-1"/>
    <w:p>
      <w:pPr>
        <w:pStyle w:val="Heading2"/>
      </w:pPr>
      <w:r>
        <w:t xml:space="preserve">6.5 Critérios de aceite</w:t>
      </w:r>
    </w:p>
    <w:bookmarkStart w:id="49" w:name="ca01-log-estruturado"/>
    <w:p>
      <w:pPr>
        <w:pStyle w:val="Heading3"/>
      </w:pPr>
      <w:r>
        <w:t xml:space="preserve">CA01 — Log estruturado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operação produz um log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log for persistido/emitido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possuir estrutura padronizada.</w:t>
      </w:r>
    </w:p>
    <w:bookmarkEnd w:id="49"/>
    <w:bookmarkStart w:id="50" w:name="ca02-correlation-id"/>
    <w:p>
      <w:pPr>
        <w:pStyle w:val="Heading3"/>
      </w:pPr>
      <w:r>
        <w:t xml:space="preserve">CA02 — Correlation ID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existe contexto de requisição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log for gerado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deverá ser incluído.</w:t>
      </w:r>
    </w:p>
    <w:bookmarkEnd w:id="50"/>
    <w:bookmarkStart w:id="51" w:name="ca03-erro"/>
    <w:p>
      <w:pPr>
        <w:pStyle w:val="Heading3"/>
      </w:pPr>
      <w:r>
        <w:t xml:space="preserve">CA03 — Erro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ocorre uma exceção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sistema registrar o erro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conter informações suficientes para diagnóstico.</w:t>
      </w:r>
    </w:p>
    <w:bookmarkEnd w:id="51"/>
    <w:bookmarkStart w:id="52" w:name="ca04-segredo"/>
    <w:p>
      <w:pPr>
        <w:pStyle w:val="Heading3"/>
      </w:pPr>
      <w:r>
        <w:t xml:space="preserve">CA04 — Segredo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operação contém credenciais ou dados sensíveis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log for produzido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essas informações não deverão ser registradas.</w:t>
      </w:r>
    </w:p>
    <w:bookmarkEnd w:id="52"/>
    <w:bookmarkStart w:id="53" w:name="ca05-ambiente"/>
    <w:p>
      <w:pPr>
        <w:pStyle w:val="Heading3"/>
      </w:pPr>
      <w:r>
        <w:t xml:space="preserve">CA05 — Ambiente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a aplicação está em produção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nível de log for configurado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aplicação deverá obedecer à política de logging daquele ambiente.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asos-de-teste-1"/>
    <w:p>
      <w:pPr>
        <w:pStyle w:val="Heading2"/>
      </w:pPr>
      <w:r>
        <w:t xml:space="preserve">6.6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E22-US02-T01</w:t>
            </w:r>
          </w:p>
        </w:tc>
        <w:tc>
          <w:tcPr/>
          <w:p>
            <w:pPr>
              <w:pStyle w:val="Compact"/>
            </w:pPr>
            <w:r>
              <w:t xml:space="preserve">Log INFO</w:t>
            </w:r>
          </w:p>
        </w:tc>
        <w:tc>
          <w:tcPr/>
          <w:p>
            <w:pPr>
              <w:pStyle w:val="Compact"/>
            </w:pPr>
            <w:r>
              <w:t xml:space="preserve">Estrutura 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E22-US02-T02</w:t>
            </w:r>
          </w:p>
        </w:tc>
        <w:tc>
          <w:tcPr/>
          <w:p>
            <w:pPr>
              <w:pStyle w:val="Compact"/>
            </w:pPr>
            <w:r>
              <w:t xml:space="preserve">Log ERROR</w:t>
            </w:r>
          </w:p>
        </w:tc>
        <w:tc>
          <w:tcPr/>
          <w:p>
            <w:pPr>
              <w:pStyle w:val="Compact"/>
            </w:pPr>
            <w:r>
              <w:t xml:space="preserve">Error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E22-US02-T03</w:t>
            </w:r>
          </w:p>
        </w:tc>
        <w:tc>
          <w:tcPr/>
          <w:p>
            <w:pPr>
              <w:pStyle w:val="Compact"/>
            </w:pPr>
            <w:r>
              <w:t xml:space="preserve">Correlation ID</w:t>
            </w:r>
          </w:p>
        </w:tc>
        <w:tc>
          <w:tcPr/>
          <w:p>
            <w:pPr>
              <w:pStyle w:val="Compact"/>
            </w:pPr>
            <w:r>
              <w:t xml:space="preserve">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E22-US02-T04</w:t>
            </w:r>
          </w:p>
        </w:tc>
        <w:tc>
          <w:tcPr/>
          <w:p>
            <w:pPr>
              <w:pStyle w:val="Compact"/>
            </w:pPr>
            <w:r>
              <w:t xml:space="preserve">Senha em objeto</w:t>
            </w:r>
          </w:p>
        </w:tc>
        <w:tc>
          <w:tcPr/>
          <w:p>
            <w:pPr>
              <w:pStyle w:val="Compact"/>
            </w:pPr>
            <w:r>
              <w:t xml:space="preserve">Não registrada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E22-US02-T05</w:t>
            </w:r>
          </w:p>
        </w:tc>
        <w:tc>
          <w:tcPr/>
          <w:p>
            <w:pPr>
              <w:pStyle w:val="Compact"/>
            </w:pPr>
            <w:r>
              <w:t xml:space="preserve">Token em objeto</w:t>
            </w:r>
          </w:p>
        </w:tc>
        <w:tc>
          <w:tcPr/>
          <w:p>
            <w:pPr>
              <w:pStyle w:val="Compact"/>
            </w:pPr>
            <w:r>
              <w:t xml:space="preserve">Não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E22-US02-T06</w:t>
            </w:r>
          </w:p>
        </w:tc>
        <w:tc>
          <w:tcPr/>
          <w:p>
            <w:pPr>
              <w:pStyle w:val="Compact"/>
            </w:pPr>
            <w:r>
              <w:t xml:space="preserve">Ambiente production</w:t>
            </w:r>
          </w:p>
        </w:tc>
        <w:tc>
          <w:tcPr/>
          <w:p>
            <w:pPr>
              <w:pStyle w:val="Compact"/>
            </w:pPr>
            <w:r>
              <w:t xml:space="preserve">Nível correto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E22-US02-T07</w:t>
            </w:r>
          </w:p>
        </w:tc>
        <w:tc>
          <w:tcPr/>
          <w:p>
            <w:pPr>
              <w:pStyle w:val="Compact"/>
            </w:pPr>
            <w:r>
              <w:t xml:space="preserve">LoggerService</w:t>
            </w:r>
          </w:p>
        </w:tc>
        <w:tc>
          <w:tcPr/>
          <w:p>
            <w:pPr>
              <w:pStyle w:val="Compact"/>
            </w:pPr>
            <w:r>
              <w:t xml:space="preserve">Biblioteca isolada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X062f70515e9c316f650629cbef6aa83ef6e7ec5"/>
    <w:p>
      <w:pPr>
        <w:pStyle w:val="Heading1"/>
      </w:pPr>
      <w:r>
        <w:t xml:space="preserve">7. E22-US03 — Separar Logs Técnicos de Auditoria</w:t>
      </w:r>
    </w:p>
    <w:bookmarkStart w:id="57" w:name="objetivo-2"/>
    <w:p>
      <w:pPr>
        <w:pStyle w:val="Heading2"/>
      </w:pPr>
      <w:r>
        <w:t xml:space="preserve">7.1 Objetivo</w:t>
      </w:r>
    </w:p>
    <w:p>
      <w:pPr>
        <w:pStyle w:val="FirstParagraph"/>
      </w:pPr>
      <w:r>
        <w:t xml:space="preserve">Garantir que o mecanismo técnico de diagnóstico não seja utilizado como substituto da auditoria funcional.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gra"/>
    <w:p>
      <w:pPr>
        <w:pStyle w:val="Heading1"/>
      </w:pPr>
      <w:r>
        <w:t xml:space="preserve">7.2 Regra</w:t>
      </w:r>
    </w:p>
    <w:p>
      <w:pPr>
        <w:pStyle w:val="SourceCode"/>
      </w:pPr>
      <w:r>
        <w:rPr>
          <w:rStyle w:val="VerbatimChar"/>
        </w:rPr>
        <w:t xml:space="preserve">TECHNICAL_LOG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Diagnóstico técnico</w:t>
      </w:r>
      <w:r>
        <w:br/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Rastreabilidade funcional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Uma alteração de preço de uma oferta poderá gerar:</w:t>
      </w:r>
    </w:p>
    <w:p>
      <w:pPr>
        <w:pStyle w:val="SourceCode"/>
      </w:pPr>
      <w:r>
        <w:rPr>
          <w:rStyle w:val="VerbatimChar"/>
        </w:rPr>
        <w:t xml:space="preserve">TECHNICAL_LOG</w:t>
      </w:r>
      <w:r>
        <w:br/>
      </w:r>
      <w:r>
        <w:rPr>
          <w:rStyle w:val="VerbatimChar"/>
        </w:rPr>
        <w:t xml:space="preserve">"UPDATE OFFER executed in 82ms"</w:t>
      </w:r>
      <w:r>
        <w:br/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"Seller changed Offer price from 99.90 to 109.90"</w:t>
      </w:r>
    </w:p>
    <w:p>
      <w:pPr>
        <w:pStyle w:val="FirstParagraph"/>
      </w:pPr>
      <w:r>
        <w:t xml:space="preserve">São informações diferentes e possuem finalidades diferentes.</w:t>
      </w:r>
    </w:p>
    <w:p>
      <w:r>
        <w:pict>
          <v:rect style="width:0;height:1.5pt" o:hralign="center" o:hrstd="t" o:hr="t"/>
        </w:pict>
      </w:r>
    </w:p>
    <w:bookmarkEnd w:id="59"/>
    <w:bookmarkStart w:id="64" w:name="tarefas-técnicas-2"/>
    <w:p>
      <w:pPr>
        <w:pStyle w:val="Heading1"/>
      </w:pPr>
      <w:r>
        <w:t xml:space="preserve">7.3 Tarefas técnicas</w:t>
      </w:r>
    </w:p>
    <w:bookmarkStart w:id="60" w:name="X9b93c460ab62bd94d34ec74fb68042fbaa2217f"/>
    <w:p>
      <w:pPr>
        <w:pStyle w:val="Heading3"/>
      </w:pPr>
      <w:r>
        <w:t xml:space="preserve">TASK E22-US03-01 — Criar separação física/lógica</w:t>
      </w:r>
    </w:p>
    <w:p>
      <w:pPr>
        <w:pStyle w:val="FirstParagraph"/>
      </w:pPr>
      <w:r>
        <w:t xml:space="preserve">Garantir que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não seja apenas uma categoria de</w:t>
      </w:r>
      <w:r>
        <w:t xml:space="preserve"> </w:t>
      </w:r>
      <w:r>
        <w:rPr>
          <w:rStyle w:val="VerbatimChar"/>
        </w:rPr>
        <w:t xml:space="preserve">TECHNICAL_LOG</w:t>
      </w:r>
      <w:r>
        <w:t xml:space="preserve">.</w:t>
      </w:r>
    </w:p>
    <w:bookmarkEnd w:id="60"/>
    <w:bookmarkStart w:id="61" w:name="X080bbaf82cc2b7c0199e8d334b34ed1deaf1f48"/>
    <w:p>
      <w:pPr>
        <w:pStyle w:val="Heading3"/>
      </w:pPr>
      <w:r>
        <w:t xml:space="preserve">TASK E22-US03-02 — Integrar com AuditService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 </w:t>
      </w:r>
      <w:r>
        <w:t xml:space="preserve">definido no E02 deverá permanecer independente do LoggerService.</w:t>
      </w:r>
    </w:p>
    <w:p>
      <w:pPr>
        <w:pStyle w:val="SourceCode"/>
      </w:pPr>
      <w:r>
        <w:rPr>
          <w:rStyle w:val="VerbatimChar"/>
        </w:rPr>
        <w:t xml:space="preserve">AuditService</w:t>
      </w:r>
      <w:r>
        <w:br/>
      </w:r>
      <w:r>
        <w:rPr>
          <w:rStyle w:val="VerbatimChar"/>
        </w:rPr>
        <w:t xml:space="preserve">     ≠</w:t>
      </w:r>
      <w:r>
        <w:br/>
      </w:r>
      <w:r>
        <w:rPr>
          <w:rStyle w:val="VerbatimChar"/>
        </w:rPr>
        <w:t xml:space="preserve">LoggerService</w:t>
      </w:r>
    </w:p>
    <w:bookmarkEnd w:id="61"/>
    <w:bookmarkStart w:id="62" w:name="X4f967531320e45f1161208e1d4e50323623d99c"/>
    <w:p>
      <w:pPr>
        <w:pStyle w:val="Heading3"/>
      </w:pPr>
      <w:r>
        <w:t xml:space="preserve">TASK E22-US03-03 — Definir operações auditáveis</w:t>
      </w:r>
    </w:p>
    <w:p>
      <w:pPr>
        <w:pStyle w:val="FirstParagraph"/>
      </w:pPr>
      <w:r>
        <w:t xml:space="preserve">Inicialmente:</w:t>
      </w:r>
    </w:p>
    <w:p>
      <w:pPr>
        <w:pStyle w:val="Compact"/>
        <w:numPr>
          <w:ilvl w:val="0"/>
          <w:numId w:val="1006"/>
        </w:numPr>
      </w:pPr>
      <w:r>
        <w:t xml:space="preserve">criação de usuário;</w:t>
      </w:r>
    </w:p>
    <w:p>
      <w:pPr>
        <w:pStyle w:val="Compact"/>
        <w:numPr>
          <w:ilvl w:val="0"/>
          <w:numId w:val="1006"/>
        </w:numPr>
      </w:pPr>
      <w:r>
        <w:t xml:space="preserve">alteração de permissões;</w:t>
      </w:r>
    </w:p>
    <w:p>
      <w:pPr>
        <w:pStyle w:val="Compact"/>
        <w:numPr>
          <w:ilvl w:val="0"/>
          <w:numId w:val="1006"/>
        </w:numPr>
      </w:pPr>
      <w:r>
        <w:t xml:space="preserve">aprovação de vendedor;</w:t>
      </w:r>
    </w:p>
    <w:p>
      <w:pPr>
        <w:pStyle w:val="Compact"/>
        <w:numPr>
          <w:ilvl w:val="0"/>
          <w:numId w:val="1006"/>
        </w:numPr>
      </w:pPr>
      <w:r>
        <w:t xml:space="preserve">suspensão de vendedor;</w:t>
      </w:r>
    </w:p>
    <w:p>
      <w:pPr>
        <w:pStyle w:val="Compact"/>
        <w:numPr>
          <w:ilvl w:val="0"/>
          <w:numId w:val="1006"/>
        </w:numPr>
      </w:pPr>
      <w:r>
        <w:t xml:space="preserve">alterações de oferta;</w:t>
      </w:r>
    </w:p>
    <w:p>
      <w:pPr>
        <w:pStyle w:val="Compact"/>
        <w:numPr>
          <w:ilvl w:val="0"/>
          <w:numId w:val="1006"/>
        </w:numPr>
      </w:pPr>
      <w:r>
        <w:t xml:space="preserve">operações de estoque;</w:t>
      </w:r>
    </w:p>
    <w:p>
      <w:pPr>
        <w:pStyle w:val="Compact"/>
        <w:numPr>
          <w:ilvl w:val="0"/>
          <w:numId w:val="1006"/>
        </w:numPr>
      </w:pPr>
      <w:r>
        <w:t xml:space="preserve">pedidos;</w:t>
      </w:r>
    </w:p>
    <w:p>
      <w:pPr>
        <w:pStyle w:val="Compact"/>
        <w:numPr>
          <w:ilvl w:val="0"/>
          <w:numId w:val="1006"/>
        </w:numPr>
      </w:pPr>
      <w:r>
        <w:t xml:space="preserve">pagamentos;</w:t>
      </w:r>
    </w:p>
    <w:p>
      <w:pPr>
        <w:pStyle w:val="Compact"/>
        <w:numPr>
          <w:ilvl w:val="0"/>
          <w:numId w:val="1006"/>
        </w:numPr>
      </w:pPr>
      <w:r>
        <w:t xml:space="preserve">refunds;</w:t>
      </w:r>
    </w:p>
    <w:p>
      <w:pPr>
        <w:pStyle w:val="Compact"/>
        <w:numPr>
          <w:ilvl w:val="0"/>
          <w:numId w:val="1006"/>
        </w:numPr>
      </w:pPr>
      <w:r>
        <w:t xml:space="preserve">chargebacks;</w:t>
      </w:r>
    </w:p>
    <w:p>
      <w:pPr>
        <w:pStyle w:val="Compact"/>
        <w:numPr>
          <w:ilvl w:val="0"/>
          <w:numId w:val="1006"/>
        </w:numPr>
      </w:pPr>
      <w:r>
        <w:t xml:space="preserve">settlement;</w:t>
      </w:r>
    </w:p>
    <w:p>
      <w:pPr>
        <w:pStyle w:val="Compact"/>
        <w:numPr>
          <w:ilvl w:val="0"/>
          <w:numId w:val="1006"/>
        </w:numPr>
      </w:pPr>
      <w:r>
        <w:t xml:space="preserve">dispatch;</w:t>
      </w:r>
    </w:p>
    <w:p>
      <w:pPr>
        <w:pStyle w:val="Compact"/>
        <w:numPr>
          <w:ilvl w:val="0"/>
          <w:numId w:val="1006"/>
        </w:numPr>
      </w:pPr>
      <w:r>
        <w:t xml:space="preserve">sorteios;</w:t>
      </w:r>
    </w:p>
    <w:p>
      <w:pPr>
        <w:pStyle w:val="Compact"/>
        <w:numPr>
          <w:ilvl w:val="0"/>
          <w:numId w:val="1006"/>
        </w:numPr>
      </w:pPr>
      <w:r>
        <w:t xml:space="preserve">moderação;</w:t>
      </w:r>
    </w:p>
    <w:p>
      <w:pPr>
        <w:pStyle w:val="Compact"/>
        <w:numPr>
          <w:ilvl w:val="0"/>
          <w:numId w:val="1006"/>
        </w:numPr>
      </w:pPr>
      <w:r>
        <w:t xml:space="preserve">alterações administrativas.</w:t>
      </w:r>
    </w:p>
    <w:p>
      <w:pPr>
        <w:pStyle w:val="FirstParagraph"/>
      </w:pPr>
      <w:r>
        <w:t xml:space="preserve">A lista deverá crescer conforme os domínios forem implementados.</w:t>
      </w:r>
    </w:p>
    <w:bookmarkEnd w:id="62"/>
    <w:bookmarkStart w:id="63" w:name="task-e22-us03-04-proteger-auditoria"/>
    <w:p>
      <w:pPr>
        <w:pStyle w:val="Heading3"/>
      </w:pPr>
      <w:r>
        <w:t xml:space="preserve">TASK E22-US03-04 — Proteger auditoria</w:t>
      </w:r>
    </w:p>
    <w:p>
      <w:pPr>
        <w:pStyle w:val="FirstParagraph"/>
      </w:pPr>
      <w:r>
        <w:t xml:space="preserve">O sistema deverá impedir alterações indevidas nos registros de auditoria.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critérios-de-aceite-2"/>
    <w:p>
      <w:pPr>
        <w:pStyle w:val="Heading1"/>
      </w:pPr>
      <w:r>
        <w:t xml:space="preserve">7.4 Critérios de aceite</w:t>
      </w:r>
    </w:p>
    <w:bookmarkStart w:id="65" w:name="ca01-separação"/>
    <w:p>
      <w:pPr>
        <w:pStyle w:val="Heading3"/>
      </w:pPr>
      <w:r>
        <w:t xml:space="preserve">CA01 — Separação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ocorre uma operação técnica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log for gerado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ele deverá permanecer como log técnico.</w:t>
      </w:r>
    </w:p>
    <w:bookmarkEnd w:id="65"/>
    <w:bookmarkStart w:id="66" w:name="ca02-operação-auditável"/>
    <w:p>
      <w:pPr>
        <w:pStyle w:val="Heading3"/>
      </w:pPr>
      <w:r>
        <w:t xml:space="preserve">CA02 — Operação auditável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ocorre uma operação definida como auditável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operação for executada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registro em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66"/>
    <w:bookmarkStart w:id="67" w:name="ca03-independência"/>
    <w:p>
      <w:pPr>
        <w:pStyle w:val="Heading3"/>
      </w:pPr>
      <w:r>
        <w:t xml:space="preserve">CA03 — Independência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LoggerService esteja indisponível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uma operação crítica exigir auditoria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arquitetura deverá possuir comportamento definido para não confundir logs técnicos com auditoria.</w:t>
      </w:r>
    </w:p>
    <w:bookmarkEnd w:id="67"/>
    <w:bookmarkStart w:id="68" w:name="ca04-auditoria-protegida"/>
    <w:p>
      <w:pPr>
        <w:pStyle w:val="Heading3"/>
      </w:pPr>
      <w:r>
        <w:t xml:space="preserve">CA04 — Auditoria protegida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existe um registro de auditoria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usuário sem autorização tentar modificá-lo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asos-de-teste-2"/>
    <w:p>
      <w:pPr>
        <w:pStyle w:val="Heading1"/>
      </w:pPr>
      <w:r>
        <w:t xml:space="preserve">7.5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E22-US03-T01</w:t>
            </w:r>
          </w:p>
        </w:tc>
        <w:tc>
          <w:tcPr/>
          <w:p>
            <w:pPr>
              <w:pStyle w:val="Compact"/>
            </w:pPr>
            <w:r>
              <w:t xml:space="preserve">Log técnico</w:t>
            </w:r>
          </w:p>
        </w:tc>
        <w:tc>
          <w:tcPr/>
          <w:p>
            <w:pPr>
              <w:pStyle w:val="Compact"/>
            </w:pPr>
            <w:r>
              <w:t xml:space="preserve">Não vira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E22-US03-T02</w:t>
            </w:r>
          </w:p>
        </w:tc>
        <w:tc>
          <w:tcPr/>
          <w:p>
            <w:pPr>
              <w:pStyle w:val="Compact"/>
            </w:pPr>
            <w:r>
              <w:t xml:space="preserve">Operação auditável</w:t>
            </w:r>
          </w:p>
        </w:tc>
        <w:tc>
          <w:tcPr/>
          <w:p>
            <w:pPr>
              <w:pStyle w:val="Compact"/>
            </w:pPr>
            <w:r>
              <w:t xml:space="preserve">Audit Log 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E22-US03-T03</w:t>
            </w:r>
          </w:p>
        </w:tc>
        <w:tc>
          <w:tcPr/>
          <w:p>
            <w:pPr>
              <w:pStyle w:val="Compact"/>
            </w:pPr>
            <w:r>
              <w:t xml:space="preserve">Alteração de audit log</w:t>
            </w:r>
          </w:p>
        </w:tc>
        <w:tc>
          <w:tcPr/>
          <w:p>
            <w:pPr>
              <w:pStyle w:val="Compact"/>
            </w:pPr>
            <w:r>
              <w:t xml:space="preserve">Negada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E22-US03-T04</w:t>
            </w:r>
          </w:p>
        </w:tc>
        <w:tc>
          <w:tcPr/>
          <w:p>
            <w:pPr>
              <w:pStyle w:val="Compact"/>
            </w:pPr>
            <w:r>
              <w:t xml:space="preserve">Dados sensíveis</w:t>
            </w:r>
          </w:p>
        </w:tc>
        <w:tc>
          <w:tcPr/>
          <w:p>
            <w:pPr>
              <w:pStyle w:val="Compact"/>
            </w:pPr>
            <w:r>
              <w:t xml:space="preserve">Não registrados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E22-US03-T05</w:t>
            </w:r>
          </w:p>
        </w:tc>
        <w:tc>
          <w:tcPr/>
          <w:p>
            <w:pPr>
              <w:pStyle w:val="Compact"/>
            </w:pPr>
            <w:r>
              <w:t xml:space="preserve">Logger separado</w:t>
            </w:r>
          </w:p>
        </w:tc>
        <w:tc>
          <w:tcPr/>
          <w:p>
            <w:pPr>
              <w:pStyle w:val="Compact"/>
            </w:pPr>
            <w:r>
              <w:t xml:space="preserve">Serviços independentes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2" w:name="Xc25433f54b13c959331340f07bf781931f1ec02"/>
    <w:p>
      <w:pPr>
        <w:pStyle w:val="Heading1"/>
      </w:pPr>
      <w:r>
        <w:t xml:space="preserve">8. E22-US04 — Implementar Monitoramento de Workers</w:t>
      </w:r>
    </w:p>
    <w:bookmarkStart w:id="71" w:name="objetivo-3"/>
    <w:p>
      <w:pPr>
        <w:pStyle w:val="Heading2"/>
      </w:pPr>
      <w:r>
        <w:t xml:space="preserve">8.1 Objetivo</w:t>
      </w:r>
    </w:p>
    <w:p>
      <w:pPr>
        <w:pStyle w:val="FirstParagraph"/>
      </w:pPr>
      <w:r>
        <w:t xml:space="preserve">Permitir acompanhar a execução dos processos assíncronos do MiniHub Car.</w:t>
      </w:r>
    </w:p>
    <w:p>
      <w:pPr>
        <w:pStyle w:val="BodyText"/>
      </w:pPr>
      <w:r>
        <w:t xml:space="preserve">Workers previstos no Documento 10.18:</w:t>
      </w:r>
    </w:p>
    <w:p>
      <w:pPr>
        <w:pStyle w:val="SourceCode"/>
      </w:pPr>
      <w:r>
        <w:rPr>
          <w:rStyle w:val="VerbatimChar"/>
        </w:rPr>
        <w:t xml:space="preserve">OutboxWorker</w:t>
      </w:r>
      <w:r>
        <w:br/>
      </w: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PaymentWebhookWorker</w:t>
      </w:r>
      <w:r>
        <w:br/>
      </w:r>
      <w:r>
        <w:rPr>
          <w:rStyle w:val="VerbatimChar"/>
        </w:rPr>
        <w:t xml:space="preserve">StockReservationWorker</w:t>
      </w:r>
      <w:r>
        <w:br/>
      </w:r>
      <w:r>
        <w:rPr>
          <w:rStyle w:val="VerbatimChar"/>
        </w:rPr>
        <w:t xml:space="preserve">ShipmentTrackingWorker</w:t>
      </w:r>
    </w:p>
    <w:p>
      <w:pPr>
        <w:pStyle w:val="FirstParagraph"/>
      </w:pPr>
      <w:r>
        <w:t xml:space="preserve">Workers posteriores:</w:t>
      </w:r>
    </w:p>
    <w:p>
      <w:pPr>
        <w:pStyle w:val="SourceCode"/>
      </w:pPr>
      <w:r>
        <w:rPr>
          <w:rStyle w:val="VerbatimChar"/>
        </w:rPr>
        <w:t xml:space="preserve">PreSaleWorker</w:t>
      </w:r>
      <w:r>
        <w:br/>
      </w:r>
      <w:r>
        <w:rPr>
          <w:rStyle w:val="VerbatimChar"/>
        </w:rPr>
        <w:t xml:space="preserve">SettlementWorker</w:t>
      </w:r>
      <w:r>
        <w:br/>
      </w:r>
      <w:r>
        <w:rPr>
          <w:rStyle w:val="VerbatimChar"/>
        </w:rPr>
        <w:t xml:space="preserve">RaffleWorker</w:t>
      </w:r>
      <w:r>
        <w:br/>
      </w:r>
      <w:r>
        <w:rPr>
          <w:rStyle w:val="VerbatimChar"/>
        </w:rPr>
        <w:t xml:space="preserve">CommunityWorker</w:t>
      </w:r>
      <w:r>
        <w:br/>
      </w:r>
      <w:r>
        <w:rPr>
          <w:rStyle w:val="VerbatimChar"/>
        </w:rPr>
        <w:t xml:space="preserve">ImageWorker</w:t>
      </w:r>
      <w:r>
        <w:br/>
      </w:r>
      <w:r>
        <w:rPr>
          <w:rStyle w:val="VerbatimChar"/>
        </w:rPr>
        <w:t xml:space="preserve">ReconciliationWorker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informações-mínimas"/>
    <w:p>
      <w:pPr>
        <w:pStyle w:val="Heading1"/>
      </w:pPr>
      <w:r>
        <w:t xml:space="preserve">8.2 Informações mínimas</w:t>
      </w:r>
    </w:p>
    <w:p>
      <w:pPr>
        <w:pStyle w:val="FirstParagraph"/>
      </w:pPr>
      <w:r>
        <w:t xml:space="preserve">Para cada execução deverá ser possível identificar:</w:t>
      </w:r>
    </w:p>
    <w:p>
      <w:pPr>
        <w:pStyle w:val="SourceCode"/>
      </w:pPr>
      <w:r>
        <w:rPr>
          <w:rStyle w:val="VerbatimChar"/>
        </w:rPr>
        <w:t xml:space="preserve">QUAL WORKER?</w:t>
      </w:r>
      <w:r>
        <w:br/>
      </w:r>
      <w:r>
        <w:rPr>
          <w:rStyle w:val="VerbatimChar"/>
        </w:rPr>
        <w:t xml:space="preserve">QUAL JOB/EVENTO?</w:t>
      </w:r>
      <w:r>
        <w:br/>
      </w:r>
      <w:r>
        <w:rPr>
          <w:rStyle w:val="VerbatimChar"/>
        </w:rPr>
        <w:t xml:space="preserve">QUANDO COMEÇOU?</w:t>
      </w:r>
      <w:r>
        <w:br/>
      </w:r>
      <w:r>
        <w:rPr>
          <w:rStyle w:val="VerbatimChar"/>
        </w:rPr>
        <w:t xml:space="preserve">QUANDO TERMINOU?</w:t>
      </w:r>
      <w:r>
        <w:br/>
      </w:r>
      <w:r>
        <w:rPr>
          <w:rStyle w:val="VerbatimChar"/>
        </w:rPr>
        <w:t xml:space="preserve">QUANTO TEMPO LEVOU?</w:t>
      </w:r>
      <w:r>
        <w:br/>
      </w:r>
      <w:r>
        <w:rPr>
          <w:rStyle w:val="VerbatimChar"/>
        </w:rPr>
        <w:t xml:space="preserve">SUCESSO OU FALHA?</w:t>
      </w:r>
      <w:r>
        <w:br/>
      </w:r>
      <w:r>
        <w:rPr>
          <w:rStyle w:val="VerbatimChar"/>
        </w:rPr>
        <w:t xml:space="preserve">QUANTAS TENTATIVAS?</w:t>
      </w:r>
      <w:r>
        <w:br/>
      </w:r>
      <w:r>
        <w:rPr>
          <w:rStyle w:val="VerbatimChar"/>
        </w:rPr>
        <w:t xml:space="preserve">QUAL ERRO?</w:t>
      </w:r>
      <w:r>
        <w:br/>
      </w:r>
      <w:r>
        <w:rPr>
          <w:rStyle w:val="VerbatimChar"/>
        </w:rPr>
        <w:t xml:space="preserve">QUAL CORRELATION ID?</w:t>
      </w:r>
    </w:p>
    <w:p>
      <w:r>
        <w:pict>
          <v:rect style="width:0;height:1.5pt" o:hralign="center" o:hrstd="t" o:hr="t"/>
        </w:pict>
      </w:r>
    </w:p>
    <w:bookmarkEnd w:id="73"/>
    <w:bookmarkStart w:id="80" w:name="tarefas-técnicas-3"/>
    <w:p>
      <w:pPr>
        <w:pStyle w:val="Heading1"/>
      </w:pPr>
      <w:r>
        <w:t xml:space="preserve">8.3 Tarefas técnicas</w:t>
      </w:r>
    </w:p>
    <w:bookmarkStart w:id="74" w:name="Xb137bced78f01100dffed976d097ce842192f0d"/>
    <w:p>
      <w:pPr>
        <w:pStyle w:val="Heading3"/>
      </w:pPr>
      <w:r>
        <w:t xml:space="preserve">TASK E22-US04-01 — Criar contexto de Worker</w:t>
      </w:r>
    </w:p>
    <w:p>
      <w:pPr>
        <w:pStyle w:val="FirstParagraph"/>
      </w:pPr>
      <w:r>
        <w:t xml:space="preserve">Definir estrutura interna:</w:t>
      </w:r>
    </w:p>
    <w:p>
      <w:pPr>
        <w:pStyle w:val="SourceCode"/>
      </w:pPr>
      <w:r>
        <w:rPr>
          <w:rStyle w:val="VerbatimChar"/>
        </w:rPr>
        <w:t xml:space="preserve">WorkerContext</w:t>
      </w:r>
    </w:p>
    <w:p>
      <w:pPr>
        <w:pStyle w:val="FirstParagraph"/>
      </w:pPr>
      <w:r>
        <w:t xml:space="preserve">com informações como:</w:t>
      </w:r>
    </w:p>
    <w:p>
      <w:pPr>
        <w:pStyle w:val="Compact"/>
        <w:numPr>
          <w:ilvl w:val="0"/>
          <w:numId w:val="1007"/>
        </w:numPr>
      </w:pPr>
      <w:r>
        <w:t xml:space="preserve">worker;</w:t>
      </w:r>
    </w:p>
    <w:p>
      <w:pPr>
        <w:pStyle w:val="Compact"/>
        <w:numPr>
          <w:ilvl w:val="0"/>
          <w:numId w:val="1007"/>
        </w:numPr>
      </w:pPr>
      <w:r>
        <w:t xml:space="preserve">job/event;</w:t>
      </w:r>
    </w:p>
    <w:p>
      <w:pPr>
        <w:pStyle w:val="Compact"/>
        <w:numPr>
          <w:ilvl w:val="0"/>
          <w:numId w:val="1007"/>
        </w:numPr>
      </w:pPr>
      <w:r>
        <w:t xml:space="preserve">attempt;</w:t>
      </w:r>
    </w:p>
    <w:p>
      <w:pPr>
        <w:pStyle w:val="Compact"/>
        <w:numPr>
          <w:ilvl w:val="0"/>
          <w:numId w:val="1007"/>
        </w:numPr>
      </w:pPr>
      <w:r>
        <w:t xml:space="preserve">correlation_id;</w:t>
      </w:r>
    </w:p>
    <w:p>
      <w:pPr>
        <w:pStyle w:val="Compact"/>
        <w:numPr>
          <w:ilvl w:val="0"/>
          <w:numId w:val="1007"/>
        </w:numPr>
      </w:pPr>
      <w:r>
        <w:t xml:space="preserve">started_at.</w:t>
      </w:r>
    </w:p>
    <w:bookmarkEnd w:id="74"/>
    <w:bookmarkStart w:id="75" w:name="task-e22-us04-02-logging-de-início"/>
    <w:p>
      <w:pPr>
        <w:pStyle w:val="Heading3"/>
      </w:pPr>
      <w:r>
        <w:t xml:space="preserve">TASK E22-US04-02 — Logging de início</w:t>
      </w:r>
    </w:p>
    <w:p>
      <w:pPr>
        <w:pStyle w:val="FirstParagraph"/>
      </w:pPr>
      <w:r>
        <w:t xml:space="preserve">Registrar início de execução.</w:t>
      </w:r>
    </w:p>
    <w:bookmarkEnd w:id="75"/>
    <w:bookmarkStart w:id="76" w:name="task-e22-us04-03-logging-de-sucesso"/>
    <w:p>
      <w:pPr>
        <w:pStyle w:val="Heading3"/>
      </w:pPr>
      <w:r>
        <w:t xml:space="preserve">TASK E22-US04-03 — Logging de sucesso</w:t>
      </w:r>
    </w:p>
    <w:p>
      <w:pPr>
        <w:pStyle w:val="FirstParagraph"/>
      </w:pPr>
      <w:r>
        <w:t xml:space="preserve">Registrar conclusão bem-sucedida.</w:t>
      </w:r>
    </w:p>
    <w:bookmarkEnd w:id="76"/>
    <w:bookmarkStart w:id="77" w:name="task-e22-us04-04-logging-de-falha"/>
    <w:p>
      <w:pPr>
        <w:pStyle w:val="Heading3"/>
      </w:pPr>
      <w:r>
        <w:t xml:space="preserve">TASK E22-US04-04 — Logging de falha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08"/>
        </w:numPr>
      </w:pPr>
      <w:r>
        <w:t xml:space="preserve">erro;</w:t>
      </w:r>
    </w:p>
    <w:p>
      <w:pPr>
        <w:pStyle w:val="Compact"/>
        <w:numPr>
          <w:ilvl w:val="0"/>
          <w:numId w:val="1008"/>
        </w:numPr>
      </w:pPr>
      <w:r>
        <w:t xml:space="preserve">tentativa;</w:t>
      </w:r>
    </w:p>
    <w:p>
      <w:pPr>
        <w:pStyle w:val="Compact"/>
        <w:numPr>
          <w:ilvl w:val="0"/>
          <w:numId w:val="1008"/>
        </w:numPr>
      </w:pPr>
      <w:r>
        <w:t xml:space="preserve">contexto;</w:t>
      </w:r>
    </w:p>
    <w:p>
      <w:pPr>
        <w:pStyle w:val="Compact"/>
        <w:numPr>
          <w:ilvl w:val="0"/>
          <w:numId w:val="1008"/>
        </w:numPr>
      </w:pPr>
      <w:r>
        <w:t xml:space="preserve">próximo retry quando aplicável.</w:t>
      </w:r>
    </w:p>
    <w:bookmarkEnd w:id="77"/>
    <w:bookmarkStart w:id="78" w:name="task-e22-us04-05-monitorar-dlq"/>
    <w:p>
      <w:pPr>
        <w:pStyle w:val="Heading3"/>
      </w:pPr>
      <w:r>
        <w:t xml:space="preserve">TASK E22-US04-05 — Monitorar DLQ</w:t>
      </w:r>
    </w:p>
    <w:p>
      <w:pPr>
        <w:pStyle w:val="FirstParagraph"/>
      </w:pPr>
      <w:r>
        <w:t xml:space="preserve">Quando uma mensagem chegar à DLQ, o sistema deverá gerar informação operacional suficiente para investigação.</w:t>
      </w:r>
    </w:p>
    <w:bookmarkEnd w:id="78"/>
    <w:bookmarkStart w:id="79" w:name="task-e22-us04-06-métricas"/>
    <w:p>
      <w:pPr>
        <w:pStyle w:val="Heading3"/>
      </w:pPr>
      <w:r>
        <w:t xml:space="preserve">TASK E22-US04-06 — Métricas</w:t>
      </w:r>
    </w:p>
    <w:p>
      <w:pPr>
        <w:pStyle w:val="FirstParagraph"/>
      </w:pPr>
      <w:r>
        <w:t xml:space="preserve">Preparar métricas para:</w:t>
      </w:r>
    </w:p>
    <w:p>
      <w:pPr>
        <w:pStyle w:val="SourceCode"/>
      </w:pPr>
      <w:r>
        <w:rPr>
          <w:rStyle w:val="VerbatimChar"/>
        </w:rPr>
        <w:t xml:space="preserve">worker executions</w:t>
      </w:r>
      <w:r>
        <w:br/>
      </w:r>
      <w:r>
        <w:rPr>
          <w:rStyle w:val="VerbatimChar"/>
        </w:rPr>
        <w:t xml:space="preserve">worker failures</w:t>
      </w:r>
      <w:r>
        <w:br/>
      </w:r>
      <w:r>
        <w:rPr>
          <w:rStyle w:val="VerbatimChar"/>
        </w:rPr>
        <w:t xml:space="preserve">worker duration</w:t>
      </w:r>
      <w:r>
        <w:br/>
      </w:r>
      <w:r>
        <w:rPr>
          <w:rStyle w:val="VerbatimChar"/>
        </w:rPr>
        <w:t xml:space="preserve">retry count</w:t>
      </w:r>
      <w:r>
        <w:br/>
      </w:r>
      <w:r>
        <w:rPr>
          <w:rStyle w:val="VerbatimChar"/>
        </w:rPr>
        <w:t xml:space="preserve">DLQ count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critérios-de-aceite-3"/>
    <w:p>
      <w:pPr>
        <w:pStyle w:val="Heading1"/>
      </w:pPr>
      <w:r>
        <w:t xml:space="preserve">8.4 Critérios de aceite</w:t>
      </w:r>
    </w:p>
    <w:bookmarkStart w:id="81" w:name="ca01-worker-iniciado"/>
    <w:p>
      <w:pPr>
        <w:pStyle w:val="Heading3"/>
      </w:pPr>
      <w:r>
        <w:t xml:space="preserve">CA01 — Worker iniciado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 worker inicia processamento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execução começar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registro operacional da execução.</w:t>
      </w:r>
    </w:p>
    <w:bookmarkEnd w:id="81"/>
    <w:bookmarkStart w:id="82" w:name="ca02-worker-concluído"/>
    <w:p>
      <w:pPr>
        <w:pStyle w:val="Heading3"/>
      </w:pPr>
      <w:r>
        <w:t xml:space="preserve">CA02 — Worker concluído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processamento foi concluído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worker finalizar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registrar sucesso e duração.</w:t>
      </w:r>
    </w:p>
    <w:bookmarkEnd w:id="82"/>
    <w:bookmarkStart w:id="83" w:name="ca03-worker-falhou"/>
    <w:p>
      <w:pPr>
        <w:pStyle w:val="Heading3"/>
      </w:pPr>
      <w:r>
        <w:t xml:space="preserve">CA03 — Worker falhou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worker encontrou erro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execução falhar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registrar o erro e a tentativa.</w:t>
      </w:r>
    </w:p>
    <w:bookmarkEnd w:id="83"/>
    <w:bookmarkStart w:id="84" w:name="ca04-retry"/>
    <w:p>
      <w:pPr>
        <w:pStyle w:val="Heading3"/>
      </w:pPr>
      <w:r>
        <w:t xml:space="preserve">CA04 — Retry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operação será repetida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retry ocorrer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tentativa deverá ser identificável.</w:t>
      </w:r>
    </w:p>
    <w:bookmarkEnd w:id="84"/>
    <w:bookmarkStart w:id="85" w:name="ca05-dlq"/>
    <w:p>
      <w:pPr>
        <w:pStyle w:val="Heading3"/>
      </w:pPr>
      <w:r>
        <w:t xml:space="preserve">CA05 — DLQ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mensagem excedeu o limite de tentativas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for encaminhada à DLQ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ocorrência deverá ser identificável para operação e diagnóstico.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asos-de-teste-3"/>
    <w:p>
      <w:pPr>
        <w:pStyle w:val="Heading1"/>
      </w:pPr>
      <w:r>
        <w:t xml:space="preserve">8.5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E22-US04-T01</w:t>
            </w:r>
          </w:p>
        </w:tc>
        <w:tc>
          <w:tcPr/>
          <w:p>
            <w:pPr>
              <w:pStyle w:val="Compact"/>
            </w:pPr>
            <w:r>
              <w:t xml:space="preserve">Worker inicia</w:t>
            </w:r>
          </w:p>
        </w:tc>
        <w:tc>
          <w:tcPr/>
          <w:p>
            <w:pPr>
              <w:pStyle w:val="Compact"/>
            </w:pPr>
            <w:r>
              <w:t xml:space="preserve">Log 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E22-US04-T02</w:t>
            </w:r>
          </w:p>
        </w:tc>
        <w:tc>
          <w:tcPr/>
          <w:p>
            <w:pPr>
              <w:pStyle w:val="Compact"/>
            </w:pPr>
            <w:r>
              <w:t xml:space="preserve">Worker sucesso</w:t>
            </w:r>
          </w:p>
        </w:tc>
        <w:tc>
          <w:tcPr/>
          <w:p>
            <w:pPr>
              <w:pStyle w:val="Compact"/>
            </w:pPr>
            <w:r>
              <w:t xml:space="preserve">Duração registrada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E22-US04-T03</w:t>
            </w:r>
          </w:p>
        </w:tc>
        <w:tc>
          <w:tcPr/>
          <w:p>
            <w:pPr>
              <w:pStyle w:val="Compact"/>
            </w:pPr>
            <w:r>
              <w:t xml:space="preserve">Worker falha</w:t>
            </w:r>
          </w:p>
        </w:tc>
        <w:tc>
          <w:tcPr/>
          <w:p>
            <w:pPr>
              <w:pStyle w:val="Compact"/>
            </w:pPr>
            <w:r>
              <w:t xml:space="preserve">Erro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E22-US04-T04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Attempt incrementado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E22-US04-T05</w:t>
            </w:r>
          </w:p>
        </w:tc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Ocorrência identificada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E22-US04-T06</w:t>
            </w:r>
          </w:p>
        </w:tc>
        <w:tc>
          <w:tcPr/>
          <w:p>
            <w:pPr>
              <w:pStyle w:val="Compact"/>
            </w:pPr>
            <w:r>
              <w:t xml:space="preserve">Correlation ID</w:t>
            </w:r>
          </w:p>
        </w:tc>
        <w:tc>
          <w:tcPr/>
          <w:p>
            <w:pPr>
              <w:pStyle w:val="Compact"/>
            </w:pPr>
            <w:r>
              <w:t xml:space="preserve">Preservado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E22-US04-T07</w:t>
            </w:r>
          </w:p>
        </w:tc>
        <w:tc>
          <w:tcPr/>
          <w:p>
            <w:pPr>
              <w:pStyle w:val="Compact"/>
            </w:pPr>
            <w:r>
              <w:t xml:space="preserve">Métrica de duração</w:t>
            </w:r>
          </w:p>
        </w:tc>
        <w:tc>
          <w:tcPr/>
          <w:p>
            <w:pPr>
              <w:pStyle w:val="Compact"/>
            </w:pPr>
            <w:r>
              <w:t xml:space="preserve">Registrada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4" w:name="métricas-iniciais"/>
    <w:p>
      <w:pPr>
        <w:pStyle w:val="Heading1"/>
      </w:pPr>
      <w:r>
        <w:t xml:space="preserve">9. Métricas iniciais</w:t>
      </w:r>
    </w:p>
    <w:p>
      <w:pPr>
        <w:pStyle w:val="FirstParagraph"/>
      </w:pPr>
      <w:r>
        <w:t xml:space="preserve">O MiniHub deverá preparar um conjunto inicial de métricas.</w:t>
      </w:r>
    </w:p>
    <w:bookmarkStart w:id="88" w:name="api"/>
    <w:p>
      <w:pPr>
        <w:pStyle w:val="Heading2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request_count</w:t>
      </w:r>
      <w:r>
        <w:br/>
      </w:r>
      <w:r>
        <w:rPr>
          <w:rStyle w:val="VerbatimChar"/>
        </w:rPr>
        <w:t xml:space="preserve">request_error_count</w:t>
      </w:r>
      <w:r>
        <w:br/>
      </w:r>
      <w:r>
        <w:rPr>
          <w:rStyle w:val="VerbatimChar"/>
        </w:rPr>
        <w:t xml:space="preserve">request_duration</w:t>
      </w:r>
      <w:r>
        <w:br/>
      </w:r>
      <w:r>
        <w:rPr>
          <w:rStyle w:val="VerbatimChar"/>
        </w:rPr>
        <w:t xml:space="preserve">HTTP 4xx</w:t>
      </w:r>
      <w:r>
        <w:br/>
      </w:r>
      <w:r>
        <w:rPr>
          <w:rStyle w:val="VerbatimChar"/>
        </w:rPr>
        <w:t xml:space="preserve">HTTP 5xx</w:t>
      </w:r>
    </w:p>
    <w:bookmarkEnd w:id="88"/>
    <w:bookmarkStart w:id="89" w:name="banco"/>
    <w:p>
      <w:pPr>
        <w:pStyle w:val="Heading2"/>
      </w:pPr>
      <w:r>
        <w:t xml:space="preserve">Banco</w:t>
      </w:r>
    </w:p>
    <w:p>
      <w:pPr>
        <w:pStyle w:val="SourceCode"/>
      </w:pPr>
      <w:r>
        <w:rPr>
          <w:rStyle w:val="VerbatimChar"/>
        </w:rPr>
        <w:t xml:space="preserve">connection_pool_usage</w:t>
      </w:r>
      <w:r>
        <w:br/>
      </w:r>
      <w:r>
        <w:rPr>
          <w:rStyle w:val="VerbatimChar"/>
        </w:rPr>
        <w:t xml:space="preserve">query_duration</w:t>
      </w:r>
      <w:r>
        <w:br/>
      </w:r>
      <w:r>
        <w:rPr>
          <w:rStyle w:val="VerbatimChar"/>
        </w:rPr>
        <w:t xml:space="preserve">database_errors</w:t>
      </w:r>
      <w:r>
        <w:br/>
      </w:r>
      <w:r>
        <w:rPr>
          <w:rStyle w:val="VerbatimChar"/>
        </w:rPr>
        <w:t xml:space="preserve">connection_errors</w:t>
      </w:r>
    </w:p>
    <w:bookmarkEnd w:id="89"/>
    <w:bookmarkStart w:id="90" w:name="workers"/>
    <w:p>
      <w:pPr>
        <w:pStyle w:val="Heading2"/>
      </w:pPr>
      <w:r>
        <w:t xml:space="preserve">Workers</w:t>
      </w:r>
    </w:p>
    <w:p>
      <w:pPr>
        <w:pStyle w:val="SourceCode"/>
      </w:pPr>
      <w:r>
        <w:rPr>
          <w:rStyle w:val="VerbatimChar"/>
        </w:rPr>
        <w:t xml:space="preserve">worker_execution_count</w:t>
      </w:r>
      <w:r>
        <w:br/>
      </w:r>
      <w:r>
        <w:rPr>
          <w:rStyle w:val="VerbatimChar"/>
        </w:rPr>
        <w:t xml:space="preserve">worker_failure_count</w:t>
      </w:r>
      <w:r>
        <w:br/>
      </w:r>
      <w:r>
        <w:rPr>
          <w:rStyle w:val="VerbatimChar"/>
        </w:rPr>
        <w:t xml:space="preserve">worker_duration</w:t>
      </w:r>
      <w:r>
        <w:br/>
      </w:r>
      <w:r>
        <w:rPr>
          <w:rStyle w:val="VerbatimChar"/>
        </w:rPr>
        <w:t xml:space="preserve">worker_retry_count</w:t>
      </w:r>
    </w:p>
    <w:bookmarkEnd w:id="90"/>
    <w:bookmarkStart w:id="91" w:name="filas"/>
    <w:p>
      <w:pPr>
        <w:pStyle w:val="Heading2"/>
      </w:pPr>
      <w:r>
        <w:t xml:space="preserve">Filas</w:t>
      </w:r>
    </w:p>
    <w:p>
      <w:pPr>
        <w:pStyle w:val="SourceCode"/>
      </w:pPr>
      <w:r>
        <w:rPr>
          <w:rStyle w:val="VerbatimChar"/>
        </w:rPr>
        <w:t xml:space="preserve">queue_depth</w:t>
      </w:r>
      <w:r>
        <w:br/>
      </w:r>
      <w:r>
        <w:rPr>
          <w:rStyle w:val="VerbatimChar"/>
        </w:rPr>
        <w:t xml:space="preserve">processing_count</w:t>
      </w:r>
      <w:r>
        <w:br/>
      </w:r>
      <w:r>
        <w:rPr>
          <w:rStyle w:val="VerbatimChar"/>
        </w:rPr>
        <w:t xml:space="preserve">failed_count</w:t>
      </w:r>
      <w:r>
        <w:br/>
      </w:r>
      <w:r>
        <w:rPr>
          <w:rStyle w:val="VerbatimChar"/>
        </w:rPr>
        <w:t xml:space="preserve">DLQ_count</w:t>
      </w:r>
    </w:p>
    <w:bookmarkEnd w:id="91"/>
    <w:bookmarkStart w:id="92" w:name="pagamentos"/>
    <w:p>
      <w:pPr>
        <w:pStyle w:val="Heading2"/>
      </w:pPr>
      <w:r>
        <w:t xml:space="preserve">Pagamentos</w:t>
      </w:r>
    </w:p>
    <w:p>
      <w:pPr>
        <w:pStyle w:val="SourceCode"/>
      </w:pPr>
      <w:r>
        <w:rPr>
          <w:rStyle w:val="VerbatimChar"/>
        </w:rPr>
        <w:t xml:space="preserve">payment_success</w:t>
      </w:r>
      <w:r>
        <w:br/>
      </w:r>
      <w:r>
        <w:rPr>
          <w:rStyle w:val="VerbatimChar"/>
        </w:rPr>
        <w:t xml:space="preserve">payment_failure</w:t>
      </w:r>
      <w:r>
        <w:br/>
      </w:r>
      <w:r>
        <w:rPr>
          <w:rStyle w:val="VerbatimChar"/>
        </w:rPr>
        <w:t xml:space="preserve">webhook_failure</w:t>
      </w:r>
      <w:r>
        <w:br/>
      </w:r>
      <w:r>
        <w:rPr>
          <w:rStyle w:val="VerbatimChar"/>
        </w:rPr>
        <w:t xml:space="preserve">payment_processing_duration</w:t>
      </w:r>
    </w:p>
    <w:bookmarkEnd w:id="92"/>
    <w:bookmarkStart w:id="93" w:name="estoque"/>
    <w:p>
      <w:pPr>
        <w:pStyle w:val="Heading2"/>
      </w:pPr>
      <w:r>
        <w:t xml:space="preserve">Estoque</w:t>
      </w:r>
    </w:p>
    <w:p>
      <w:pPr>
        <w:pStyle w:val="SourceCode"/>
      </w:pPr>
      <w:r>
        <w:rPr>
          <w:rStyle w:val="VerbatimChar"/>
        </w:rPr>
        <w:t xml:space="preserve">reservation_count</w:t>
      </w:r>
      <w:r>
        <w:br/>
      </w:r>
      <w:r>
        <w:rPr>
          <w:rStyle w:val="VerbatimChar"/>
        </w:rPr>
        <w:t xml:space="preserve">reservation_expiration</w:t>
      </w:r>
      <w:r>
        <w:br/>
      </w:r>
      <w:r>
        <w:rPr>
          <w:rStyle w:val="VerbatimChar"/>
        </w:rPr>
        <w:t xml:space="preserve">stock_conflict</w:t>
      </w:r>
      <w:r>
        <w:br/>
      </w:r>
      <w:r>
        <w:rPr>
          <w:rStyle w:val="VerbatimChar"/>
        </w:rPr>
        <w:t xml:space="preserve">stock_negative_prevention</w:t>
      </w:r>
    </w:p>
    <w:p>
      <w:pPr>
        <w:pStyle w:val="FirstParagraph"/>
      </w:pPr>
      <w:r>
        <w:t xml:space="preserve">As métricas específicas de cada domínio poderão ser ampliadas posteriormente.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health-checks"/>
    <w:p>
      <w:pPr>
        <w:pStyle w:val="Heading1"/>
      </w:pPr>
      <w:r>
        <w:t xml:space="preserve">10. Health Checks</w:t>
      </w:r>
    </w:p>
    <w:p>
      <w:pPr>
        <w:pStyle w:val="FirstParagraph"/>
      </w:pPr>
      <w:r>
        <w:t xml:space="preserve">A aplicação deverá possuir mecanismos básicos de saúde.</w:t>
      </w:r>
    </w:p>
    <w:bookmarkStart w:id="95" w:name="liveness"/>
    <w:p>
      <w:pPr>
        <w:pStyle w:val="Heading2"/>
      </w:pPr>
      <w:r>
        <w:t xml:space="preserve">Liveness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O processo está executando?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/health/live</w:t>
      </w:r>
    </w:p>
    <w:bookmarkEnd w:id="95"/>
    <w:bookmarkStart w:id="96" w:name="readiness"/>
    <w:p>
      <w:pPr>
        <w:pStyle w:val="Heading2"/>
      </w:pPr>
      <w:r>
        <w:t xml:space="preserve">Readiness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A aplicação está pronta para receber operações?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A readiness poderá verificar dependências críticas, como: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Dependências externas não deverão necessariamente derrubar a readiness da API inteira; isso dependerá da criticidade da integração.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ritérios-de-saúde"/>
    <w:p>
      <w:pPr>
        <w:pStyle w:val="Heading1"/>
      </w:pPr>
      <w:r>
        <w:t xml:space="preserve">11. Critérios de saúde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PROCESSO EXECUTANDO?</w:t>
      </w:r>
      <w:r>
        <w:br/>
      </w:r>
      <w:r>
        <w:rPr>
          <w:rStyle w:val="VerbatimChar"/>
        </w:rPr>
        <w:t xml:space="preserve">   ├── NÃO → UNHEALTHY</w:t>
      </w:r>
      <w:r>
        <w:br/>
      </w:r>
      <w:r>
        <w:rPr>
          <w:rStyle w:val="VerbatimChar"/>
        </w:rPr>
        <w:t xml:space="preserve">   └── SIM → HEALTHY</w:t>
      </w:r>
    </w:p>
    <w:p>
      <w:pPr>
        <w:pStyle w:val="FirstParagraph"/>
      </w:pPr>
      <w:r>
        <w:t xml:space="preserve">Readiness:</w:t>
      </w:r>
    </w:p>
    <w:p>
      <w:pPr>
        <w:pStyle w:val="SourceCode"/>
      </w:pPr>
      <w:r>
        <w:rPr>
          <w:rStyle w:val="VerbatimChar"/>
        </w:rPr>
        <w:t xml:space="preserve">READINESS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APLICAÇÃO INICIADA?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BANCO DISPONÍVEL?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MIGRATIONS COMPATÍVEIS?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98"/>
    <w:bookmarkStart w:id="99" w:name="alertas-iniciais"/>
    <w:p>
      <w:pPr>
        <w:pStyle w:val="Heading1"/>
      </w:pPr>
      <w:r>
        <w:t xml:space="preserve">12. Alertas iniciais</w:t>
      </w:r>
    </w:p>
    <w:p>
      <w:pPr>
        <w:pStyle w:val="FirstParagraph"/>
      </w:pPr>
      <w:r>
        <w:t xml:space="preserve">O desenho deverá permitir futuramente alertas para:</w:t>
      </w:r>
    </w:p>
    <w:p>
      <w:pPr>
        <w:pStyle w:val="Compact"/>
        <w:numPr>
          <w:ilvl w:val="0"/>
          <w:numId w:val="1009"/>
        </w:numPr>
      </w:pPr>
      <w:r>
        <w:t xml:space="preserve">aumento de HTTP 5xx;</w:t>
      </w:r>
    </w:p>
    <w:p>
      <w:pPr>
        <w:pStyle w:val="Compact"/>
        <w:numPr>
          <w:ilvl w:val="0"/>
          <w:numId w:val="1009"/>
        </w:numPr>
      </w:pPr>
      <w:r>
        <w:t xml:space="preserve">aumento de HTTP 401/403 anormal;</w:t>
      </w:r>
    </w:p>
    <w:p>
      <w:pPr>
        <w:pStyle w:val="Compact"/>
        <w:numPr>
          <w:ilvl w:val="0"/>
          <w:numId w:val="1009"/>
        </w:numPr>
      </w:pPr>
      <w:r>
        <w:t xml:space="preserve">aumento de falhas de pagamento;</w:t>
      </w:r>
    </w:p>
    <w:p>
      <w:pPr>
        <w:pStyle w:val="Compact"/>
        <w:numPr>
          <w:ilvl w:val="0"/>
          <w:numId w:val="1009"/>
        </w:numPr>
      </w:pPr>
      <w:r>
        <w:t xml:space="preserve">crescimento da fila;</w:t>
      </w:r>
    </w:p>
    <w:p>
      <w:pPr>
        <w:pStyle w:val="Compact"/>
        <w:numPr>
          <w:ilvl w:val="0"/>
          <w:numId w:val="1009"/>
        </w:numPr>
      </w:pPr>
      <w:r>
        <w:t xml:space="preserve">crescimento da DLQ;</w:t>
      </w:r>
    </w:p>
    <w:p>
      <w:pPr>
        <w:pStyle w:val="Compact"/>
        <w:numPr>
          <w:ilvl w:val="0"/>
          <w:numId w:val="1009"/>
        </w:numPr>
      </w:pPr>
      <w:r>
        <w:t xml:space="preserve">workers parados;</w:t>
      </w:r>
    </w:p>
    <w:p>
      <w:pPr>
        <w:pStyle w:val="Compact"/>
        <w:numPr>
          <w:ilvl w:val="0"/>
          <w:numId w:val="1009"/>
        </w:numPr>
      </w:pPr>
      <w:r>
        <w:t xml:space="preserve">aumento de retries;</w:t>
      </w:r>
    </w:p>
    <w:p>
      <w:pPr>
        <w:pStyle w:val="Compact"/>
        <w:numPr>
          <w:ilvl w:val="0"/>
          <w:numId w:val="1009"/>
        </w:numPr>
      </w:pPr>
      <w:r>
        <w:t xml:space="preserve">erro de integração;</w:t>
      </w:r>
    </w:p>
    <w:p>
      <w:pPr>
        <w:pStyle w:val="Compact"/>
        <w:numPr>
          <w:ilvl w:val="0"/>
          <w:numId w:val="1009"/>
        </w:numPr>
      </w:pPr>
      <w:r>
        <w:t xml:space="preserve">indisponibilidade do banco;</w:t>
      </w:r>
    </w:p>
    <w:p>
      <w:pPr>
        <w:pStyle w:val="Compact"/>
        <w:numPr>
          <w:ilvl w:val="0"/>
          <w:numId w:val="1009"/>
        </w:numPr>
      </w:pPr>
      <w:r>
        <w:t xml:space="preserve">aumento de tempo de resposta.</w:t>
      </w:r>
    </w:p>
    <w:p>
      <w:pPr>
        <w:pStyle w:val="FirstParagraph"/>
      </w:pPr>
      <w:r>
        <w:t xml:space="preserve">Os thresholds definitivos deverão ser configurados após obter comportamento real da aplicação.</w:t>
      </w:r>
    </w:p>
    <w:p>
      <w:r>
        <w:pict>
          <v:rect style="width:0;height:1.5pt" o:hralign="center" o:hrstd="t" o:hr="t"/>
        </w:pict>
      </w:r>
    </w:p>
    <w:bookmarkEnd w:id="99"/>
    <w:bookmarkStart w:id="100" w:name="observabilidade-e-segurança"/>
    <w:p>
      <w:pPr>
        <w:pStyle w:val="Heading1"/>
      </w:pPr>
      <w:r>
        <w:t xml:space="preserve">13. Observabilidade e segurança</w:t>
      </w:r>
    </w:p>
    <w:p>
      <w:pPr>
        <w:pStyle w:val="FirstParagraph"/>
      </w:pPr>
      <w:r>
        <w:t xml:space="preserve">Logs e métricas deverão respeitar as regras do E02 e Documento 10.12.</w:t>
      </w:r>
    </w:p>
    <w:p>
      <w:pPr>
        <w:pStyle w:val="BodyText"/>
      </w:pPr>
      <w:r>
        <w:t xml:space="preserve">Não deverão expor:</w:t>
      </w:r>
    </w:p>
    <w:p>
      <w:pPr>
        <w:pStyle w:val="SourceCode"/>
      </w:pPr>
      <w:r>
        <w:rPr>
          <w:rStyle w:val="VerbatimChar"/>
        </w:rPr>
        <w:t xml:space="preserve">SENHAS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DADOS COMPLETOS DE CARTÃO</w:t>
      </w:r>
      <w:r>
        <w:br/>
      </w:r>
      <w:r>
        <w:rPr>
          <w:rStyle w:val="VerbatimChar"/>
        </w:rPr>
        <w:t xml:space="preserve">CREDENCIAIS</w:t>
      </w:r>
      <w:r>
        <w:br/>
      </w:r>
      <w:r>
        <w:rPr>
          <w:rStyle w:val="VerbatimChar"/>
        </w:rPr>
        <w:t xml:space="preserve">DADOS PESSOAIS DESNECESSÁRIOS</w:t>
      </w:r>
    </w:p>
    <w:p>
      <w:pPr>
        <w:pStyle w:val="FirstParagraph"/>
      </w:pPr>
      <w:r>
        <w:t xml:space="preserve">Também deverá existir cuidado com:</w:t>
      </w:r>
    </w:p>
    <w:p>
      <w:pPr>
        <w:pStyle w:val="SourceCode"/>
      </w:pP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QUERY PARAMETERS</w:t>
      </w:r>
      <w:r>
        <w:br/>
      </w:r>
      <w:r>
        <w:rPr>
          <w:rStyle w:val="VerbatimChar"/>
        </w:rPr>
        <w:t xml:space="preserve">REQUEST BODY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PAYLOADS DE WEBHOOK</w:t>
      </w:r>
    </w:p>
    <w:p>
      <w:pPr>
        <w:pStyle w:val="FirstParagraph"/>
      </w:pPr>
      <w:r>
        <w:t xml:space="preserve">Nem todo conteúdo recebido deverá ser automaticamente registrado.</w:t>
      </w:r>
    </w:p>
    <w:p>
      <w:r>
        <w:pict>
          <v:rect style="width:0;height:1.5pt" o:hralign="center" o:hrstd="t" o:hr="t"/>
        </w:pict>
      </w:r>
    </w:p>
    <w:bookmarkEnd w:id="100"/>
    <w:bookmarkStart w:id="101" w:name="observabilidade-e-lgpd"/>
    <w:p>
      <w:pPr>
        <w:pStyle w:val="Heading1"/>
      </w:pPr>
      <w:r>
        <w:t xml:space="preserve">14. Observabilidade e LGPD</w:t>
      </w:r>
    </w:p>
    <w:p>
      <w:pPr>
        <w:pStyle w:val="FirstParagraph"/>
      </w:pPr>
      <w:r>
        <w:t xml:space="preserve">A observabilidade deverá seguir o princípio:</w:t>
      </w:r>
    </w:p>
    <w:p>
      <w:pPr>
        <w:pStyle w:val="BlockText"/>
      </w:pPr>
      <w:r>
        <w:t xml:space="preserve">Registrar o suficiente para diagnosticar, mas não registrar dados desnecessários.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MAIOR LOG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MAIOR OBSERVABILIDADE</w:t>
      </w:r>
    </w:p>
    <w:p>
      <w:pPr>
        <w:pStyle w:val="FirstParagraph"/>
      </w:pPr>
      <w:r>
        <w:t xml:space="preserve">O objetivo será obter:</w:t>
      </w:r>
    </w:p>
    <w:p>
      <w:pPr>
        <w:pStyle w:val="SourceCode"/>
      </w:pPr>
      <w:r>
        <w:rPr>
          <w:rStyle w:val="VerbatimChar"/>
        </w:rPr>
        <w:t xml:space="preserve">CONTEXTO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CORRELAÇÃO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MÉTRICA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ERRO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ESTADO</w:t>
      </w:r>
    </w:p>
    <w:p>
      <w:pPr>
        <w:pStyle w:val="FirstParagraph"/>
      </w:pPr>
      <w:r>
        <w:t xml:space="preserve">sem transformar logs em cópia indiscriminada dos dados da aplicação.</w:t>
      </w:r>
    </w:p>
    <w:p>
      <w:r>
        <w:pict>
          <v:rect style="width:0;height:1.5pt" o:hralign="center" o:hrstd="t" o:hr="t"/>
        </w:pict>
      </w:r>
    </w:p>
    <w:bookmarkEnd w:id="101"/>
    <w:bookmarkStart w:id="107" w:name="testes-mínimos-obrigatórios"/>
    <w:p>
      <w:pPr>
        <w:pStyle w:val="Heading1"/>
      </w:pPr>
      <w:r>
        <w:t xml:space="preserve">15. Testes mínimos obrigatórios</w:t>
      </w:r>
    </w:p>
    <w:p>
      <w:pPr>
        <w:pStyle w:val="FirstParagraph"/>
      </w:pPr>
      <w:r>
        <w:t xml:space="preserve">Antes de concluir o E22:</w:t>
      </w:r>
    </w:p>
    <w:bookmarkStart w:id="102" w:name="correlation-id"/>
    <w:p>
      <w:pPr>
        <w:pStyle w:val="Heading3"/>
      </w:pPr>
      <w:r>
        <w:t xml:space="preserve">Correlation ID</w:t>
      </w:r>
    </w:p>
    <w:p>
      <w:pPr>
        <w:pStyle w:val="Compact"/>
        <w:numPr>
          <w:ilvl w:val="0"/>
          <w:numId w:val="1010"/>
        </w:numPr>
      </w:pPr>
      <w:r>
        <w:t xml:space="preserve">geração;</w:t>
      </w:r>
    </w:p>
    <w:p>
      <w:pPr>
        <w:pStyle w:val="Compact"/>
        <w:numPr>
          <w:ilvl w:val="0"/>
          <w:numId w:val="1011"/>
        </w:numPr>
      </w:pPr>
      <w:r>
        <w:t xml:space="preserve">propagação;</w:t>
      </w:r>
    </w:p>
    <w:p>
      <w:pPr>
        <w:pStyle w:val="Compact"/>
        <w:numPr>
          <w:ilvl w:val="0"/>
          <w:numId w:val="1012"/>
        </w:numPr>
      </w:pPr>
      <w:r>
        <w:t xml:space="preserve">resposta;</w:t>
      </w:r>
    </w:p>
    <w:p>
      <w:pPr>
        <w:pStyle w:val="Compact"/>
        <w:numPr>
          <w:ilvl w:val="0"/>
          <w:numId w:val="1013"/>
        </w:numPr>
      </w:pPr>
      <w:r>
        <w:t xml:space="preserve">eventos;</w:t>
      </w:r>
    </w:p>
    <w:p>
      <w:pPr>
        <w:pStyle w:val="Compact"/>
        <w:numPr>
          <w:ilvl w:val="0"/>
          <w:numId w:val="1014"/>
        </w:numPr>
      </w:pPr>
      <w:r>
        <w:t xml:space="preserve">workers.</w:t>
      </w:r>
    </w:p>
    <w:bookmarkEnd w:id="102"/>
    <w:bookmarkStart w:id="103" w:name="logs"/>
    <w:p>
      <w:pPr>
        <w:pStyle w:val="Heading3"/>
      </w:pPr>
      <w:r>
        <w:t xml:space="preserve">Logs</w:t>
      </w:r>
    </w:p>
    <w:p>
      <w:pPr>
        <w:pStyle w:val="Compact"/>
        <w:numPr>
          <w:ilvl w:val="0"/>
          <w:numId w:val="1015"/>
        </w:numPr>
      </w:pPr>
      <w:r>
        <w:t xml:space="preserve">estrutura;</w:t>
      </w:r>
    </w:p>
    <w:p>
      <w:pPr>
        <w:pStyle w:val="Compact"/>
        <w:numPr>
          <w:ilvl w:val="0"/>
          <w:numId w:val="1016"/>
        </w:numPr>
      </w:pPr>
      <w:r>
        <w:t xml:space="preserve">níveis;</w:t>
      </w:r>
    </w:p>
    <w:p>
      <w:pPr>
        <w:pStyle w:val="Compact"/>
        <w:numPr>
          <w:ilvl w:val="0"/>
          <w:numId w:val="1017"/>
        </w:numPr>
      </w:pPr>
      <w:r>
        <w:t xml:space="preserve">erros;</w:t>
      </w:r>
    </w:p>
    <w:p>
      <w:pPr>
        <w:pStyle w:val="Compact"/>
        <w:numPr>
          <w:ilvl w:val="0"/>
          <w:numId w:val="1018"/>
        </w:numPr>
      </w:pPr>
      <w:r>
        <w:t xml:space="preserve">correlation;</w:t>
      </w:r>
    </w:p>
    <w:p>
      <w:pPr>
        <w:pStyle w:val="Compact"/>
        <w:numPr>
          <w:ilvl w:val="0"/>
          <w:numId w:val="1019"/>
        </w:numPr>
      </w:pPr>
      <w:r>
        <w:t xml:space="preserve">ausência de secrets;</w:t>
      </w:r>
    </w:p>
    <w:p>
      <w:pPr>
        <w:pStyle w:val="Compact"/>
        <w:numPr>
          <w:ilvl w:val="0"/>
          <w:numId w:val="1020"/>
        </w:numPr>
      </w:pPr>
      <w:r>
        <w:t xml:space="preserve">configuração por ambiente.</w:t>
      </w:r>
    </w:p>
    <w:bookmarkEnd w:id="103"/>
    <w:bookmarkStart w:id="104" w:name="auditoria"/>
    <w:p>
      <w:pPr>
        <w:pStyle w:val="Heading3"/>
      </w:pPr>
      <w:r>
        <w:t xml:space="preserve">Auditoria</w:t>
      </w:r>
    </w:p>
    <w:p>
      <w:pPr>
        <w:pStyle w:val="Compact"/>
        <w:numPr>
          <w:ilvl w:val="0"/>
          <w:numId w:val="1021"/>
        </w:numPr>
      </w:pPr>
      <w:r>
        <w:t xml:space="preserve">separação;</w:t>
      </w:r>
    </w:p>
    <w:p>
      <w:pPr>
        <w:pStyle w:val="Compact"/>
        <w:numPr>
          <w:ilvl w:val="0"/>
          <w:numId w:val="1022"/>
        </w:numPr>
      </w:pPr>
      <w:r>
        <w:t xml:space="preserve">AuditService;</w:t>
      </w:r>
    </w:p>
    <w:p>
      <w:pPr>
        <w:pStyle w:val="Compact"/>
        <w:numPr>
          <w:ilvl w:val="0"/>
          <w:numId w:val="1023"/>
        </w:numPr>
      </w:pPr>
      <w:r>
        <w:t xml:space="preserve">proteção;</w:t>
      </w:r>
    </w:p>
    <w:p>
      <w:pPr>
        <w:pStyle w:val="Compact"/>
        <w:numPr>
          <w:ilvl w:val="0"/>
          <w:numId w:val="1024"/>
        </w:numPr>
      </w:pPr>
      <w:r>
        <w:t xml:space="preserve">operação auditável.</w:t>
      </w:r>
    </w:p>
    <w:bookmarkEnd w:id="104"/>
    <w:bookmarkStart w:id="105" w:name="workers-1"/>
    <w:p>
      <w:pPr>
        <w:pStyle w:val="Heading3"/>
      </w:pPr>
      <w:r>
        <w:t xml:space="preserve">Workers</w:t>
      </w:r>
    </w:p>
    <w:p>
      <w:pPr>
        <w:pStyle w:val="Compact"/>
        <w:numPr>
          <w:ilvl w:val="0"/>
          <w:numId w:val="1025"/>
        </w:numPr>
      </w:pPr>
      <w:r>
        <w:t xml:space="preserve">início;</w:t>
      </w:r>
    </w:p>
    <w:p>
      <w:pPr>
        <w:pStyle w:val="Compact"/>
        <w:numPr>
          <w:ilvl w:val="0"/>
          <w:numId w:val="1026"/>
        </w:numPr>
      </w:pPr>
      <w:r>
        <w:t xml:space="preserve">sucesso;</w:t>
      </w:r>
    </w:p>
    <w:p>
      <w:pPr>
        <w:pStyle w:val="Compact"/>
        <w:numPr>
          <w:ilvl w:val="0"/>
          <w:numId w:val="1027"/>
        </w:numPr>
      </w:pPr>
      <w:r>
        <w:t xml:space="preserve">falha;</w:t>
      </w:r>
    </w:p>
    <w:p>
      <w:pPr>
        <w:pStyle w:val="Compact"/>
        <w:numPr>
          <w:ilvl w:val="0"/>
          <w:numId w:val="1028"/>
        </w:numPr>
      </w:pPr>
      <w:r>
        <w:t xml:space="preserve">retry;</w:t>
      </w:r>
    </w:p>
    <w:p>
      <w:pPr>
        <w:pStyle w:val="Compact"/>
        <w:numPr>
          <w:ilvl w:val="0"/>
          <w:numId w:val="1029"/>
        </w:numPr>
      </w:pPr>
      <w:r>
        <w:t xml:space="preserve">DLQ;</w:t>
      </w:r>
    </w:p>
    <w:p>
      <w:pPr>
        <w:pStyle w:val="Compact"/>
        <w:numPr>
          <w:ilvl w:val="0"/>
          <w:numId w:val="1030"/>
        </w:numPr>
      </w:pPr>
      <w:r>
        <w:t xml:space="preserve">duração;</w:t>
      </w:r>
    </w:p>
    <w:p>
      <w:pPr>
        <w:pStyle w:val="Compact"/>
        <w:numPr>
          <w:ilvl w:val="0"/>
          <w:numId w:val="1031"/>
        </w:numPr>
      </w:pPr>
      <w:r>
        <w:t xml:space="preserve">correlation.</w:t>
      </w:r>
    </w:p>
    <w:bookmarkEnd w:id="105"/>
    <w:bookmarkStart w:id="106" w:name="health"/>
    <w:p>
      <w:pPr>
        <w:pStyle w:val="Heading3"/>
      </w:pPr>
      <w:r>
        <w:t xml:space="preserve">Health</w:t>
      </w:r>
    </w:p>
    <w:p>
      <w:pPr>
        <w:pStyle w:val="Compact"/>
        <w:numPr>
          <w:ilvl w:val="0"/>
          <w:numId w:val="1032"/>
        </w:numPr>
      </w:pPr>
      <w:r>
        <w:t xml:space="preserve">liveness;</w:t>
      </w:r>
    </w:p>
    <w:p>
      <w:pPr>
        <w:pStyle w:val="Compact"/>
        <w:numPr>
          <w:ilvl w:val="0"/>
          <w:numId w:val="1033"/>
        </w:numPr>
      </w:pPr>
      <w:r>
        <w:t xml:space="preserve">readiness;</w:t>
      </w:r>
    </w:p>
    <w:p>
      <w:pPr>
        <w:pStyle w:val="Compact"/>
        <w:numPr>
          <w:ilvl w:val="0"/>
          <w:numId w:val="1034"/>
        </w:numPr>
      </w:pPr>
      <w:r>
        <w:t xml:space="preserve">banco indisponível;</w:t>
      </w:r>
    </w:p>
    <w:p>
      <w:pPr>
        <w:pStyle w:val="Compact"/>
        <w:numPr>
          <w:ilvl w:val="0"/>
          <w:numId w:val="1035"/>
        </w:numPr>
      </w:pPr>
      <w:r>
        <w:t xml:space="preserve">aplicação não pronta.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definition-of-done-e22"/>
    <w:p>
      <w:pPr>
        <w:pStyle w:val="Heading1"/>
      </w:pPr>
      <w:r>
        <w:t xml:space="preserve">16. Definition of Done — E22</w:t>
      </w:r>
    </w:p>
    <w:p>
      <w:pPr>
        <w:pStyle w:val="FirstParagraph"/>
      </w:pPr>
      <w:r>
        <w:t xml:space="preserve">O Epic somente poderá ser concluído quando:</w:t>
      </w:r>
    </w:p>
    <w:p>
      <w:pPr>
        <w:pStyle w:val="Compact"/>
        <w:numPr>
          <w:ilvl w:val="0"/>
          <w:numId w:val="1036"/>
        </w:numPr>
      </w:pPr>
      <w:r>
        <w:t xml:space="preserve">Correlation ID implementado;</w:t>
      </w:r>
    </w:p>
    <w:p>
      <w:pPr>
        <w:pStyle w:val="Compact"/>
        <w:numPr>
          <w:ilvl w:val="0"/>
          <w:numId w:val="1037"/>
        </w:numPr>
      </w:pPr>
      <w:r>
        <w:t xml:space="preserve">LoggerService implementado;</w:t>
      </w:r>
    </w:p>
    <w:p>
      <w:pPr>
        <w:pStyle w:val="Compact"/>
        <w:numPr>
          <w:ilvl w:val="0"/>
          <w:numId w:val="1038"/>
        </w:numPr>
      </w:pPr>
      <w:r>
        <w:t xml:space="preserve">logs estruturados;</w:t>
      </w:r>
    </w:p>
    <w:p>
      <w:pPr>
        <w:pStyle w:val="Compact"/>
        <w:numPr>
          <w:ilvl w:val="0"/>
          <w:numId w:val="1039"/>
        </w:numPr>
      </w:pPr>
      <w:r>
        <w:t xml:space="preserve">níveis de log configurados;</w:t>
      </w:r>
    </w:p>
    <w:p>
      <w:pPr>
        <w:pStyle w:val="Compact"/>
        <w:numPr>
          <w:ilvl w:val="0"/>
          <w:numId w:val="1040"/>
        </w:numPr>
      </w:pPr>
      <w:r>
        <w:t xml:space="preserve">proteção de dados sensíveis;</w:t>
      </w:r>
    </w:p>
    <w:p>
      <w:pPr>
        <w:pStyle w:val="Compact"/>
        <w:numPr>
          <w:ilvl w:val="0"/>
          <w:numId w:val="1041"/>
        </w:numPr>
      </w:pPr>
      <w:r>
        <w:t xml:space="preserve">AuditService separado;</w:t>
      </w:r>
    </w:p>
    <w:p>
      <w:pPr>
        <w:pStyle w:val="Compact"/>
        <w:numPr>
          <w:ilvl w:val="0"/>
          <w:numId w:val="1042"/>
        </w:numPr>
      </w:pPr>
      <w:r>
        <w:t xml:space="preserve">AUDIT_LOG separado;</w:t>
      </w:r>
    </w:p>
    <w:p>
      <w:pPr>
        <w:pStyle w:val="Compact"/>
        <w:numPr>
          <w:ilvl w:val="0"/>
          <w:numId w:val="1043"/>
        </w:numPr>
      </w:pPr>
      <w:r>
        <w:t xml:space="preserve">WorkerContext implementado;</w:t>
      </w:r>
    </w:p>
    <w:p>
      <w:pPr>
        <w:pStyle w:val="Compact"/>
        <w:numPr>
          <w:ilvl w:val="0"/>
          <w:numId w:val="1044"/>
        </w:numPr>
      </w:pPr>
      <w:r>
        <w:t xml:space="preserve">monitoramento de workers;</w:t>
      </w:r>
    </w:p>
    <w:p>
      <w:pPr>
        <w:pStyle w:val="Compact"/>
        <w:numPr>
          <w:ilvl w:val="0"/>
          <w:numId w:val="1045"/>
        </w:numPr>
      </w:pPr>
      <w:r>
        <w:t xml:space="preserve">retry observável;</w:t>
      </w:r>
    </w:p>
    <w:p>
      <w:pPr>
        <w:pStyle w:val="Compact"/>
        <w:numPr>
          <w:ilvl w:val="0"/>
          <w:numId w:val="1046"/>
        </w:numPr>
      </w:pPr>
      <w:r>
        <w:t xml:space="preserve">DLQ observável;</w:t>
      </w:r>
    </w:p>
    <w:p>
      <w:pPr>
        <w:pStyle w:val="Compact"/>
        <w:numPr>
          <w:ilvl w:val="0"/>
          <w:numId w:val="1047"/>
        </w:numPr>
      </w:pPr>
      <w:r>
        <w:t xml:space="preserve">métricas básicas;</w:t>
      </w:r>
    </w:p>
    <w:p>
      <w:pPr>
        <w:pStyle w:val="Compact"/>
        <w:numPr>
          <w:ilvl w:val="0"/>
          <w:numId w:val="1048"/>
        </w:numPr>
      </w:pPr>
      <w:r>
        <w:t xml:space="preserve">health check;</w:t>
      </w:r>
    </w:p>
    <w:p>
      <w:pPr>
        <w:pStyle w:val="Compact"/>
        <w:numPr>
          <w:ilvl w:val="0"/>
          <w:numId w:val="1049"/>
        </w:numPr>
      </w:pPr>
      <w:r>
        <w:t xml:space="preserve">readiness;</w:t>
      </w:r>
    </w:p>
    <w:p>
      <w:pPr>
        <w:pStyle w:val="Compact"/>
        <w:numPr>
          <w:ilvl w:val="0"/>
          <w:numId w:val="1050"/>
        </w:numPr>
      </w:pPr>
      <w:r>
        <w:t xml:space="preserve">testes automatizados;</w:t>
      </w:r>
    </w:p>
    <w:p>
      <w:pPr>
        <w:pStyle w:val="Compact"/>
        <w:numPr>
          <w:ilvl w:val="0"/>
          <w:numId w:val="1051"/>
        </w:numPr>
      </w:pPr>
      <w:r>
        <w:t xml:space="preserve">documentação;</w:t>
      </w:r>
    </w:p>
    <w:p>
      <w:pPr>
        <w:pStyle w:val="Compact"/>
        <w:numPr>
          <w:ilvl w:val="0"/>
          <w:numId w:val="1052"/>
        </w:numPr>
      </w:pPr>
      <w:r>
        <w:t xml:space="preserve">CI aprovado.</w:t>
      </w:r>
    </w:p>
    <w:p>
      <w:r>
        <w:pict>
          <v:rect style="width:0;height:1.5pt" o:hralign="center" o:hrstd="t" o:hr="t"/>
        </w:pict>
      </w:r>
    </w:p>
    <w:bookmarkEnd w:id="108"/>
    <w:bookmarkStart w:id="109" w:name="checklist-de-fechamento"/>
    <w:p>
      <w:pPr>
        <w:pStyle w:val="Heading1"/>
      </w:pPr>
      <w:r>
        <w:t xml:space="preserve">17. Checklist de fechamento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ID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LoggerService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estruturados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Níveis de log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dos logs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AuditService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Separação Audit/Technical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WorkerContext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Monitoramento Workers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rastreabilidade"/>
    <w:p>
      <w:pPr>
        <w:pStyle w:val="Heading1"/>
      </w:pPr>
      <w:r>
        <w:t xml:space="preserve">18. Rastreabilidade</w:t>
      </w:r>
    </w:p>
    <w:p>
      <w:pPr>
        <w:pStyle w:val="SourceCode"/>
      </w:pPr>
      <w:r>
        <w:rPr>
          <w:rStyle w:val="VerbatimChar"/>
        </w:rPr>
        <w:t xml:space="preserve">10.12 — Segurança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10.13 — Arquitetura Técnica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10.18 — Eventos / Filas / Workers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10.19 — Estratégia de Testes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E22 — Observabilidade</w:t>
      </w:r>
      <w:r>
        <w:br/>
      </w:r>
      <w:r>
        <w:rPr>
          <w:rStyle w:val="VerbatimChar"/>
        </w:rPr>
        <w:t xml:space="preserve">       ├── E22-US01 Correlation ID</w:t>
      </w:r>
      <w:r>
        <w:br/>
      </w:r>
      <w:r>
        <w:rPr>
          <w:rStyle w:val="VerbatimChar"/>
        </w:rPr>
        <w:t xml:space="preserve">       ├── E22-US02 Logs Técnicos</w:t>
      </w:r>
      <w:r>
        <w:br/>
      </w:r>
      <w:r>
        <w:rPr>
          <w:rStyle w:val="VerbatimChar"/>
        </w:rPr>
        <w:t xml:space="preserve">       ├── E22-US03 Auditoria</w:t>
      </w:r>
      <w:r>
        <w:br/>
      </w:r>
      <w:r>
        <w:rPr>
          <w:rStyle w:val="VerbatimChar"/>
        </w:rPr>
        <w:t xml:space="preserve">       └── E22-US04 Workers</w:t>
      </w:r>
    </w:p>
    <w:p>
      <w:r>
        <w:pict>
          <v:rect style="width:0;height:1.5pt" o:hralign="center" o:hrstd="t" o:hr="t"/>
        </w:pict>
      </w:r>
    </w:p>
    <w:bookmarkEnd w:id="110"/>
    <w:bookmarkStart w:id="111" w:name="relação-com-os-próximos-epics"/>
    <w:p>
      <w:pPr>
        <w:pStyle w:val="Heading1"/>
      </w:pPr>
      <w:r>
        <w:t xml:space="preserve">19. Relação com os próximos Epics</w:t>
      </w:r>
    </w:p>
    <w:p>
      <w:pPr>
        <w:pStyle w:val="FirstParagraph"/>
      </w:pPr>
      <w:r>
        <w:t xml:space="preserve">O E22 prepara diretamente:</w:t>
      </w:r>
    </w:p>
    <w:p>
      <w:pPr>
        <w:pStyle w:val="SourceCode"/>
      </w:pPr>
      <w:r>
        <w:rPr>
          <w:rStyle w:val="VerbatimChar"/>
        </w:rPr>
        <w:t xml:space="preserve">E22 — OBSERVABILIDADE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E24 — TESTES E QUALIDADE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E03 — CATÁLOGO</w:t>
      </w:r>
    </w:p>
    <w:p>
      <w:pPr>
        <w:pStyle w:val="FirstParagraph"/>
      </w:pPr>
      <w:r>
        <w:t xml:space="preserve">Também será utilizado posteriormente por: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INTEGRATIONS</w:t>
      </w:r>
    </w:p>
    <w:p>
      <w:r>
        <w:pict>
          <v:rect style="width:0;height:1.5pt" o:hralign="center" o:hrstd="t" o:hr="t"/>
        </w:pict>
      </w:r>
    </w:p>
    <w:bookmarkEnd w:id="111"/>
    <w:bookmarkStart w:id="112" w:name="regra-fundamental-do-e22"/>
    <w:p>
      <w:pPr>
        <w:pStyle w:val="Heading1"/>
      </w:pPr>
      <w:r>
        <w:t xml:space="preserve">20. Regra fundamental do E22</w:t>
      </w:r>
    </w:p>
    <w:p>
      <w:pPr>
        <w:pStyle w:val="BlockText"/>
      </w:pPr>
      <w:r>
        <w:rPr>
          <w:b/>
          <w:bCs/>
        </w:rPr>
        <w:t xml:space="preserve">Toda operação relevante do MiniHub Car deverá possuir contexto suficiente para ser diagnosticada, correlacionada e monitorada, mantendo separação entre logs técnicos, auditoria, eventos, métricas e rastreamento de execução, sem registrar dados sensíveis desnecessários.</w:t>
      </w:r>
    </w:p>
    <w:p>
      <w:r>
        <w:pict>
          <v:rect style="width:0;height:1.5pt" o:hralign="center" o:hrstd="t" o:hr="t"/>
        </w:pict>
      </w:r>
    </w:p>
    <w:bookmarkEnd w:id="112"/>
    <w:bookmarkStart w:id="113" w:name="próximo-epic"/>
    <w:p>
      <w:pPr>
        <w:pStyle w:val="Heading1"/>
      </w:pPr>
      <w:r>
        <w:t xml:space="preserve">21. Próximo Epic</w:t>
      </w:r>
    </w:p>
    <w:p>
      <w:pPr>
        <w:pStyle w:val="FirstParagraph"/>
      </w:pPr>
      <w:r>
        <w:t xml:space="preserve">Após o fechamento do E22:</w:t>
      </w:r>
    </w:p>
    <w:p>
      <w:pPr>
        <w:pStyle w:val="SourceCode"/>
      </w:pPr>
      <w:r>
        <w:rPr>
          <w:rStyle w:val="VerbatimChar"/>
        </w:rPr>
        <w:t xml:space="preserve">E01 — FUNDAÇÃO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E02 — SEGURANÇA E IDENTIDADE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E22 — OBSERVABILIDADE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E24 — TESTES E QUALIDADE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 — CATÁLOGO</w:t>
      </w:r>
    </w:p>
    <w:p>
      <w:pPr>
        <w:pStyle w:val="FirstParagraph"/>
      </w:pPr>
      <w:r>
        <w:t xml:space="preserve">O próximo detalhamento será:</w:t>
      </w:r>
    </w:p>
    <w:p>
      <w:pPr>
        <w:pStyle w:val="BodyText"/>
      </w:pPr>
      <w:r>
        <w:rPr>
          <w:b/>
          <w:bCs/>
        </w:rPr>
        <w:t xml:space="preserve">E24 — Testes e Qualidade</w:t>
      </w:r>
      <w:r>
        <w:t xml:space="preserve">, transformando a estratégia definida no Documento 10.19 em User Stories, Tasks, Test Cases e critérios Given/When/Then executáveis.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