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da392f8f939eee9edcb1819551c5efd68679ca0"/>
    <w:p>
      <w:pPr>
        <w:pStyle w:val="Heading1"/>
      </w:pPr>
      <w:r>
        <w:t xml:space="preserve">ADR-001 — Estratégia de Arquitetura Modular do MiniHub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</w:t>
      </w:r>
      <w:r>
        <w:br/>
      </w:r>
      <w:r>
        <w:rPr>
          <w:b/>
          <w:bCs/>
        </w:rPr>
        <w:t xml:space="preserve">Documento:</w:t>
      </w:r>
      <w:r>
        <w:t xml:space="preserve"> </w:t>
      </w:r>
      <w:r>
        <w:t xml:space="preserve">ADR-001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ACEITO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Setembro/2026</w:t>
      </w:r>
      <w:r>
        <w:br/>
      </w:r>
      <w:r>
        <w:rPr>
          <w:b/>
          <w:bCs/>
        </w:rPr>
        <w:t xml:space="preserve">Relacionamento:</w:t>
      </w:r>
      <w:r>
        <w:t xml:space="preserve"> </w:t>
      </w:r>
      <w:r>
        <w:t xml:space="preserve">A01 — Architecture Foundation &amp; Implementation Baseline</w:t>
      </w:r>
    </w:p>
    <w:p>
      <w:r>
        <w:pict>
          <v:rect style="width:0;height:1.5pt" o:hralign="center" o:hrstd="t" o:hr="t"/>
        </w:pict>
      </w:r>
    </w:p>
    <w:bookmarkEnd w:id="9"/>
    <w:bookmarkStart w:id="10" w:name="decisão"/>
    <w:p>
      <w:pPr>
        <w:pStyle w:val="Heading1"/>
      </w:pPr>
      <w:r>
        <w:t xml:space="preserve">1. Decisão</w:t>
      </w:r>
    </w:p>
    <w:p>
      <w:pPr>
        <w:pStyle w:val="FirstParagraph"/>
      </w:pPr>
      <w:r>
        <w:t xml:space="preserve">O MiniHub será inicialmente desenvolvido como um:</w:t>
      </w:r>
    </w:p>
    <w:p>
      <w:pPr>
        <w:pStyle w:val="BlockText"/>
      </w:pPr>
      <w:r>
        <w:rPr>
          <w:b/>
          <w:bCs/>
        </w:rPr>
        <w:t xml:space="preserve">MODULAR MONOLITH</w:t>
      </w:r>
    </w:p>
    <w:p>
      <w:pPr>
        <w:pStyle w:val="FirstParagraph"/>
      </w:pPr>
      <w:r>
        <w:t xml:space="preserve">com fronteiras explícitas entre os Bounded Contexts.</w:t>
      </w:r>
    </w:p>
    <w:p>
      <w:pPr>
        <w:pStyle w:val="BodyText"/>
      </w:pPr>
      <w:r>
        <w:t xml:space="preserve">O sistema será implantado inicialmente como uma aplicação principal, porém organizado internamente em módulos de domínio independentes.</w:t>
      </w:r>
    </w:p>
    <w:p>
      <w:r>
        <w:pict>
          <v:rect style="width:0;height:1.5pt" o:hralign="center" o:hrstd="t" o:hr="t"/>
        </w:pict>
      </w:r>
    </w:p>
    <w:bookmarkEnd w:id="10"/>
    <w:bookmarkStart w:id="11" w:name="motivação"/>
    <w:p>
      <w:pPr>
        <w:pStyle w:val="Heading1"/>
      </w:pPr>
      <w:r>
        <w:t xml:space="preserve">2. Motivação</w:t>
      </w:r>
    </w:p>
    <w:p>
      <w:pPr>
        <w:pStyle w:val="FirstParagraph"/>
      </w:pPr>
      <w:r>
        <w:t xml:space="preserve">O MiniHub possui diversos domínios:</w:t>
      </w:r>
    </w:p>
    <w:p>
      <w:pPr>
        <w:pStyle w:val="Compact"/>
        <w:numPr>
          <w:ilvl w:val="0"/>
          <w:numId w:val="1001"/>
        </w:numPr>
      </w:pPr>
      <w:r>
        <w:t xml:space="preserve">Catalog;</w:t>
      </w:r>
    </w:p>
    <w:p>
      <w:pPr>
        <w:pStyle w:val="Compact"/>
        <w:numPr>
          <w:ilvl w:val="0"/>
          <w:numId w:val="1001"/>
        </w:numPr>
      </w:pPr>
      <w:r>
        <w:t xml:space="preserve">Collection;</w:t>
      </w:r>
    </w:p>
    <w:p>
      <w:pPr>
        <w:pStyle w:val="Compact"/>
        <w:numPr>
          <w:ilvl w:val="0"/>
          <w:numId w:val="1001"/>
        </w:numPr>
      </w:pPr>
      <w:r>
        <w:t xml:space="preserve">Seller;</w:t>
      </w:r>
    </w:p>
    <w:p>
      <w:pPr>
        <w:pStyle w:val="Compact"/>
        <w:numPr>
          <w:ilvl w:val="0"/>
          <w:numId w:val="1001"/>
        </w:numPr>
      </w:pPr>
      <w:r>
        <w:t xml:space="preserve">Commercial;</w:t>
      </w:r>
    </w:p>
    <w:p>
      <w:pPr>
        <w:pStyle w:val="Compact"/>
        <w:numPr>
          <w:ilvl w:val="0"/>
          <w:numId w:val="1001"/>
        </w:numPr>
      </w:pPr>
      <w:r>
        <w:t xml:space="preserve">Inventory;</w:t>
      </w:r>
    </w:p>
    <w:p>
      <w:pPr>
        <w:pStyle w:val="Compact"/>
        <w:numPr>
          <w:ilvl w:val="0"/>
          <w:numId w:val="1001"/>
        </w:numPr>
      </w:pPr>
      <w:r>
        <w:t xml:space="preserve">Cart;</w:t>
      </w:r>
    </w:p>
    <w:p>
      <w:pPr>
        <w:pStyle w:val="Compact"/>
        <w:numPr>
          <w:ilvl w:val="0"/>
          <w:numId w:val="1001"/>
        </w:numPr>
      </w:pPr>
      <w:r>
        <w:t xml:space="preserve">Order;</w:t>
      </w:r>
    </w:p>
    <w:p>
      <w:pPr>
        <w:pStyle w:val="Compact"/>
        <w:numPr>
          <w:ilvl w:val="0"/>
          <w:numId w:val="1001"/>
        </w:numPr>
      </w:pPr>
      <w:r>
        <w:t xml:space="preserve">Payment;</w:t>
      </w:r>
    </w:p>
    <w:p>
      <w:pPr>
        <w:pStyle w:val="Compact"/>
        <w:numPr>
          <w:ilvl w:val="0"/>
          <w:numId w:val="1001"/>
        </w:numPr>
      </w:pPr>
      <w:r>
        <w:t xml:space="preserve">Finance;</w:t>
      </w:r>
    </w:p>
    <w:p>
      <w:pPr>
        <w:pStyle w:val="Compact"/>
        <w:numPr>
          <w:ilvl w:val="0"/>
          <w:numId w:val="1001"/>
        </w:numPr>
      </w:pPr>
      <w:r>
        <w:t xml:space="preserve">Fulfillment;</w:t>
      </w:r>
    </w:p>
    <w:p>
      <w:pPr>
        <w:pStyle w:val="Compact"/>
        <w:numPr>
          <w:ilvl w:val="0"/>
          <w:numId w:val="1001"/>
        </w:numPr>
      </w:pPr>
      <w:r>
        <w:t xml:space="preserve">Shipment;</w:t>
      </w:r>
    </w:p>
    <w:p>
      <w:pPr>
        <w:pStyle w:val="Compact"/>
        <w:numPr>
          <w:ilvl w:val="0"/>
          <w:numId w:val="1001"/>
        </w:numPr>
      </w:pPr>
      <w:r>
        <w:t xml:space="preserve">Garage;</w:t>
      </w:r>
    </w:p>
    <w:p>
      <w:pPr>
        <w:pStyle w:val="Compact"/>
        <w:numPr>
          <w:ilvl w:val="0"/>
          <w:numId w:val="1001"/>
        </w:numPr>
      </w:pPr>
      <w:r>
        <w:t xml:space="preserve">Pre-Sales;</w:t>
      </w:r>
    </w:p>
    <w:p>
      <w:pPr>
        <w:pStyle w:val="Compact"/>
        <w:numPr>
          <w:ilvl w:val="0"/>
          <w:numId w:val="1001"/>
        </w:numPr>
      </w:pPr>
      <w:r>
        <w:t xml:space="preserve">Notification;</w:t>
      </w:r>
    </w:p>
    <w:p>
      <w:pPr>
        <w:pStyle w:val="Compact"/>
        <w:numPr>
          <w:ilvl w:val="0"/>
          <w:numId w:val="1001"/>
        </w:numPr>
      </w:pPr>
      <w:r>
        <w:t xml:space="preserve">Community;</w:t>
      </w:r>
    </w:p>
    <w:p>
      <w:pPr>
        <w:pStyle w:val="Compact"/>
        <w:numPr>
          <w:ilvl w:val="0"/>
          <w:numId w:val="1001"/>
        </w:numPr>
      </w:pPr>
      <w:r>
        <w:t xml:space="preserve">Integration.</w:t>
      </w:r>
    </w:p>
    <w:p>
      <w:pPr>
        <w:pStyle w:val="FirstParagraph"/>
      </w:pPr>
      <w:r>
        <w:t xml:space="preserve">A separação desses domínios é necessária para controlar complexidade e evitar que conceitos de um domínio contaminem outro.</w:t>
      </w:r>
    </w:p>
    <w:p>
      <w:pPr>
        <w:pStyle w:val="BodyText"/>
      </w:pPr>
      <w:r>
        <w:t xml:space="preserve">A utilização de bounded contexts permite que cada domínio possua seu próprio modelo e linguagem, mesmo quando conceitos aparentemente semelhantes existam em contextos diferentes.</w:t>
      </w:r>
    </w:p>
    <w:p>
      <w:r>
        <w:pict>
          <v:rect style="width:0;height:1.5pt" o:hralign="center" o:hrstd="t" o:hr="t"/>
        </w:pict>
      </w:r>
    </w:p>
    <w:bookmarkEnd w:id="11"/>
    <w:bookmarkStart w:id="12" w:name="arquitetura-escolhida"/>
    <w:p>
      <w:pPr>
        <w:pStyle w:val="Heading1"/>
      </w:pPr>
      <w:r>
        <w:t xml:space="preserve">3. Arquitetura escolhida</w:t>
      </w:r>
    </w:p>
    <w:p>
      <w:pPr>
        <w:pStyle w:val="SourceCode"/>
      </w:pPr>
      <w:r>
        <w:rPr>
          <w:rStyle w:val="VerbatimChar"/>
        </w:rPr>
        <w:t xml:space="preserve">                         MINIHUB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┌─────────────┴─────────────┐</w:t>
      </w:r>
      <w:r>
        <w:br/>
      </w:r>
      <w:r>
        <w:rPr>
          <w:rStyle w:val="VerbatimChar"/>
        </w:rPr>
        <w:t xml:space="preserve">              │                           │</w:t>
      </w:r>
      <w:r>
        <w:br/>
      </w:r>
      <w:r>
        <w:rPr>
          <w:rStyle w:val="VerbatimChar"/>
        </w:rPr>
        <w:t xml:space="preserve">           FRONTEND                    BACKEND</w:t>
      </w:r>
      <w:r>
        <w:br/>
      </w:r>
      <w:r>
        <w:rPr>
          <w:rStyle w:val="VerbatimChar"/>
        </w:rPr>
        <w:t xml:space="preserve">              │                           │</w:t>
      </w:r>
      <w:r>
        <w:br/>
      </w:r>
      <w:r>
        <w:rPr>
          <w:rStyle w:val="VerbatimChar"/>
        </w:rPr>
        <w:t xml:space="preserve">         React/TS                  Modular Monolith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┌───────────────┬─────────────────┼───────────────┐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│               │                 │               │</w:t>
      </w:r>
      <w:r>
        <w:br/>
      </w:r>
      <w:r>
        <w:rPr>
          <w:rStyle w:val="VerbatimChar"/>
        </w:rPr>
        <w:t xml:space="preserve">     Catalog        Collection         Commercial       Seller</w:t>
      </w:r>
      <w:r>
        <w:br/>
      </w:r>
      <w:r>
        <w:rPr>
          <w:rStyle w:val="VerbatimChar"/>
        </w:rPr>
        <w:t xml:space="preserve">        │               │                 │               │</w:t>
      </w:r>
      <w:r>
        <w:br/>
      </w:r>
      <w:r>
        <w:rPr>
          <w:rStyle w:val="VerbatimChar"/>
        </w:rPr>
        <w:t xml:space="preserve">        ├───────────────┼─────────────────┼───────────────┤</w:t>
      </w:r>
      <w:r>
        <w:br/>
      </w:r>
      <w:r>
        <w:rPr>
          <w:rStyle w:val="VerbatimChar"/>
        </w:rPr>
        <w:t xml:space="preserve">        │               │                 │               │</w:t>
      </w:r>
      <w:r>
        <w:br/>
      </w:r>
      <w:r>
        <w:rPr>
          <w:rStyle w:val="VerbatimChar"/>
        </w:rPr>
        <w:t xml:space="preserve">     Inventory        Order            Payment          Finance</w:t>
      </w:r>
      <w:r>
        <w:br/>
      </w:r>
      <w:r>
        <w:rPr>
          <w:rStyle w:val="VerbatimChar"/>
        </w:rPr>
        <w:t xml:space="preserve">        │               │                 │               │</w:t>
      </w:r>
      <w:r>
        <w:br/>
      </w:r>
      <w:r>
        <w:rPr>
          <w:rStyle w:val="VerbatimChar"/>
        </w:rPr>
        <w:t xml:space="preserve">        ├───────────────┼─────────────────┼───────────────┤</w:t>
      </w:r>
      <w:r>
        <w:br/>
      </w:r>
      <w:r>
        <w:rPr>
          <w:rStyle w:val="VerbatimChar"/>
        </w:rPr>
        <w:t xml:space="preserve">        │               │                 │               │</w:t>
      </w:r>
      <w:r>
        <w:br/>
      </w:r>
      <w:r>
        <w:rPr>
          <w:rStyle w:val="VerbatimChar"/>
        </w:rPr>
        <w:t xml:space="preserve">   Fulfillment       Shipment           Garage         Community</w:t>
      </w:r>
      <w:r>
        <w:br/>
      </w:r>
      <w:r>
        <w:rPr>
          <w:rStyle w:val="VerbatimChar"/>
        </w:rPr>
        <w:t xml:space="preserve">        │               │                 │               │</w:t>
      </w:r>
      <w:r>
        <w:br/>
      </w:r>
      <w:r>
        <w:rPr>
          <w:rStyle w:val="VerbatimChar"/>
        </w:rPr>
        <w:t xml:space="preserve">        └───────────────┴─────────────────┴───────────────┘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PostgreSQL</w:t>
      </w:r>
    </w:p>
    <w:p>
      <w:r>
        <w:pict>
          <v:rect style="width:0;height:1.5pt" o:hralign="center" o:hrstd="t" o:hr="t"/>
        </w:pict>
      </w:r>
    </w:p>
    <w:bookmarkEnd w:id="12"/>
    <w:bookmarkStart w:id="13" w:name="regra-fundamental"/>
    <w:p>
      <w:pPr>
        <w:pStyle w:val="Heading1"/>
      </w:pPr>
      <w:r>
        <w:t xml:space="preserve">4. Regra fundamental</w:t>
      </w:r>
    </w:p>
    <w:p>
      <w:pPr>
        <w:pStyle w:val="FirstParagraph"/>
      </w:pPr>
      <w:r>
        <w:t xml:space="preserve">O fato de os módulos estarem dentro do mesmo processo</w:t>
      </w:r>
      <w:r>
        <w:t xml:space="preserve"> </w:t>
      </w:r>
      <w:r>
        <w:rPr>
          <w:b/>
          <w:bCs/>
        </w:rPr>
        <w:t xml:space="preserve">não significa que possam acessar livremente o código ou os dados uns dos outros</w:t>
      </w:r>
      <w:r>
        <w:t xml:space="preserve">.</w:t>
      </w:r>
    </w:p>
    <w:p>
      <w:pPr>
        <w:pStyle w:val="BodyText"/>
      </w:pPr>
      <w:r>
        <w:t xml:space="preserve">Exemplo proibido: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acessa diretamente</w:t>
      </w:r>
      <w:r>
        <w:br/>
      </w:r>
      <w:r>
        <w:rPr>
          <w:rStyle w:val="VerbatimChar"/>
        </w:rPr>
        <w:t xml:space="preserve">InventoryRepository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altera tabela de estoque</w:t>
      </w:r>
    </w:p>
    <w:p>
      <w:pPr>
        <w:pStyle w:val="FirstParagraph"/>
      </w:pPr>
      <w:r>
        <w:t xml:space="preserve">O correto: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Inventory Port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Inventory Application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Inventory Domain</w:t>
      </w:r>
    </w:p>
    <w:p>
      <w:r>
        <w:pict>
          <v:rect style="width:0;height:1.5pt" o:hralign="center" o:hrstd="t" o:hr="t"/>
        </w:pict>
      </w:r>
    </w:p>
    <w:bookmarkEnd w:id="13"/>
    <w:bookmarkStart w:id="14" w:name="bounded-context"/>
    <w:p>
      <w:pPr>
        <w:pStyle w:val="Heading1"/>
      </w:pPr>
      <w:r>
        <w:t xml:space="preserve">5. Bounded Context</w:t>
      </w:r>
    </w:p>
    <w:p>
      <w:pPr>
        <w:pStyle w:val="FirstParagraph"/>
      </w:pPr>
      <w:r>
        <w:t xml:space="preserve">Cada módulo deverá possuir:</w:t>
      </w:r>
    </w:p>
    <w:p>
      <w:pPr>
        <w:pStyle w:val="SourceCode"/>
      </w:pP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Infrastructure</w:t>
      </w:r>
      <w:r>
        <w:br/>
      </w:r>
      <w:r>
        <w:rPr>
          <w:rStyle w:val="VerbatimChar"/>
        </w:rPr>
        <w:t xml:space="preserve">Presentation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modules/</w:t>
      </w:r>
      <w:r>
        <w:br/>
      </w:r>
      <w:r>
        <w:rPr>
          <w:rStyle w:val="VerbatimChar"/>
        </w:rPr>
        <w:t xml:space="preserve">  catalog/</w:t>
      </w:r>
      <w:r>
        <w:br/>
      </w:r>
      <w:r>
        <w:rPr>
          <w:rStyle w:val="VerbatimChar"/>
        </w:rPr>
        <w:t xml:space="preserve">    domain/</w:t>
      </w:r>
      <w:r>
        <w:br/>
      </w:r>
      <w:r>
        <w:rPr>
          <w:rStyle w:val="VerbatimChar"/>
        </w:rPr>
        <w:t xml:space="preserve">    application/</w:t>
      </w:r>
      <w:r>
        <w:br/>
      </w:r>
      <w:r>
        <w:rPr>
          <w:rStyle w:val="VerbatimChar"/>
        </w:rPr>
        <w:t xml:space="preserve">    infrastructure/</w:t>
      </w:r>
      <w:r>
        <w:br/>
      </w:r>
      <w:r>
        <w:rPr>
          <w:rStyle w:val="VerbatimChar"/>
        </w:rPr>
        <w:t xml:space="preserve">    presentation/</w:t>
      </w:r>
    </w:p>
    <w:p>
      <w:r>
        <w:pict>
          <v:rect style="width:0;height:1.5pt" o:hralign="center" o:hrstd="t" o:hr="t"/>
        </w:pict>
      </w:r>
    </w:p>
    <w:bookmarkEnd w:id="14"/>
    <w:bookmarkStart w:id="15" w:name="dependências"/>
    <w:p>
      <w:pPr>
        <w:pStyle w:val="Heading1"/>
      </w:pPr>
      <w:r>
        <w:t xml:space="preserve">6. Dependências</w:t>
      </w:r>
    </w:p>
    <w:p>
      <w:pPr>
        <w:pStyle w:val="FirstParagraph"/>
      </w:pPr>
      <w:r>
        <w:t xml:space="preserve">As dependências entre módulos deverão ser explícitas.</w:t>
      </w:r>
    </w:p>
    <w:p>
      <w:pPr>
        <w:pStyle w:val="BodyText"/>
      </w:pPr>
      <w:r>
        <w:t xml:space="preserve">Permitido: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Payment Port</w:t>
      </w:r>
    </w:p>
    <w:p>
      <w:pPr>
        <w:pStyle w:val="FirstParagraph"/>
      </w:pPr>
      <w:r>
        <w:t xml:space="preserve">Proibido: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PaymentRepository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SQL</w:t>
      </w:r>
    </w:p>
    <w:p>
      <w:pPr>
        <w:pStyle w:val="FirstParagraph"/>
      </w:pPr>
      <w:r>
        <w:t xml:space="preserve">O domínio consumidor não deverá conhecer detalhes internos do domínio fornecedor.</w:t>
      </w:r>
    </w:p>
    <w:p>
      <w:r>
        <w:pict>
          <v:rect style="width:0;height:1.5pt" o:hralign="center" o:hrstd="t" o:hr="t"/>
        </w:pict>
      </w:r>
    </w:p>
    <w:bookmarkEnd w:id="15"/>
    <w:bookmarkStart w:id="19" w:name="comunicação-entre-módulos"/>
    <w:p>
      <w:pPr>
        <w:pStyle w:val="Heading1"/>
      </w:pPr>
      <w:r>
        <w:t xml:space="preserve">7. Comunicação entre módulos</w:t>
      </w:r>
    </w:p>
    <w:p>
      <w:pPr>
        <w:pStyle w:val="FirstParagraph"/>
      </w:pPr>
      <w:r>
        <w:t xml:space="preserve">Existirão três mecanismos principais:</w:t>
      </w:r>
    </w:p>
    <w:bookmarkStart w:id="16" w:name="command"/>
    <w:p>
      <w:pPr>
        <w:pStyle w:val="Heading2"/>
      </w:pPr>
      <w:r>
        <w:t xml:space="preserve">7.1 Command</w:t>
      </w:r>
    </w:p>
    <w:p>
      <w:pPr>
        <w:pStyle w:val="FirstParagraph"/>
      </w:pPr>
      <w:r>
        <w:t xml:space="preserve">Quando um módulo solicita que outro execute uma ação.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ReserveStock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Inventory</w:t>
      </w:r>
    </w:p>
    <w:bookmarkEnd w:id="16"/>
    <w:bookmarkStart w:id="17" w:name="event"/>
    <w:p>
      <w:pPr>
        <w:pStyle w:val="Heading2"/>
      </w:pPr>
      <w:r>
        <w:t xml:space="preserve">7.2 Event</w:t>
      </w:r>
    </w:p>
    <w:p>
      <w:pPr>
        <w:pStyle w:val="FirstParagraph"/>
      </w:pPr>
      <w:r>
        <w:t xml:space="preserve">Quando um módulo informa que algo aconteceu.</w:t>
      </w:r>
    </w:p>
    <w:p>
      <w:pPr>
        <w:pStyle w:val="SourceCode"/>
      </w:pP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Event Bus</w:t>
      </w:r>
      <w:r>
        <w:br/>
      </w:r>
      <w:r>
        <w:rPr>
          <w:rStyle w:val="VerbatimChar"/>
        </w:rPr>
        <w:t xml:space="preserve">       ├── Notification</w:t>
      </w:r>
      <w:r>
        <w:br/>
      </w:r>
      <w:r>
        <w:rPr>
          <w:rStyle w:val="VerbatimChar"/>
        </w:rPr>
        <w:t xml:space="preserve">       ├── Analytics</w:t>
      </w:r>
      <w:r>
        <w:br/>
      </w:r>
      <w:r>
        <w:rPr>
          <w:rStyle w:val="VerbatimChar"/>
        </w:rPr>
        <w:t xml:space="preserve">       └── Community</w:t>
      </w:r>
    </w:p>
    <w:bookmarkEnd w:id="17"/>
    <w:bookmarkStart w:id="18" w:name="port"/>
    <w:p>
      <w:pPr>
        <w:pStyle w:val="Heading2"/>
      </w:pPr>
      <w:r>
        <w:t xml:space="preserve">7.3 Port</w:t>
      </w:r>
    </w:p>
    <w:p>
      <w:pPr>
        <w:pStyle w:val="FirstParagraph"/>
      </w:pPr>
      <w:r>
        <w:t xml:space="preserve">Quando um domínio necessita de uma capacidade externa.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PaymentGateway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MercadoPagoAdapter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acesso-ao-banco"/>
    <w:p>
      <w:pPr>
        <w:pStyle w:val="Heading1"/>
      </w:pPr>
      <w:r>
        <w:t xml:space="preserve">8. Acesso ao Banco</w:t>
      </w:r>
    </w:p>
    <w:p>
      <w:pPr>
        <w:pStyle w:val="FirstParagraph"/>
      </w:pPr>
      <w:r>
        <w:t xml:space="preserve">Embora o MVP utilize um PostgreSQL compartilhado, cada módulo será considerado proprietário lógico de suas tabelas.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→ brands</w:t>
      </w:r>
      <w:r>
        <w:br/>
      </w:r>
      <w:r>
        <w:rPr>
          <w:rStyle w:val="VerbatimChar"/>
        </w:rPr>
        <w:t xml:space="preserve">  → automakers</w:t>
      </w:r>
      <w:r>
        <w:br/>
      </w:r>
      <w:r>
        <w:rPr>
          <w:rStyle w:val="VerbatimChar"/>
        </w:rPr>
        <w:t xml:space="preserve">  → vehicle_models</w:t>
      </w:r>
      <w:r>
        <w:br/>
      </w:r>
      <w:r>
        <w:rPr>
          <w:rStyle w:val="VerbatimChar"/>
        </w:rPr>
        <w:t xml:space="preserve">  → variations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→ orders</w:t>
      </w:r>
      <w:r>
        <w:br/>
      </w:r>
      <w:r>
        <w:rPr>
          <w:rStyle w:val="VerbatimChar"/>
        </w:rPr>
        <w:t xml:space="preserve">  → order_items</w:t>
      </w:r>
    </w:p>
    <w:p>
      <w:pPr>
        <w:pStyle w:val="SourceCode"/>
      </w:pP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  → ledger</w:t>
      </w:r>
      <w:r>
        <w:br/>
      </w:r>
      <w:r>
        <w:rPr>
          <w:rStyle w:val="VerbatimChar"/>
        </w:rPr>
        <w:t xml:space="preserve">  → ledger_accounts</w:t>
      </w:r>
      <w:r>
        <w:br/>
      </w:r>
      <w:r>
        <w:rPr>
          <w:rStyle w:val="VerbatimChar"/>
        </w:rPr>
        <w:t xml:space="preserve">  → ledger_transactions</w:t>
      </w:r>
      <w:r>
        <w:br/>
      </w:r>
      <w:r>
        <w:rPr>
          <w:rStyle w:val="VerbatimChar"/>
        </w:rPr>
        <w:t xml:space="preserve">  → ledger_entries</w:t>
      </w:r>
    </w:p>
    <w:p>
      <w:pPr>
        <w:pStyle w:val="FirstParagraph"/>
      </w:pPr>
      <w:r>
        <w:t xml:space="preserve">Outro módulo não poderá executar SQL diretamente sobre tabelas internas de outro contexto para implementar regras de negócio.</w:t>
      </w:r>
    </w:p>
    <w:p>
      <w:r>
        <w:pict>
          <v:rect style="width:0;height:1.5pt" o:hralign="center" o:hrstd="t" o:hr="t"/>
        </w:pict>
      </w:r>
    </w:p>
    <w:bookmarkEnd w:id="20"/>
    <w:bookmarkStart w:id="21" w:name="benefício-arquitetural"/>
    <w:p>
      <w:pPr>
        <w:pStyle w:val="Heading1"/>
      </w:pPr>
      <w:r>
        <w:t xml:space="preserve">9. Benefício arquitetural</w:t>
      </w:r>
    </w:p>
    <w:p>
      <w:pPr>
        <w:pStyle w:val="FirstParagraph"/>
      </w:pPr>
      <w:r>
        <w:t xml:space="preserve">A separação modular deverá reduzir o impacto de alterações.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Alteração em Collection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seus testes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seus contratos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Community</w:t>
      </w:r>
    </w:p>
    <w:p>
      <w:pPr>
        <w:pStyle w:val="FirstParagraph"/>
      </w:pPr>
      <w:r>
        <w:t xml:space="preserve">sem necessidade.</w:t>
      </w:r>
    </w:p>
    <w:p>
      <w:pPr>
        <w:pStyle w:val="BodyText"/>
      </w:pPr>
      <w:r>
        <w:t xml:space="preserve">A experiência documentada em arquiteturas modulares mostra que fronteiras bem controladas reduzem acoplamento e o impacto das alterações.</w:t>
      </w:r>
    </w:p>
    <w:p>
      <w:r>
        <w:pict>
          <v:rect style="width:0;height:1.5pt" o:hralign="center" o:hrstd="t" o:hr="t"/>
        </w:pict>
      </w:r>
    </w:p>
    <w:bookmarkEnd w:id="21"/>
    <w:bookmarkStart w:id="22" w:name="evolução-futura"/>
    <w:p>
      <w:pPr>
        <w:pStyle w:val="Heading1"/>
      </w:pPr>
      <w:r>
        <w:t xml:space="preserve">10. Evolução futura</w:t>
      </w:r>
    </w:p>
    <w:p>
      <w:pPr>
        <w:pStyle w:val="FirstParagraph"/>
      </w:pPr>
      <w:r>
        <w:t xml:space="preserve">Caso determinado módulo precise ser extraído para um serviço independente:</w:t>
      </w:r>
    </w:p>
    <w:p>
      <w:pPr>
        <w:pStyle w:val="SourceCode"/>
      </w:pPr>
      <w:r>
        <w:rPr>
          <w:rStyle w:val="VerbatimChar"/>
        </w:rPr>
        <w:t xml:space="preserve">ANTES</w:t>
      </w:r>
      <w:r>
        <w:br/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 Module</w:t>
      </w:r>
    </w:p>
    <w:p>
      <w:pPr>
        <w:pStyle w:val="FirstParagraph"/>
      </w:pPr>
      <w:r>
        <w:t xml:space="preserve">poderá evoluir para:</w:t>
      </w:r>
    </w:p>
    <w:p>
      <w:pPr>
        <w:pStyle w:val="SourceCode"/>
      </w:pPr>
      <w:r>
        <w:rPr>
          <w:rStyle w:val="VerbatimChar"/>
        </w:rPr>
        <w:t xml:space="preserve">DEPOIS</w:t>
      </w:r>
      <w:r>
        <w:br/>
      </w:r>
      <w:r>
        <w:br/>
      </w:r>
      <w:r>
        <w:rPr>
          <w:rStyle w:val="VerbatimChar"/>
        </w:rPr>
        <w:t xml:space="preserve">Order Service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Payment Service</w:t>
      </w:r>
    </w:p>
    <w:p>
      <w:pPr>
        <w:pStyle w:val="FirstParagraph"/>
      </w:pPr>
      <w:r>
        <w:t xml:space="preserve">sem alterar necessariamente o modelo conceitual do domínio.</w:t>
      </w:r>
    </w:p>
    <w:p>
      <w:pPr>
        <w:pStyle w:val="BodyText"/>
      </w:pPr>
      <w:r>
        <w:t xml:space="preserve">A possibilidade de extração, entretanto,</w:t>
      </w:r>
      <w:r>
        <w:t xml:space="preserve"> </w:t>
      </w:r>
      <w:r>
        <w:rPr>
          <w:b/>
          <w:bCs/>
        </w:rPr>
        <w:t xml:space="preserve">não é objetivo do MVP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o-que-não-será-feito"/>
    <w:p>
      <w:pPr>
        <w:pStyle w:val="Heading1"/>
      </w:pPr>
      <w:r>
        <w:t xml:space="preserve">11. O que NÃO será feito</w:t>
      </w:r>
    </w:p>
    <w:p>
      <w:pPr>
        <w:pStyle w:val="FirstParagraph"/>
      </w:pPr>
      <w:r>
        <w:t xml:space="preserve">Não serão criados inicialmente:</w:t>
      </w:r>
    </w:p>
    <w:p>
      <w:pPr>
        <w:pStyle w:val="Compact"/>
        <w:numPr>
          <w:ilvl w:val="0"/>
          <w:numId w:val="1002"/>
        </w:numPr>
      </w:pPr>
      <w:r>
        <w:t xml:space="preserve">microserviço de Catalog;</w:t>
      </w:r>
    </w:p>
    <w:p>
      <w:pPr>
        <w:pStyle w:val="Compact"/>
        <w:numPr>
          <w:ilvl w:val="0"/>
          <w:numId w:val="1002"/>
        </w:numPr>
      </w:pPr>
      <w:r>
        <w:t xml:space="preserve">microserviço de Collection;</w:t>
      </w:r>
    </w:p>
    <w:p>
      <w:pPr>
        <w:pStyle w:val="Compact"/>
        <w:numPr>
          <w:ilvl w:val="0"/>
          <w:numId w:val="1002"/>
        </w:numPr>
      </w:pPr>
      <w:r>
        <w:t xml:space="preserve">microserviço de Order;</w:t>
      </w:r>
    </w:p>
    <w:p>
      <w:pPr>
        <w:pStyle w:val="Compact"/>
        <w:numPr>
          <w:ilvl w:val="0"/>
          <w:numId w:val="1002"/>
        </w:numPr>
      </w:pPr>
      <w:r>
        <w:t xml:space="preserve">microserviço de Payment;</w:t>
      </w:r>
    </w:p>
    <w:p>
      <w:pPr>
        <w:pStyle w:val="Compact"/>
        <w:numPr>
          <w:ilvl w:val="0"/>
          <w:numId w:val="1002"/>
        </w:numPr>
      </w:pPr>
      <w:r>
        <w:t xml:space="preserve">microserviço de Notification;</w:t>
      </w:r>
    </w:p>
    <w:p>
      <w:pPr>
        <w:pStyle w:val="Compact"/>
        <w:numPr>
          <w:ilvl w:val="0"/>
          <w:numId w:val="1002"/>
        </w:numPr>
      </w:pPr>
      <w:r>
        <w:t xml:space="preserve">microserviço de Community.</w:t>
      </w:r>
    </w:p>
    <w:p>
      <w:pPr>
        <w:pStyle w:val="FirstParagraph"/>
      </w:pPr>
      <w:r>
        <w:t xml:space="preserve">A criação de múltiplos processos desde o início adicionaria complexidade operacional antes de existir necessidade comprovada.</w:t>
      </w:r>
    </w:p>
    <w:p>
      <w:r>
        <w:pict>
          <v:rect style="width:0;height:1.5pt" o:hralign="center" o:hrstd="t" o:hr="t"/>
        </w:pict>
      </w:r>
    </w:p>
    <w:bookmarkEnd w:id="23"/>
    <w:bookmarkStart w:id="24" w:name="consequências-positivas"/>
    <w:p>
      <w:pPr>
        <w:pStyle w:val="Heading1"/>
      </w:pPr>
      <w:r>
        <w:t xml:space="preserve">12. Consequências positivas</w:t>
      </w:r>
    </w:p>
    <w:p>
      <w:pPr>
        <w:pStyle w:val="FirstParagraph"/>
      </w:pPr>
      <w:r>
        <w:t xml:space="preserve">A decisão proporciona:</w:t>
      </w:r>
    </w:p>
    <w:p>
      <w:pPr>
        <w:pStyle w:val="Compact"/>
        <w:numPr>
          <w:ilvl w:val="0"/>
          <w:numId w:val="1003"/>
        </w:numPr>
      </w:pPr>
      <w:r>
        <w:t xml:space="preserve">desenvolvimento mais simples;</w:t>
      </w:r>
    </w:p>
    <w:p>
      <w:pPr>
        <w:pStyle w:val="Compact"/>
        <w:numPr>
          <w:ilvl w:val="0"/>
          <w:numId w:val="1003"/>
        </w:numPr>
      </w:pPr>
      <w:r>
        <w:t xml:space="preserve">debugging simplificado;</w:t>
      </w:r>
    </w:p>
    <w:p>
      <w:pPr>
        <w:pStyle w:val="Compact"/>
        <w:numPr>
          <w:ilvl w:val="0"/>
          <w:numId w:val="1003"/>
        </w:numPr>
      </w:pPr>
      <w:r>
        <w:t xml:space="preserve">transações locais mais simples;</w:t>
      </w:r>
    </w:p>
    <w:p>
      <w:pPr>
        <w:pStyle w:val="Compact"/>
        <w:numPr>
          <w:ilvl w:val="0"/>
          <w:numId w:val="1003"/>
        </w:numPr>
      </w:pPr>
      <w:r>
        <w:t xml:space="preserve">menor infraestrutura inicial;</w:t>
      </w:r>
    </w:p>
    <w:p>
      <w:pPr>
        <w:pStyle w:val="Compact"/>
        <w:numPr>
          <w:ilvl w:val="0"/>
          <w:numId w:val="1003"/>
        </w:numPr>
      </w:pPr>
      <w:r>
        <w:t xml:space="preserve">menor custo operacional;</w:t>
      </w:r>
    </w:p>
    <w:p>
      <w:pPr>
        <w:pStyle w:val="Compact"/>
        <w:numPr>
          <w:ilvl w:val="0"/>
          <w:numId w:val="1003"/>
        </w:numPr>
      </w:pPr>
      <w:r>
        <w:t xml:space="preserve">desenvolvimento local simplificado;</w:t>
      </w:r>
    </w:p>
    <w:p>
      <w:pPr>
        <w:pStyle w:val="Compact"/>
        <w:numPr>
          <w:ilvl w:val="0"/>
          <w:numId w:val="1003"/>
        </w:numPr>
      </w:pPr>
      <w:r>
        <w:t xml:space="preserve">facilidade para E2E;</w:t>
      </w:r>
    </w:p>
    <w:p>
      <w:pPr>
        <w:pStyle w:val="Compact"/>
        <w:numPr>
          <w:ilvl w:val="0"/>
          <w:numId w:val="1003"/>
        </w:numPr>
      </w:pPr>
      <w:r>
        <w:t xml:space="preserve">possibilidade de evolução modular.</w:t>
      </w:r>
    </w:p>
    <w:p>
      <w:r>
        <w:pict>
          <v:rect style="width:0;height:1.5pt" o:hralign="center" o:hrstd="t" o:hr="t"/>
        </w:pict>
      </w:r>
    </w:p>
    <w:bookmarkEnd w:id="24"/>
    <w:bookmarkStart w:id="25" w:name="consequências-negativas"/>
    <w:p>
      <w:pPr>
        <w:pStyle w:val="Heading1"/>
      </w:pPr>
      <w:r>
        <w:t xml:space="preserve">13. Consequências negativas</w:t>
      </w:r>
    </w:p>
    <w:p>
      <w:pPr>
        <w:pStyle w:val="FirstParagraph"/>
      </w:pPr>
      <w:r>
        <w:t xml:space="preserve">O principal risco é:</w:t>
      </w:r>
    </w:p>
    <w:p>
      <w:pPr>
        <w:pStyle w:val="BlockText"/>
      </w:pPr>
      <w:r>
        <w:t xml:space="preserve">o Modular Monolith se transformar em um Big Ball of Mud.</w:t>
      </w:r>
    </w:p>
    <w:p>
      <w:pPr>
        <w:pStyle w:val="FirstParagraph"/>
      </w:pPr>
      <w:r>
        <w:t xml:space="preserve">Para evitar isso serão obrigatórios:</w:t>
      </w:r>
    </w:p>
    <w:p>
      <w:pPr>
        <w:pStyle w:val="Compact"/>
        <w:numPr>
          <w:ilvl w:val="0"/>
          <w:numId w:val="1004"/>
        </w:numPr>
      </w:pPr>
      <w:r>
        <w:t xml:space="preserve">limites de módulo;</w:t>
      </w:r>
    </w:p>
    <w:p>
      <w:pPr>
        <w:pStyle w:val="Compact"/>
        <w:numPr>
          <w:ilvl w:val="0"/>
          <w:numId w:val="1004"/>
        </w:numPr>
      </w:pPr>
      <w:r>
        <w:t xml:space="preserve">revisão arquitetural;</w:t>
      </w:r>
    </w:p>
    <w:p>
      <w:pPr>
        <w:pStyle w:val="Compact"/>
        <w:numPr>
          <w:ilvl w:val="0"/>
          <w:numId w:val="1004"/>
        </w:numPr>
      </w:pPr>
      <w:r>
        <w:t xml:space="preserve">dependências explícitas;</w:t>
      </w:r>
    </w:p>
    <w:p>
      <w:pPr>
        <w:pStyle w:val="Compact"/>
        <w:numPr>
          <w:ilvl w:val="0"/>
          <w:numId w:val="1004"/>
        </w:numPr>
      </w:pPr>
      <w:r>
        <w:t xml:space="preserve">testes de arquitetura;</w:t>
      </w:r>
    </w:p>
    <w:p>
      <w:pPr>
        <w:pStyle w:val="Compact"/>
        <w:numPr>
          <w:ilvl w:val="0"/>
          <w:numId w:val="1004"/>
        </w:numPr>
      </w:pPr>
      <w:r>
        <w:t xml:space="preserve">proibição de acesso direto a repositories de outros módulos;</w:t>
      </w:r>
    </w:p>
    <w:p>
      <w:pPr>
        <w:pStyle w:val="Compact"/>
        <w:numPr>
          <w:ilvl w:val="0"/>
          <w:numId w:val="1004"/>
        </w:numPr>
      </w:pPr>
      <w:r>
        <w:t xml:space="preserve">eventos;</w:t>
      </w:r>
    </w:p>
    <w:p>
      <w:pPr>
        <w:pStyle w:val="Compact"/>
        <w:numPr>
          <w:ilvl w:val="0"/>
          <w:numId w:val="1004"/>
        </w:numPr>
      </w:pPr>
      <w:r>
        <w:t xml:space="preserve">ports;</w:t>
      </w:r>
    </w:p>
    <w:p>
      <w:pPr>
        <w:pStyle w:val="Compact"/>
        <w:numPr>
          <w:ilvl w:val="0"/>
          <w:numId w:val="1004"/>
        </w:numPr>
      </w:pPr>
      <w:r>
        <w:t xml:space="preserve">ownership de tabelas.</w:t>
      </w:r>
    </w:p>
    <w:p>
      <w:pPr>
        <w:pStyle w:val="FirstParagraph"/>
      </w:pPr>
      <w:r>
        <w:t xml:space="preserve">Um monólito só permanece modular se houver disciplina contínua para preservar suas fronteiras.</w:t>
      </w:r>
    </w:p>
    <w:p>
      <w:r>
        <w:pict>
          <v:rect style="width:0;height:1.5pt" o:hralign="center" o:hrstd="t" o:hr="t"/>
        </w:pict>
      </w:r>
    </w:p>
    <w:bookmarkEnd w:id="25"/>
    <w:bookmarkStart w:id="26" w:name="critério-para-futura-extração"/>
    <w:p>
      <w:pPr>
        <w:pStyle w:val="Heading1"/>
      </w:pPr>
      <w:r>
        <w:t xml:space="preserve">14. Critério para futura extração</w:t>
      </w:r>
    </w:p>
    <w:p>
      <w:pPr>
        <w:pStyle w:val="FirstParagraph"/>
      </w:pPr>
      <w:r>
        <w:t xml:space="preserve">Um módulo poderá ser candidato a microserviço somente quando houver justificativa baseada em:</w:t>
      </w:r>
    </w:p>
    <w:p>
      <w:pPr>
        <w:pStyle w:val="Compact"/>
        <w:numPr>
          <w:ilvl w:val="0"/>
          <w:numId w:val="1005"/>
        </w:numPr>
      </w:pPr>
      <w:r>
        <w:t xml:space="preserve">escala;</w:t>
      </w:r>
    </w:p>
    <w:p>
      <w:pPr>
        <w:pStyle w:val="Compact"/>
        <w:numPr>
          <w:ilvl w:val="0"/>
          <w:numId w:val="1005"/>
        </w:numPr>
      </w:pPr>
      <w:r>
        <w:t xml:space="preserve">carga;</w:t>
      </w:r>
    </w:p>
    <w:p>
      <w:pPr>
        <w:pStyle w:val="Compact"/>
        <w:numPr>
          <w:ilvl w:val="0"/>
          <w:numId w:val="1005"/>
        </w:numPr>
      </w:pPr>
      <w:r>
        <w:t xml:space="preserve">disponibilidade;</w:t>
      </w:r>
    </w:p>
    <w:p>
      <w:pPr>
        <w:pStyle w:val="Compact"/>
        <w:numPr>
          <w:ilvl w:val="0"/>
          <w:numId w:val="1005"/>
        </w:numPr>
      </w:pPr>
      <w:r>
        <w:t xml:space="preserve">isolamento;</w:t>
      </w:r>
    </w:p>
    <w:p>
      <w:pPr>
        <w:pStyle w:val="Compact"/>
        <w:numPr>
          <w:ilvl w:val="0"/>
          <w:numId w:val="1005"/>
        </w:numPr>
      </w:pPr>
      <w:r>
        <w:t xml:space="preserve">autonomia de deploy;</w:t>
      </w:r>
    </w:p>
    <w:p>
      <w:pPr>
        <w:pStyle w:val="Compact"/>
        <w:numPr>
          <w:ilvl w:val="0"/>
          <w:numId w:val="1005"/>
        </w:numPr>
      </w:pPr>
      <w:r>
        <w:t xml:space="preserve">segurança;</w:t>
      </w:r>
    </w:p>
    <w:p>
      <w:pPr>
        <w:pStyle w:val="Compact"/>
        <w:numPr>
          <w:ilvl w:val="0"/>
          <w:numId w:val="1005"/>
        </w:numPr>
      </w:pPr>
      <w:r>
        <w:t xml:space="preserve">necessidade operacional;</w:t>
      </w:r>
    </w:p>
    <w:p>
      <w:pPr>
        <w:pStyle w:val="Compact"/>
        <w:numPr>
          <w:ilvl w:val="0"/>
          <w:numId w:val="1005"/>
        </w:numPr>
      </w:pPr>
      <w:r>
        <w:t xml:space="preserve">independência de evolução.</w:t>
      </w:r>
    </w:p>
    <w:p>
      <w:pPr>
        <w:pStyle w:val="FirstParagraph"/>
      </w:pPr>
      <w:r>
        <w:t xml:space="preserve">Não será utilizado como critério:</w:t>
      </w:r>
    </w:p>
    <w:p>
      <w:pPr>
        <w:pStyle w:val="BlockText"/>
      </w:pPr>
      <w:r>
        <w:t xml:space="preserve">“Esse módulo parece grande.”</w:t>
      </w:r>
    </w:p>
    <w:p>
      <w:r>
        <w:pict>
          <v:rect style="width:0;height:1.5pt" o:hralign="center" o:hrstd="t" o:hr="t"/>
        </w:pict>
      </w:r>
    </w:p>
    <w:bookmarkEnd w:id="26"/>
    <w:bookmarkStart w:id="27" w:name="decisão-final"/>
    <w:p>
      <w:pPr>
        <w:pStyle w:val="Heading1"/>
      </w:pPr>
      <w:r>
        <w:t xml:space="preserve">15. Decisão final</w:t>
      </w:r>
    </w:p>
    <w:p>
      <w:pPr>
        <w:pStyle w:val="FirstParagraph"/>
      </w:pPr>
      <w:r>
        <w:rPr>
          <w:b/>
          <w:bCs/>
        </w:rPr>
        <w:t xml:space="preserve">ACEITO</w:t>
      </w:r>
    </w:p>
    <w:p>
      <w:pPr>
        <w:pStyle w:val="BodyText"/>
      </w:pPr>
      <w:r>
        <w:t xml:space="preserve">O MiniHub será:</w:t>
      </w:r>
    </w:p>
    <w:p>
      <w:pPr>
        <w:pStyle w:val="BlockText"/>
      </w:pPr>
      <w:r>
        <w:rPr>
          <w:b/>
          <w:bCs/>
        </w:rPr>
        <w:t xml:space="preserve">Modular Monolith + DDD/Bounded Contexts + Ports &amp; Adapters + Domain Events + PostgreSQL compartilhado inicialmente.</w:t>
      </w:r>
    </w:p>
    <w:p>
      <w:r>
        <w:pict>
          <v:rect style="width:0;height:1.5pt" o:hralign="center" o:hrstd="t" o:hr="t"/>
        </w:pict>
      </w:r>
    </w:p>
    <w:bookmarkEnd w:id="27"/>
    <w:bookmarkStart w:id="28" w:name="regra-de-ouro"/>
    <w:p>
      <w:pPr>
        <w:pStyle w:val="Heading1"/>
      </w:pPr>
      <w:r>
        <w:t xml:space="preserve">16. Regra de ouro</w:t>
      </w:r>
    </w:p>
    <w:p>
      <w:pPr>
        <w:pStyle w:val="BlockText"/>
      </w:pPr>
      <w:r>
        <w:t xml:space="preserve">O MiniHub será um único sistema de implantação, mas não um único modelo de domínio.</w:t>
      </w:r>
    </w:p>
    <w:p>
      <w:pPr>
        <w:pStyle w:val="FirstParagraph"/>
      </w:pPr>
      <w:r>
        <w:rPr>
          <w:b/>
          <w:bCs/>
        </w:rPr>
        <w:t xml:space="preserve">Status: CONGELADO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