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f8643e47411ad02be56537a53fa86159c5f09a"/>
    <w:p>
      <w:pPr>
        <w:pStyle w:val="Heading1"/>
      </w:pPr>
      <w:r>
        <w:t xml:space="preserve">ADR-002 — PostgreSQL como Banco de Dados Principal do MiniHub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ADR-002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Setembro/2026</w:t>
      </w:r>
      <w:r>
        <w:br/>
      </w:r>
      <w:r>
        <w:rPr>
          <w:b/>
          <w:bCs/>
        </w:rPr>
        <w:t xml:space="preserve">Relacionamento:</w:t>
      </w:r>
      <w:r>
        <w:t xml:space="preserve"> </w:t>
      </w:r>
      <w:r>
        <w:t xml:space="preserve">A01 / ADR-001</w:t>
      </w:r>
    </w:p>
    <w:p>
      <w:r>
        <w:pict>
          <v:rect style="width:0;height:1.5pt" o:hralign="center" o:hrstd="t" o:hr="t"/>
        </w:pict>
      </w:r>
    </w:p>
    <w:bookmarkEnd w:id="9"/>
    <w:bookmarkStart w:id="10" w:name="decisão"/>
    <w:p>
      <w:pPr>
        <w:pStyle w:val="Heading1"/>
      </w:pPr>
      <w:r>
        <w:t xml:space="preserve">1. Decisão</w:t>
      </w:r>
    </w:p>
    <w:p>
      <w:pPr>
        <w:pStyle w:val="FirstParagraph"/>
      </w:pPr>
      <w:r>
        <w:t xml:space="preserve">O banco de dados principal do MiniHub será:</w:t>
      </w:r>
    </w:p>
    <w:p>
      <w:pPr>
        <w:pStyle w:val="BlockText"/>
      </w:pPr>
      <w:r>
        <w:rPr>
          <w:b/>
          <w:bCs/>
        </w:rPr>
        <w:t xml:space="preserve">PostgreSQL</w:t>
      </w:r>
    </w:p>
    <w:p>
      <w:pPr>
        <w:pStyle w:val="FirstParagraph"/>
      </w:pPr>
      <w:r>
        <w:t xml:space="preserve">Será utilizado como fonte de persistência transacional para os domínios do sistema.</w:t>
      </w:r>
    </w:p>
    <w:p>
      <w:r>
        <w:pict>
          <v:rect style="width:0;height:1.5pt" o:hralign="center" o:hrstd="t" o:hr="t"/>
        </w:pict>
      </w:r>
    </w:p>
    <w:bookmarkEnd w:id="10"/>
    <w:bookmarkStart w:id="11" w:name="escopo"/>
    <w:p>
      <w:pPr>
        <w:pStyle w:val="Heading1"/>
      </w:pPr>
      <w:r>
        <w:t xml:space="preserve">2. Escopo</w:t>
      </w:r>
    </w:p>
    <w:p>
      <w:pPr>
        <w:pStyle w:val="FirstParagraph"/>
      </w:pPr>
      <w:r>
        <w:t xml:space="preserve">O PostgreSQL será utilizado para armazenar:</w:t>
      </w:r>
    </w:p>
    <w:p>
      <w:pPr>
        <w:pStyle w:val="Compact"/>
        <w:numPr>
          <w:ilvl w:val="0"/>
          <w:numId w:val="1001"/>
        </w:numPr>
      </w:pPr>
      <w:r>
        <w:t xml:space="preserve">usuários;</w:t>
      </w:r>
    </w:p>
    <w:p>
      <w:pPr>
        <w:pStyle w:val="Compact"/>
        <w:numPr>
          <w:ilvl w:val="0"/>
          <w:numId w:val="1001"/>
        </w:numPr>
      </w:pPr>
      <w:r>
        <w:t xml:space="preserve">catálogo;</w:t>
      </w:r>
    </w:p>
    <w:p>
      <w:pPr>
        <w:pStyle w:val="Compact"/>
        <w:numPr>
          <w:ilvl w:val="0"/>
          <w:numId w:val="1001"/>
        </w:numPr>
      </w:pPr>
      <w:r>
        <w:t xml:space="preserve">coleção;</w:t>
      </w:r>
    </w:p>
    <w:p>
      <w:pPr>
        <w:pStyle w:val="Compact"/>
        <w:numPr>
          <w:ilvl w:val="0"/>
          <w:numId w:val="1001"/>
        </w:numPr>
      </w:pPr>
      <w:r>
        <w:t xml:space="preserve">sellers;</w:t>
      </w:r>
    </w:p>
    <w:p>
      <w:pPr>
        <w:pStyle w:val="Compact"/>
        <w:numPr>
          <w:ilvl w:val="0"/>
          <w:numId w:val="1001"/>
        </w:numPr>
      </w:pPr>
      <w:r>
        <w:t xml:space="preserve">ofertas;</w:t>
      </w:r>
    </w:p>
    <w:p>
      <w:pPr>
        <w:pStyle w:val="Compact"/>
        <w:numPr>
          <w:ilvl w:val="0"/>
          <w:numId w:val="1001"/>
        </w:numPr>
      </w:pPr>
      <w:r>
        <w:t xml:space="preserve">estoque;</w:t>
      </w:r>
    </w:p>
    <w:p>
      <w:pPr>
        <w:pStyle w:val="Compact"/>
        <w:numPr>
          <w:ilvl w:val="0"/>
          <w:numId w:val="1001"/>
        </w:numPr>
      </w:pPr>
      <w:r>
        <w:t xml:space="preserve">carrinho;</w:t>
      </w:r>
    </w:p>
    <w:p>
      <w:pPr>
        <w:pStyle w:val="Compact"/>
        <w:numPr>
          <w:ilvl w:val="0"/>
          <w:numId w:val="1001"/>
        </w:numPr>
      </w:pPr>
      <w:r>
        <w:t xml:space="preserve">pedidos;</w:t>
      </w:r>
    </w:p>
    <w:p>
      <w:pPr>
        <w:pStyle w:val="Compact"/>
        <w:numPr>
          <w:ilvl w:val="0"/>
          <w:numId w:val="1001"/>
        </w:numPr>
      </w:pPr>
      <w:r>
        <w:t xml:space="preserve">pagamentos;</w:t>
      </w:r>
    </w:p>
    <w:p>
      <w:pPr>
        <w:pStyle w:val="Compact"/>
        <w:numPr>
          <w:ilvl w:val="0"/>
          <w:numId w:val="1001"/>
        </w:numPr>
      </w:pPr>
      <w:r>
        <w:t xml:space="preserve">financeiro;</w:t>
      </w:r>
    </w:p>
    <w:p>
      <w:pPr>
        <w:pStyle w:val="Compact"/>
        <w:numPr>
          <w:ilvl w:val="0"/>
          <w:numId w:val="1001"/>
        </w:numPr>
      </w:pPr>
      <w:r>
        <w:t xml:space="preserve">fulfillment;</w:t>
      </w:r>
    </w:p>
    <w:p>
      <w:pPr>
        <w:pStyle w:val="Compact"/>
        <w:numPr>
          <w:ilvl w:val="0"/>
          <w:numId w:val="1001"/>
        </w:numPr>
      </w:pPr>
      <w:r>
        <w:t xml:space="preserve">shipment;</w:t>
      </w:r>
    </w:p>
    <w:p>
      <w:pPr>
        <w:pStyle w:val="Compact"/>
        <w:numPr>
          <w:ilvl w:val="0"/>
          <w:numId w:val="1001"/>
        </w:numPr>
      </w:pPr>
      <w:r>
        <w:t xml:space="preserve">garage;</w:t>
      </w:r>
    </w:p>
    <w:p>
      <w:pPr>
        <w:pStyle w:val="Compact"/>
        <w:numPr>
          <w:ilvl w:val="0"/>
          <w:numId w:val="1001"/>
        </w:numPr>
      </w:pPr>
      <w:r>
        <w:t xml:space="preserve">pré-vendas;</w:t>
      </w:r>
    </w:p>
    <w:p>
      <w:pPr>
        <w:pStyle w:val="Compact"/>
        <w:numPr>
          <w:ilvl w:val="0"/>
          <w:numId w:val="1001"/>
        </w:numPr>
      </w:pPr>
      <w:r>
        <w:t xml:space="preserve">notificações;</w:t>
      </w:r>
    </w:p>
    <w:p>
      <w:pPr>
        <w:pStyle w:val="Compact"/>
        <w:numPr>
          <w:ilvl w:val="0"/>
          <w:numId w:val="1001"/>
        </w:numPr>
      </w:pPr>
      <w:r>
        <w:t xml:space="preserve">comunidade;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outbox;</w:t>
      </w:r>
    </w:p>
    <w:p>
      <w:pPr>
        <w:pStyle w:val="Compact"/>
        <w:numPr>
          <w:ilvl w:val="0"/>
          <w:numId w:val="1001"/>
        </w:numPr>
      </w:pPr>
      <w:r>
        <w:t xml:space="preserve">configurações necessárias ao domínio.</w:t>
      </w:r>
    </w:p>
    <w:p>
      <w:r>
        <w:pict>
          <v:rect style="width:0;height:1.5pt" o:hralign="center" o:hrstd="t" o:hr="t"/>
        </w:pict>
      </w:r>
    </w:p>
    <w:bookmarkEnd w:id="11"/>
    <w:bookmarkStart w:id="12" w:name="modelo-de-banco"/>
    <w:p>
      <w:pPr>
        <w:pStyle w:val="Heading1"/>
      </w:pPr>
      <w:r>
        <w:t xml:space="preserve">3. Modelo de Banco</w:t>
      </w:r>
    </w:p>
    <w:p>
      <w:pPr>
        <w:pStyle w:val="FirstParagraph"/>
      </w:pPr>
      <w:r>
        <w:t xml:space="preserve">Inicialmente haverá:</w:t>
      </w:r>
    </w:p>
    <w:p>
      <w:pPr>
        <w:pStyle w:val="SourceCode"/>
      </w:pPr>
      <w:r>
        <w:rPr>
          <w:rStyle w:val="VerbatimChar"/>
        </w:rPr>
        <w:t xml:space="preserve">MINIHUB DATABASE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identity</w:t>
      </w:r>
      <w:r>
        <w:br/>
      </w:r>
      <w:r>
        <w:rPr>
          <w:rStyle w:val="VerbatimChar"/>
        </w:rPr>
        <w:t xml:space="preserve">        ├── catalog</w:t>
      </w:r>
      <w:r>
        <w:br/>
      </w:r>
      <w:r>
        <w:rPr>
          <w:rStyle w:val="VerbatimChar"/>
        </w:rPr>
        <w:t xml:space="preserve">        ├── collection</w:t>
      </w:r>
      <w:r>
        <w:br/>
      </w:r>
      <w:r>
        <w:rPr>
          <w:rStyle w:val="VerbatimChar"/>
        </w:rPr>
        <w:t xml:space="preserve">        ├── seller</w:t>
      </w:r>
      <w:r>
        <w:br/>
      </w:r>
      <w:r>
        <w:rPr>
          <w:rStyle w:val="VerbatimChar"/>
        </w:rPr>
        <w:t xml:space="preserve">        ├── commercial</w:t>
      </w:r>
      <w:r>
        <w:br/>
      </w:r>
      <w:r>
        <w:rPr>
          <w:rStyle w:val="VerbatimChar"/>
        </w:rPr>
        <w:t xml:space="preserve">        ├── inventory</w:t>
      </w:r>
      <w:r>
        <w:br/>
      </w:r>
      <w:r>
        <w:rPr>
          <w:rStyle w:val="VerbatimChar"/>
        </w:rPr>
        <w:t xml:space="preserve">        ├── order</w:t>
      </w:r>
      <w:r>
        <w:br/>
      </w:r>
      <w:r>
        <w:rPr>
          <w:rStyle w:val="VerbatimChar"/>
        </w:rPr>
        <w:t xml:space="preserve">        ├── payment</w:t>
      </w:r>
      <w:r>
        <w:br/>
      </w:r>
      <w:r>
        <w:rPr>
          <w:rStyle w:val="VerbatimChar"/>
        </w:rPr>
        <w:t xml:space="preserve">        ├── finance</w:t>
      </w:r>
      <w:r>
        <w:br/>
      </w:r>
      <w:r>
        <w:rPr>
          <w:rStyle w:val="VerbatimChar"/>
        </w:rPr>
        <w:t xml:space="preserve">        ├── fulfillment</w:t>
      </w:r>
      <w:r>
        <w:br/>
      </w:r>
      <w:r>
        <w:rPr>
          <w:rStyle w:val="VerbatimChar"/>
        </w:rPr>
        <w:t xml:space="preserve">        ├── shipment</w:t>
      </w:r>
      <w:r>
        <w:br/>
      </w:r>
      <w:r>
        <w:rPr>
          <w:rStyle w:val="VerbatimChar"/>
        </w:rPr>
        <w:t xml:space="preserve">        ├── garage</w:t>
      </w:r>
      <w:r>
        <w:br/>
      </w:r>
      <w:r>
        <w:rPr>
          <w:rStyle w:val="VerbatimChar"/>
        </w:rPr>
        <w:t xml:space="preserve">        ├── pre_sale</w:t>
      </w:r>
      <w:r>
        <w:br/>
      </w:r>
      <w:r>
        <w:rPr>
          <w:rStyle w:val="VerbatimChar"/>
        </w:rPr>
        <w:t xml:space="preserve">        ├── notification</w:t>
      </w:r>
      <w:r>
        <w:br/>
      </w:r>
      <w:r>
        <w:rPr>
          <w:rStyle w:val="VerbatimChar"/>
        </w:rPr>
        <w:t xml:space="preserve">        ├── community</w:t>
      </w:r>
      <w:r>
        <w:br/>
      </w:r>
      <w:r>
        <w:rPr>
          <w:rStyle w:val="VerbatimChar"/>
        </w:rPr>
        <w:t xml:space="preserve">        ├── integration</w:t>
      </w:r>
      <w:r>
        <w:br/>
      </w:r>
      <w:r>
        <w:rPr>
          <w:rStyle w:val="VerbatimChar"/>
        </w:rPr>
        <w:t xml:space="preserve">        └── outbox</w:t>
      </w:r>
    </w:p>
    <w:p>
      <w:pPr>
        <w:pStyle w:val="FirstParagraph"/>
      </w:pPr>
      <w:r>
        <w:t xml:space="preserve">A separação lógica será mantida mesmo dentro de um banco compartilhado.</w:t>
      </w:r>
    </w:p>
    <w:p>
      <w:r>
        <w:pict>
          <v:rect style="width:0;height:1.5pt" o:hralign="center" o:hrstd="t" o:hr="t"/>
        </w:pict>
      </w:r>
    </w:p>
    <w:bookmarkEnd w:id="12"/>
    <w:bookmarkStart w:id="13" w:name="fonte-de-verdade"/>
    <w:p>
      <w:pPr>
        <w:pStyle w:val="Heading1"/>
      </w:pPr>
      <w:r>
        <w:t xml:space="preserve">4. Fonte de Verdade</w:t>
      </w:r>
    </w:p>
    <w:p>
      <w:pPr>
        <w:pStyle w:val="FirstParagraph"/>
      </w:pPr>
      <w:r>
        <w:t xml:space="preserve">O PostgreSQL será a fonte de verdade para os dados transacionais do MiniHub.</w:t>
      </w:r>
    </w:p>
    <w:p>
      <w:pPr>
        <w:pStyle w:val="BodyText"/>
      </w:pPr>
      <w:r>
        <w:t xml:space="preserve">Não serão fontes primárias:</w:t>
      </w:r>
    </w:p>
    <w:p>
      <w:pPr>
        <w:pStyle w:val="Compact"/>
        <w:numPr>
          <w:ilvl w:val="0"/>
          <w:numId w:val="1002"/>
        </w:numPr>
      </w:pPr>
      <w:r>
        <w:t xml:space="preserve">cache;</w:t>
      </w:r>
    </w:p>
    <w:p>
      <w:pPr>
        <w:pStyle w:val="Compact"/>
        <w:numPr>
          <w:ilvl w:val="0"/>
          <w:numId w:val="1002"/>
        </w:numPr>
      </w:pPr>
      <w:r>
        <w:t xml:space="preserve">frontend;</w:t>
      </w:r>
    </w:p>
    <w:p>
      <w:pPr>
        <w:pStyle w:val="Compact"/>
        <w:numPr>
          <w:ilvl w:val="0"/>
          <w:numId w:val="1002"/>
        </w:numPr>
      </w:pPr>
      <w:r>
        <w:t xml:space="preserve">arquivos temporários;</w:t>
      </w:r>
    </w:p>
    <w:p>
      <w:pPr>
        <w:pStyle w:val="Compact"/>
        <w:numPr>
          <w:ilvl w:val="0"/>
          <w:numId w:val="1002"/>
        </w:numPr>
      </w:pPr>
      <w:r>
        <w:t xml:space="preserve">eventos;</w:t>
      </w:r>
    </w:p>
    <w:p>
      <w:pPr>
        <w:pStyle w:val="Compact"/>
        <w:numPr>
          <w:ilvl w:val="0"/>
          <w:numId w:val="1002"/>
        </w:numPr>
      </w:pPr>
      <w:r>
        <w:t xml:space="preserve">logs;</w:t>
      </w:r>
    </w:p>
    <w:p>
      <w:pPr>
        <w:pStyle w:val="Compact"/>
        <w:numPr>
          <w:ilvl w:val="0"/>
          <w:numId w:val="1002"/>
        </w:numPr>
      </w:pPr>
      <w:r>
        <w:t xml:space="preserve">sistemas externos;</w:t>
      </w:r>
    </w:p>
    <w:p>
      <w:pPr>
        <w:pStyle w:val="Compact"/>
        <w:numPr>
          <w:ilvl w:val="0"/>
          <w:numId w:val="1002"/>
        </w:numPr>
      </w:pPr>
      <w:r>
        <w:t xml:space="preserve">provedores de pagamento;</w:t>
      </w:r>
    </w:p>
    <w:p>
      <w:pPr>
        <w:pStyle w:val="Compact"/>
        <w:numPr>
          <w:ilvl w:val="0"/>
          <w:numId w:val="1002"/>
        </w:numPr>
      </w:pPr>
      <w:r>
        <w:t xml:space="preserve">transportadoras.</w:t>
      </w:r>
    </w:p>
    <w:p>
      <w:r>
        <w:pict>
          <v:rect style="width:0;height:1.5pt" o:hralign="center" o:hrstd="t" o:hr="t"/>
        </w:pict>
      </w:r>
    </w:p>
    <w:bookmarkEnd w:id="13"/>
    <w:bookmarkStart w:id="14" w:name="transações"/>
    <w:p>
      <w:pPr>
        <w:pStyle w:val="Heading1"/>
      </w:pPr>
      <w:r>
        <w:t xml:space="preserve">5. Transações</w:t>
      </w:r>
    </w:p>
    <w:p>
      <w:pPr>
        <w:pStyle w:val="FirstParagraph"/>
      </w:pPr>
      <w:r>
        <w:t xml:space="preserve">Operações que exigem consistência deverão utilizar transações.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Create Order</w:t>
      </w:r>
      <w:r>
        <w:br/>
      </w:r>
      <w:r>
        <w:rPr>
          <w:rStyle w:val="VerbatimChar"/>
        </w:rPr>
        <w:t xml:space="preserve">Create Order Items</w:t>
      </w:r>
      <w:r>
        <w:br/>
      </w:r>
      <w:r>
        <w:rPr>
          <w:rStyle w:val="VerbatimChar"/>
        </w:rPr>
        <w:t xml:space="preserve">Reserve Stock</w:t>
      </w:r>
      <w:r>
        <w:br/>
      </w:r>
      <w:r>
        <w:rPr>
          <w:rStyle w:val="VerbatimChar"/>
        </w:rPr>
        <w:t xml:space="preserve">Create Outbox Event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Caso uma operação falhe: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14"/>
    <w:bookmarkStart w:id="15" w:name="integridade"/>
    <w:p>
      <w:pPr>
        <w:pStyle w:val="Heading1"/>
      </w:pPr>
      <w:r>
        <w:t xml:space="preserve">6. Integridade</w:t>
      </w:r>
    </w:p>
    <w:p>
      <w:pPr>
        <w:pStyle w:val="FirstParagraph"/>
      </w:pPr>
      <w:r>
        <w:t xml:space="preserve">O banco deverá utilizar:</w:t>
      </w:r>
    </w:p>
    <w:p>
      <w:pPr>
        <w:pStyle w:val="Compact"/>
        <w:numPr>
          <w:ilvl w:val="0"/>
          <w:numId w:val="1003"/>
        </w:numPr>
      </w:pPr>
      <w:r>
        <w:t xml:space="preserve">Primary Keys;</w:t>
      </w:r>
    </w:p>
    <w:p>
      <w:pPr>
        <w:pStyle w:val="Compact"/>
        <w:numPr>
          <w:ilvl w:val="0"/>
          <w:numId w:val="1003"/>
        </w:numPr>
      </w:pPr>
      <w:r>
        <w:t xml:space="preserve">Foreign Keys;</w:t>
      </w:r>
    </w:p>
    <w:p>
      <w:pPr>
        <w:pStyle w:val="Compact"/>
        <w:numPr>
          <w:ilvl w:val="0"/>
          <w:numId w:val="1003"/>
        </w:numPr>
      </w:pPr>
      <w:r>
        <w:t xml:space="preserve">Unique Constraints;</w:t>
      </w:r>
    </w:p>
    <w:p>
      <w:pPr>
        <w:pStyle w:val="Compact"/>
        <w:numPr>
          <w:ilvl w:val="0"/>
          <w:numId w:val="1003"/>
        </w:numPr>
      </w:pPr>
      <w:r>
        <w:t xml:space="preserve">Check Constraints;</w:t>
      </w:r>
    </w:p>
    <w:p>
      <w:pPr>
        <w:pStyle w:val="Compact"/>
        <w:numPr>
          <w:ilvl w:val="0"/>
          <w:numId w:val="1003"/>
        </w:numPr>
      </w:pPr>
      <w:r>
        <w:t xml:space="preserve">Not Null;</w:t>
      </w:r>
    </w:p>
    <w:p>
      <w:pPr>
        <w:pStyle w:val="Compact"/>
        <w:numPr>
          <w:ilvl w:val="0"/>
          <w:numId w:val="1003"/>
        </w:numPr>
      </w:pPr>
      <w:r>
        <w:t xml:space="preserve">Indexes;</w:t>
      </w:r>
    </w:p>
    <w:p>
      <w:pPr>
        <w:pStyle w:val="Compact"/>
        <w:numPr>
          <w:ilvl w:val="0"/>
          <w:numId w:val="1003"/>
        </w:numPr>
      </w:pPr>
      <w:r>
        <w:t xml:space="preserve">Transactions.</w:t>
      </w:r>
    </w:p>
    <w:p>
      <w:pPr>
        <w:pStyle w:val="FirstParagraph"/>
      </w:pPr>
      <w:r>
        <w:t xml:space="preserve">Regras estruturais importantes não deverão depender somente da aplicação.</w:t>
      </w:r>
    </w:p>
    <w:p>
      <w:r>
        <w:pict>
          <v:rect style="width:0;height:1.5pt" o:hralign="center" o:hrstd="t" o:hr="t"/>
        </w:pict>
      </w:r>
    </w:p>
    <w:bookmarkEnd w:id="15"/>
    <w:bookmarkStart w:id="16" w:name="uuid"/>
    <w:p>
      <w:pPr>
        <w:pStyle w:val="Heading1"/>
      </w:pPr>
      <w:r>
        <w:t xml:space="preserve">7. UUID</w:t>
      </w:r>
    </w:p>
    <w:p>
      <w:pPr>
        <w:pStyle w:val="FirstParagraph"/>
      </w:pPr>
      <w:r>
        <w:t xml:space="preserve">IDs das entidades utilizarão o tipo:</w:t>
      </w:r>
    </w:p>
    <w:p>
      <w:pPr>
        <w:pStyle w:val="SourceCode"/>
      </w:pPr>
      <w:r>
        <w:rPr>
          <w:rStyle w:val="VerbatimChar"/>
        </w:rPr>
        <w:t xml:space="preserve">uuid</w:t>
      </w:r>
    </w:p>
    <w:p>
      <w:pPr>
        <w:pStyle w:val="FirstParagraph"/>
      </w:pPr>
      <w:r>
        <w:t xml:space="preserve">O PostgreSQL suporta UUID como tipo nativo e atualmente oferece geração nativa de UUIDv4 e UUIDv7.</w:t>
      </w:r>
    </w:p>
    <w:p>
      <w:r>
        <w:pict>
          <v:rect style="width:0;height:1.5pt" o:hralign="center" o:hrstd="t" o:hr="t"/>
        </w:pict>
      </w:r>
    </w:p>
    <w:bookmarkEnd w:id="16"/>
    <w:bookmarkStart w:id="17" w:name="uuidv7"/>
    <w:p>
      <w:pPr>
        <w:pStyle w:val="Heading1"/>
      </w:pPr>
      <w:r>
        <w:t xml:space="preserve">8. UUIDv7</w:t>
      </w:r>
    </w:p>
    <w:p>
      <w:pPr>
        <w:pStyle w:val="FirstParagraph"/>
      </w:pPr>
      <w:r>
        <w:t xml:space="preserve">A estratégia padrão será:</w:t>
      </w:r>
    </w:p>
    <w:p>
      <w:pPr>
        <w:pStyle w:val="BlockText"/>
      </w:pPr>
      <w:r>
        <w:rPr>
          <w:b/>
          <w:bCs/>
        </w:rPr>
        <w:t xml:space="preserve">UUIDv7</w:t>
      </w:r>
    </w:p>
    <w:p>
      <w:pPr>
        <w:pStyle w:val="FirstParagraph"/>
      </w:pPr>
      <w:r>
        <w:t xml:space="preserve">quando gerado pelo ambiente de execução/banco escolhido.</w:t>
      </w:r>
    </w:p>
    <w:p>
      <w:pPr>
        <w:pStyle w:val="BodyText"/>
      </w:pPr>
      <w:r>
        <w:t xml:space="preserve">O UUIDv7 possui componente temporal, mantendo características de unicidade do UUID com ordenação temporal útil para armazenamento e índices. O PostgreSQL documenta a geração nativa de UUIDv7 nas versões atuais.</w:t>
      </w:r>
    </w:p>
    <w:p>
      <w:r>
        <w:pict>
          <v:rect style="width:0;height:1.5pt" o:hralign="center" o:hrstd="t" o:hr="t"/>
        </w:pict>
      </w:r>
    </w:p>
    <w:bookmarkEnd w:id="17"/>
    <w:bookmarkStart w:id="18" w:name="primary-keys"/>
    <w:p>
      <w:pPr>
        <w:pStyle w:val="Heading1"/>
      </w:pPr>
      <w:r>
        <w:t xml:space="preserve">9. Primary Keys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</w:p>
    <w:p>
      <w:pPr>
        <w:pStyle w:val="FirstParagraph"/>
      </w:pPr>
      <w:r>
        <w:t xml:space="preserve">Não será utilizado como padrão:</w:t>
      </w:r>
    </w:p>
    <w:p>
      <w:pPr>
        <w:pStyle w:val="SourceCode"/>
      </w:pPr>
      <w:r>
        <w:rPr>
          <w:rStyle w:val="VerbatimChar"/>
        </w:rPr>
        <w:t xml:space="preserve">serial</w:t>
      </w:r>
      <w:r>
        <w:br/>
      </w:r>
      <w:r>
        <w:rPr>
          <w:rStyle w:val="VerbatimChar"/>
        </w:rPr>
        <w:t xml:space="preserve">integer identity</w:t>
      </w:r>
      <w:r>
        <w:br/>
      </w:r>
      <w:r>
        <w:rPr>
          <w:rStyle w:val="VerbatimChar"/>
        </w:rPr>
        <w:t xml:space="preserve">bigserial</w:t>
      </w:r>
    </w:p>
    <w:p>
      <w:pPr>
        <w:pStyle w:val="FirstParagraph"/>
      </w:pPr>
      <w:r>
        <w:t xml:space="preserve">para entidades de domínio.</w:t>
      </w:r>
    </w:p>
    <w:p>
      <w:r>
        <w:pict>
          <v:rect style="width:0;height:1.5pt" o:hralign="center" o:hrstd="t" o:hr="t"/>
        </w:pict>
      </w:r>
    </w:p>
    <w:bookmarkEnd w:id="18"/>
    <w:bookmarkStart w:id="19" w:name="foreign-keys"/>
    <w:p>
      <w:pPr>
        <w:pStyle w:val="Heading1"/>
      </w:pPr>
      <w:r>
        <w:t xml:space="preserve">10. Foreign Keys</w:t>
      </w:r>
    </w:p>
    <w:p>
      <w:pPr>
        <w:pStyle w:val="FirstParagraph"/>
      </w:pPr>
      <w:r>
        <w:t xml:space="preserve">Relacionamentos estruturais terão Foreign Keys.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orders.id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order_items.order_id</w:t>
      </w:r>
    </w:p>
    <w:p>
      <w:pPr>
        <w:pStyle w:val="FirstParagraph"/>
      </w:pPr>
      <w:r>
        <w:t xml:space="preserve">Entretanto, uma FK não autoriza um módulo a manipular o domínio do outro.</w:t>
      </w:r>
    </w:p>
    <w:p>
      <w:r>
        <w:pict>
          <v:rect style="width:0;height:1.5pt" o:hralign="center" o:hrstd="t" o:hr="t"/>
        </w:pict>
      </w:r>
    </w:p>
    <w:bookmarkEnd w:id="19"/>
    <w:bookmarkStart w:id="20" w:name="naming"/>
    <w:p>
      <w:pPr>
        <w:pStyle w:val="Heading1"/>
      </w:pPr>
      <w:r>
        <w:t xml:space="preserve">11. Naming</w:t>
      </w:r>
    </w:p>
    <w:p>
      <w:pPr>
        <w:pStyle w:val="FirstParagraph"/>
      </w:pPr>
      <w:r>
        <w:t xml:space="preserve">Tabelas:</w:t>
      </w:r>
    </w:p>
    <w:p>
      <w:pPr>
        <w:pStyle w:val="SourceCode"/>
      </w:pPr>
      <w:r>
        <w:rPr>
          <w:rStyle w:val="VerbatimChar"/>
        </w:rPr>
        <w:t xml:space="preserve">snake_case</w:t>
      </w:r>
      <w:r>
        <w:br/>
      </w:r>
      <w:r>
        <w:rPr>
          <w:rStyle w:val="VerbatimChar"/>
        </w:rPr>
        <w:t xml:space="preserve">plural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catalog_brands</w:t>
      </w:r>
      <w:r>
        <w:br/>
      </w:r>
      <w:r>
        <w:rPr>
          <w:rStyle w:val="VerbatimChar"/>
        </w:rPr>
        <w:t xml:space="preserve">vehicle_models</w:t>
      </w:r>
      <w:r>
        <w:br/>
      </w:r>
      <w:r>
        <w:rPr>
          <w:rStyle w:val="VerbatimChar"/>
        </w:rPr>
        <w:t xml:space="preserve">variations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order_items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ledger_transactions</w:t>
      </w:r>
      <w:r>
        <w:br/>
      </w:r>
      <w:r>
        <w:rPr>
          <w:rStyle w:val="VerbatimChar"/>
        </w:rPr>
        <w:t xml:space="preserve">ledger_entries</w:t>
      </w:r>
    </w:p>
    <w:p>
      <w:pPr>
        <w:pStyle w:val="FirstParagraph"/>
      </w:pPr>
      <w:r>
        <w:t xml:space="preserve">Colunas: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r>
        <w:pict>
          <v:rect style="width:0;height:1.5pt" o:hralign="center" o:hrstd="t" o:hr="t"/>
        </w:pict>
      </w:r>
    </w:p>
    <w:bookmarkEnd w:id="20"/>
    <w:bookmarkStart w:id="21" w:name="timestamps"/>
    <w:p>
      <w:pPr>
        <w:pStyle w:val="Heading1"/>
      </w:pPr>
      <w:r>
        <w:t xml:space="preserve">12. Timestamps</w:t>
      </w:r>
    </w:p>
    <w:p>
      <w:pPr>
        <w:pStyle w:val="FirstParagraph"/>
      </w:pPr>
      <w:r>
        <w:t xml:space="preserve">Padrão:</w:t>
      </w:r>
    </w:p>
    <w:p>
      <w:pPr>
        <w:pStyle w:val="SourceCode"/>
      </w:pPr>
      <w:r>
        <w:rPr>
          <w:rStyle w:val="NormalTok"/>
        </w:rPr>
        <w:t xml:space="preserve">created_at</w:t>
      </w:r>
      <w:r>
        <w:br/>
      </w:r>
      <w:r>
        <w:rPr>
          <w:rStyle w:val="NormalTok"/>
        </w:rPr>
        <w:t xml:space="preserve">updated_at</w:t>
      </w:r>
    </w:p>
    <w:p>
      <w:pPr>
        <w:pStyle w:val="FirstParagraph"/>
      </w:pPr>
      <w:r>
        <w:t xml:space="preserve">Instantes deverão utilizar:</w:t>
      </w:r>
    </w:p>
    <w:p>
      <w:pPr>
        <w:pStyle w:val="SourceCode"/>
      </w:pPr>
      <w:r>
        <w:rPr>
          <w:rStyle w:val="VerbatimChar"/>
        </w:rPr>
        <w:t xml:space="preserve">TIMESTAMP WITH TIME ZONE</w:t>
      </w:r>
    </w:p>
    <w:p>
      <w:pPr>
        <w:pStyle w:val="FirstParagraph"/>
      </w:pPr>
      <w:r>
        <w:t xml:space="preserve">e serão tratados conceitualmente em UTC.</w:t>
      </w:r>
    </w:p>
    <w:p>
      <w:r>
        <w:pict>
          <v:rect style="width:0;height:1.5pt" o:hralign="center" o:hrstd="t" o:hr="t"/>
        </w:pict>
      </w:r>
    </w:p>
    <w:bookmarkEnd w:id="21"/>
    <w:bookmarkStart w:id="22" w:name="dinheiro"/>
    <w:p>
      <w:pPr>
        <w:pStyle w:val="Heading1"/>
      </w:pPr>
      <w:r>
        <w:t xml:space="preserve">13. Dinheiro</w:t>
      </w:r>
    </w:p>
    <w:p>
      <w:pPr>
        <w:pStyle w:val="FirstParagraph"/>
      </w:pPr>
      <w:r>
        <w:t xml:space="preserve">Não será utilizado:</w:t>
      </w:r>
    </w:p>
    <w:p>
      <w:pPr>
        <w:pStyle w:val="SourceCode"/>
      </w:pPr>
      <w:r>
        <w:rPr>
          <w:rStyle w:val="VerbatimChar"/>
        </w:rPr>
        <w:t xml:space="preserve">float</w:t>
      </w:r>
      <w:r>
        <w:br/>
      </w:r>
      <w:r>
        <w:rPr>
          <w:rStyle w:val="VerbatimChar"/>
        </w:rPr>
        <w:t xml:space="preserve">double</w:t>
      </w:r>
      <w:r>
        <w:br/>
      </w:r>
      <w:r>
        <w:rPr>
          <w:rStyle w:val="VerbatimChar"/>
        </w:rPr>
        <w:t xml:space="preserve">real</w:t>
      </w:r>
    </w:p>
    <w:p>
      <w:pPr>
        <w:pStyle w:val="FirstParagraph"/>
      </w:pPr>
      <w:r>
        <w:t xml:space="preserve">para representar dinheiro.</w:t>
      </w:r>
    </w:p>
    <w:p>
      <w:pPr>
        <w:pStyle w:val="BodyText"/>
      </w:pPr>
      <w:r>
        <w:t xml:space="preserve">Será utilizado conceito:</w:t>
      </w:r>
    </w:p>
    <w:p>
      <w:pPr>
        <w:pStyle w:val="SourceCode"/>
      </w:pPr>
      <w:r>
        <w:rPr>
          <w:rStyle w:val="VerbatimChar"/>
        </w:rPr>
        <w:t xml:space="preserve">amount_minor</w:t>
      </w:r>
      <w:r>
        <w:br/>
      </w:r>
      <w:r>
        <w:rPr>
          <w:rStyle w:val="VerbatimChar"/>
        </w:rPr>
        <w:t xml:space="preserve">currency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amount_minor = 12990</w:t>
      </w:r>
      <w:r>
        <w:br/>
      </w:r>
      <w:r>
        <w:rPr>
          <w:rStyle w:val="VerbatimChar"/>
        </w:rPr>
        <w:t xml:space="preserve">currency = BRL</w:t>
      </w:r>
    </w:p>
    <w:p>
      <w:r>
        <w:pict>
          <v:rect style="width:0;height:1.5pt" o:hralign="center" o:hrstd="t" o:hr="t"/>
        </w:pict>
      </w:r>
    </w:p>
    <w:bookmarkEnd w:id="22"/>
    <w:bookmarkStart w:id="23" w:name="quantidades"/>
    <w:p>
      <w:pPr>
        <w:pStyle w:val="Heading1"/>
      </w:pPr>
      <w:r>
        <w:t xml:space="preserve">14. Quantidades</w:t>
      </w:r>
    </w:p>
    <w:p>
      <w:pPr>
        <w:pStyle w:val="FirstParagraph"/>
      </w:pPr>
      <w:r>
        <w:t xml:space="preserve">Quantidade de miniaturas será armazenada como inteiro.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quantity bigint</w:t>
      </w:r>
    </w:p>
    <w:p>
      <w:pPr>
        <w:pStyle w:val="FirstParagraph"/>
      </w:pPr>
      <w:r>
        <w:t xml:space="preserve">ou tipo inteiro equivalente definido pelo padrão final de persistência.</w:t>
      </w:r>
    </w:p>
    <w:p>
      <w:r>
        <w:pict>
          <v:rect style="width:0;height:1.5pt" o:hralign="center" o:hrstd="t" o:hr="t"/>
        </w:pict>
      </w:r>
    </w:p>
    <w:bookmarkEnd w:id="23"/>
    <w:bookmarkStart w:id="24" w:name="jsonb"/>
    <w:p>
      <w:pPr>
        <w:pStyle w:val="Heading1"/>
      </w:pPr>
      <w:r>
        <w:t xml:space="preserve">15. JSONB</w:t>
      </w:r>
    </w:p>
    <w:p>
      <w:pPr>
        <w:pStyle w:val="FirstParagraph"/>
      </w:pPr>
      <w:r>
        <w:t xml:space="preserve">JSONB poderá ser utilizado quando o dado possuir natureza realmente documental ou variável.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provider_response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event_payload</w:t>
      </w:r>
    </w:p>
    <w:p>
      <w:pPr>
        <w:pStyle w:val="FirstParagraph"/>
      </w:pPr>
      <w:r>
        <w:t xml:space="preserve">Não deverá ser utilizado para esconder entidades relacionais que precisam de:</w:t>
      </w:r>
    </w:p>
    <w:p>
      <w:pPr>
        <w:pStyle w:val="Compact"/>
        <w:numPr>
          <w:ilvl w:val="0"/>
          <w:numId w:val="1004"/>
        </w:numPr>
      </w:pPr>
      <w:r>
        <w:t xml:space="preserve">busca frequente;</w:t>
      </w:r>
    </w:p>
    <w:p>
      <w:pPr>
        <w:pStyle w:val="Compact"/>
        <w:numPr>
          <w:ilvl w:val="0"/>
          <w:numId w:val="1004"/>
        </w:numPr>
      </w:pPr>
      <w:r>
        <w:t xml:space="preserve">FK;</w:t>
      </w:r>
    </w:p>
    <w:p>
      <w:pPr>
        <w:pStyle w:val="Compact"/>
        <w:numPr>
          <w:ilvl w:val="0"/>
          <w:numId w:val="1004"/>
        </w:numPr>
      </w:pPr>
      <w:r>
        <w:t xml:space="preserve">integridade;</w:t>
      </w:r>
    </w:p>
    <w:p>
      <w:pPr>
        <w:pStyle w:val="Compact"/>
        <w:numPr>
          <w:ilvl w:val="0"/>
          <w:numId w:val="1004"/>
        </w:numPr>
      </w:pPr>
      <w:r>
        <w:t xml:space="preserve">joins;</w:t>
      </w:r>
    </w:p>
    <w:p>
      <w:pPr>
        <w:pStyle w:val="Compact"/>
        <w:numPr>
          <w:ilvl w:val="0"/>
          <w:numId w:val="1004"/>
        </w:numPr>
      </w:pPr>
      <w:r>
        <w:t xml:space="preserve">índices específicos.</w:t>
      </w:r>
    </w:p>
    <w:p>
      <w:r>
        <w:pict>
          <v:rect style="width:0;height:1.5pt" o:hralign="center" o:hrstd="t" o:hr="t"/>
        </w:pict>
      </w:r>
    </w:p>
    <w:bookmarkEnd w:id="24"/>
    <w:bookmarkStart w:id="25" w:name="índices"/>
    <w:p>
      <w:pPr>
        <w:pStyle w:val="Heading1"/>
      </w:pPr>
      <w:r>
        <w:t xml:space="preserve">16. Índices</w:t>
      </w:r>
    </w:p>
    <w:p>
      <w:pPr>
        <w:pStyle w:val="FirstParagraph"/>
      </w:pPr>
      <w:r>
        <w:t xml:space="preserve">Índices deverão ser criados com base em:</w:t>
      </w:r>
    </w:p>
    <w:p>
      <w:pPr>
        <w:pStyle w:val="Compact"/>
        <w:numPr>
          <w:ilvl w:val="0"/>
          <w:numId w:val="1005"/>
        </w:numPr>
      </w:pPr>
      <w:r>
        <w:t xml:space="preserve">consultas reais;</w:t>
      </w:r>
    </w:p>
    <w:p>
      <w:pPr>
        <w:pStyle w:val="Compact"/>
        <w:numPr>
          <w:ilvl w:val="0"/>
          <w:numId w:val="1005"/>
        </w:numPr>
      </w:pPr>
      <w:r>
        <w:t xml:space="preserve">foreign keys;</w:t>
      </w:r>
    </w:p>
    <w:p>
      <w:pPr>
        <w:pStyle w:val="Compact"/>
        <w:numPr>
          <w:ilvl w:val="0"/>
          <w:numId w:val="1005"/>
        </w:numPr>
      </w:pPr>
      <w:r>
        <w:t xml:space="preserve">unique constraints;</w:t>
      </w:r>
    </w:p>
    <w:p>
      <w:pPr>
        <w:pStyle w:val="Compact"/>
        <w:numPr>
          <w:ilvl w:val="0"/>
          <w:numId w:val="1005"/>
        </w:numPr>
      </w:pPr>
      <w:r>
        <w:t xml:space="preserve">filtros frequentes;</w:t>
      </w:r>
    </w:p>
    <w:p>
      <w:pPr>
        <w:pStyle w:val="Compact"/>
        <w:numPr>
          <w:ilvl w:val="0"/>
          <w:numId w:val="1005"/>
        </w:numPr>
      </w:pPr>
      <w:r>
        <w:t xml:space="preserve">ordenações frequentes;</w:t>
      </w:r>
    </w:p>
    <w:p>
      <w:pPr>
        <w:pStyle w:val="Compact"/>
        <w:numPr>
          <w:ilvl w:val="0"/>
          <w:numId w:val="1005"/>
        </w:numPr>
      </w:pPr>
      <w:r>
        <w:t xml:space="preserve">requisitos de performance.</w:t>
      </w:r>
    </w:p>
    <w:p>
      <w:pPr>
        <w:pStyle w:val="FirstParagraph"/>
      </w:pPr>
      <w:r>
        <w:t xml:space="preserve">Não criar índices indiscriminadamente.</w:t>
      </w:r>
    </w:p>
    <w:p>
      <w:r>
        <w:pict>
          <v:rect style="width:0;height:1.5pt" o:hralign="center" o:hrstd="t" o:hr="t"/>
        </w:pict>
      </w:r>
    </w:p>
    <w:bookmarkEnd w:id="25"/>
    <w:bookmarkStart w:id="26" w:name="migrations"/>
    <w:p>
      <w:pPr>
        <w:pStyle w:val="Heading1"/>
      </w:pPr>
      <w:r>
        <w:t xml:space="preserve">17. Migrations</w:t>
      </w:r>
    </w:p>
    <w:p>
      <w:pPr>
        <w:pStyle w:val="FirstParagraph"/>
      </w:pPr>
      <w:r>
        <w:t xml:space="preserve">Toda alteração estrutural será realizada por migration.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001_initial_schema</w:t>
      </w:r>
      <w:r>
        <w:br/>
      </w:r>
      <w:r>
        <w:rPr>
          <w:rStyle w:val="VerbatimChar"/>
        </w:rPr>
        <w:t xml:space="preserve">002_identity</w:t>
      </w:r>
      <w:r>
        <w:br/>
      </w:r>
      <w:r>
        <w:rPr>
          <w:rStyle w:val="VerbatimChar"/>
        </w:rPr>
        <w:t xml:space="preserve">003_catalog</w:t>
      </w:r>
      <w:r>
        <w:br/>
      </w:r>
      <w:r>
        <w:rPr>
          <w:rStyle w:val="VerbatimChar"/>
        </w:rPr>
        <w:t xml:space="preserve">004_collection</w:t>
      </w:r>
      <w:r>
        <w:br/>
      </w:r>
      <w:r>
        <w:rPr>
          <w:rStyle w:val="VerbatimChar"/>
        </w:rPr>
        <w:t xml:space="preserve">005_seller</w:t>
      </w:r>
      <w:r>
        <w:br/>
      </w:r>
      <w:r>
        <w:rPr>
          <w:rStyle w:val="VerbatimChar"/>
        </w:rPr>
        <w:t xml:space="preserve">006_commercial</w:t>
      </w:r>
      <w:r>
        <w:br/>
      </w:r>
      <w:r>
        <w:rPr>
          <w:rStyle w:val="VerbatimChar"/>
        </w:rPr>
        <w:t xml:space="preserve">007_inventory</w:t>
      </w:r>
      <w:r>
        <w:br/>
      </w:r>
      <w:r>
        <w:rPr>
          <w:rStyle w:val="VerbatimChar"/>
        </w:rPr>
        <w:t xml:space="preserve">008_order</w:t>
      </w:r>
      <w:r>
        <w:br/>
      </w:r>
      <w:r>
        <w:rPr>
          <w:rStyle w:val="VerbatimChar"/>
        </w:rPr>
        <w:t xml:space="preserve">009_payment</w:t>
      </w:r>
      <w:r>
        <w:br/>
      </w:r>
      <w:r>
        <w:rPr>
          <w:rStyle w:val="VerbatimChar"/>
        </w:rPr>
        <w:t xml:space="preserve">010_finance</w:t>
      </w:r>
    </w:p>
    <w:p>
      <w:pPr>
        <w:pStyle w:val="FirstParagraph"/>
      </w:pPr>
      <w:r>
        <w:t xml:space="preserve">Produção não será atualizada por alterações manuais não versionadas.</w:t>
      </w:r>
    </w:p>
    <w:p>
      <w:r>
        <w:pict>
          <v:rect style="width:0;height:1.5pt" o:hralign="center" o:hrstd="t" o:hr="t"/>
        </w:pict>
      </w:r>
    </w:p>
    <w:bookmarkEnd w:id="26"/>
    <w:bookmarkStart w:id="27" w:name="backup"/>
    <w:p>
      <w:pPr>
        <w:pStyle w:val="Heading1"/>
      </w:pPr>
      <w:r>
        <w:t xml:space="preserve">18. Backup</w:t>
      </w:r>
    </w:p>
    <w:p>
      <w:pPr>
        <w:pStyle w:val="FirstParagraph"/>
      </w:pPr>
      <w:r>
        <w:t xml:space="preserve">O banco deverá possuir:</w:t>
      </w:r>
    </w:p>
    <w:p>
      <w:pPr>
        <w:pStyle w:val="Compact"/>
        <w:numPr>
          <w:ilvl w:val="0"/>
          <w:numId w:val="1006"/>
        </w:numPr>
      </w:pPr>
      <w:r>
        <w:t xml:space="preserve">backup automatizado;</w:t>
      </w:r>
    </w:p>
    <w:p>
      <w:pPr>
        <w:pStyle w:val="Compact"/>
        <w:numPr>
          <w:ilvl w:val="0"/>
          <w:numId w:val="1006"/>
        </w:numPr>
      </w:pPr>
      <w:r>
        <w:t xml:space="preserve">retenção definida;</w:t>
      </w:r>
    </w:p>
    <w:p>
      <w:pPr>
        <w:pStyle w:val="Compact"/>
        <w:numPr>
          <w:ilvl w:val="0"/>
          <w:numId w:val="1006"/>
        </w:numPr>
      </w:pPr>
      <w:r>
        <w:t xml:space="preserve">teste periódico de restauração;</w:t>
      </w:r>
    </w:p>
    <w:p>
      <w:pPr>
        <w:pStyle w:val="Compact"/>
        <w:numPr>
          <w:ilvl w:val="0"/>
          <w:numId w:val="1006"/>
        </w:numPr>
      </w:pPr>
      <w:r>
        <w:t xml:space="preserve">plano de recuperação;</w:t>
      </w:r>
    </w:p>
    <w:p>
      <w:pPr>
        <w:pStyle w:val="Compact"/>
        <w:numPr>
          <w:ilvl w:val="0"/>
          <w:numId w:val="1006"/>
        </w:numPr>
      </w:pPr>
      <w:r>
        <w:t xml:space="preserve">monitoramento.</w:t>
      </w:r>
    </w:p>
    <w:p>
      <w:pPr>
        <w:pStyle w:val="FirstParagraph"/>
      </w:pPr>
      <w:r>
        <w:t xml:space="preserve">Backup não será considerado válido simplesmente porque foi criado.</w:t>
      </w:r>
    </w:p>
    <w:p>
      <w:pPr>
        <w:pStyle w:val="BodyText"/>
      </w:pPr>
      <w:r>
        <w:t xml:space="preserve">A restauração deverá ser testada.</w:t>
      </w:r>
    </w:p>
    <w:p>
      <w:r>
        <w:pict>
          <v:rect style="width:0;height:1.5pt" o:hralign="center" o:hrstd="t" o:hr="t"/>
        </w:pict>
      </w:r>
    </w:p>
    <w:bookmarkEnd w:id="27"/>
    <w:bookmarkStart w:id="28" w:name="read-models"/>
    <w:p>
      <w:pPr>
        <w:pStyle w:val="Heading1"/>
      </w:pPr>
      <w:r>
        <w:t xml:space="preserve">19. Read Models</w:t>
      </w:r>
    </w:p>
    <w:p>
      <w:pPr>
        <w:pStyle w:val="FirstParagraph"/>
      </w:pPr>
      <w:r>
        <w:t xml:space="preserve">Consultas de leitura complexas poderão utilizar:</w:t>
      </w:r>
    </w:p>
    <w:p>
      <w:pPr>
        <w:pStyle w:val="Compact"/>
        <w:numPr>
          <w:ilvl w:val="0"/>
          <w:numId w:val="1007"/>
        </w:numPr>
      </w:pPr>
      <w:r>
        <w:t xml:space="preserve">views;</w:t>
      </w:r>
    </w:p>
    <w:p>
      <w:pPr>
        <w:pStyle w:val="Compact"/>
        <w:numPr>
          <w:ilvl w:val="0"/>
          <w:numId w:val="1007"/>
        </w:numPr>
      </w:pPr>
      <w:r>
        <w:t xml:space="preserve">materialized views;</w:t>
      </w:r>
    </w:p>
    <w:p>
      <w:pPr>
        <w:pStyle w:val="Compact"/>
        <w:numPr>
          <w:ilvl w:val="0"/>
          <w:numId w:val="1007"/>
        </w:numPr>
      </w:pPr>
      <w:r>
        <w:t xml:space="preserve">read models;</w:t>
      </w:r>
    </w:p>
    <w:p>
      <w:pPr>
        <w:pStyle w:val="Compact"/>
        <w:numPr>
          <w:ilvl w:val="0"/>
          <w:numId w:val="1007"/>
        </w:numPr>
      </w:pPr>
      <w:r>
        <w:t xml:space="preserve">projections;</w:t>
      </w:r>
    </w:p>
    <w:p>
      <w:pPr>
        <w:pStyle w:val="Compact"/>
        <w:numPr>
          <w:ilvl w:val="0"/>
          <w:numId w:val="1007"/>
        </w:numPr>
      </w:pPr>
      <w:r>
        <w:t xml:space="preserve">índices especializados.</w:t>
      </w:r>
    </w:p>
    <w:p>
      <w:pPr>
        <w:pStyle w:val="FirstParagraph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READ MODEL ≠ SOURCE OF TRUTH</w:t>
      </w:r>
    </w:p>
    <w:p>
      <w:r>
        <w:pict>
          <v:rect style="width:0;height:1.5pt" o:hralign="center" o:hrstd="t" o:hr="t"/>
        </w:pict>
      </w:r>
    </w:p>
    <w:bookmarkEnd w:id="28"/>
    <w:bookmarkStart w:id="29" w:name="cache"/>
    <w:p>
      <w:pPr>
        <w:pStyle w:val="Heading1"/>
      </w:pPr>
      <w:r>
        <w:t xml:space="preserve">20. Cache</w:t>
      </w:r>
    </w:p>
    <w:p>
      <w:pPr>
        <w:pStyle w:val="FirstParagraph"/>
      </w:pPr>
      <w:r>
        <w:t xml:space="preserve">Cache poderá acelerar consultas, mas:</w:t>
      </w:r>
    </w:p>
    <w:p>
      <w:pPr>
        <w:pStyle w:val="SourceCode"/>
      </w:pPr>
      <w:r>
        <w:rPr>
          <w:rStyle w:val="VerbatimChar"/>
        </w:rPr>
        <w:t xml:space="preserve">CACHE ≠ DATABASE</w:t>
      </w:r>
    </w:p>
    <w:p>
      <w:pPr>
        <w:pStyle w:val="FirstParagraph"/>
      </w:pPr>
      <w:r>
        <w:t xml:space="preserve">Nunca depender de cache para preservar:</w:t>
      </w:r>
    </w:p>
    <w:p>
      <w:pPr>
        <w:pStyle w:val="Compact"/>
        <w:numPr>
          <w:ilvl w:val="0"/>
          <w:numId w:val="1008"/>
        </w:numPr>
      </w:pPr>
      <w:r>
        <w:t xml:space="preserve">saldo financeiro;</w:t>
      </w:r>
    </w:p>
    <w:p>
      <w:pPr>
        <w:pStyle w:val="Compact"/>
        <w:numPr>
          <w:ilvl w:val="0"/>
          <w:numId w:val="1008"/>
        </w:numPr>
      </w:pPr>
      <w:r>
        <w:t xml:space="preserve">estoque;</w:t>
      </w:r>
    </w:p>
    <w:p>
      <w:pPr>
        <w:pStyle w:val="Compact"/>
        <w:numPr>
          <w:ilvl w:val="0"/>
          <w:numId w:val="1008"/>
        </w:numPr>
      </w:pPr>
      <w:r>
        <w:t xml:space="preserve">pedido;</w:t>
      </w:r>
    </w:p>
    <w:p>
      <w:pPr>
        <w:pStyle w:val="Compact"/>
        <w:numPr>
          <w:ilvl w:val="0"/>
          <w:numId w:val="1008"/>
        </w:numPr>
      </w:pPr>
      <w:r>
        <w:t xml:space="preserve">pagamento;</w:t>
      </w:r>
    </w:p>
    <w:p>
      <w:pPr>
        <w:pStyle w:val="Compact"/>
        <w:numPr>
          <w:ilvl w:val="0"/>
          <w:numId w:val="1008"/>
        </w:numPr>
      </w:pPr>
      <w:r>
        <w:t xml:space="preserve">autorização.</w:t>
      </w:r>
    </w:p>
    <w:p>
      <w:r>
        <w:pict>
          <v:rect style="width:0;height:1.5pt" o:hralign="center" o:hrstd="t" o:hr="t"/>
        </w:pict>
      </w:r>
    </w:p>
    <w:bookmarkEnd w:id="29"/>
    <w:bookmarkStart w:id="30" w:name="multi-tenancy"/>
    <w:p>
      <w:pPr>
        <w:pStyle w:val="Heading1"/>
      </w:pPr>
      <w:r>
        <w:t xml:space="preserve">21. Multi-Tenancy</w:t>
      </w:r>
    </w:p>
    <w:p>
      <w:pPr>
        <w:pStyle w:val="FirstParagraph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NO MULTI-TENANCY</w:t>
      </w:r>
    </w:p>
    <w:p>
      <w:pPr>
        <w:pStyle w:val="FirstParagraph"/>
      </w:pPr>
      <w:r>
        <w:t xml:space="preserve">Não será adicionado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indiscriminadamente às tabelas.</w:t>
      </w:r>
    </w:p>
    <w:p>
      <w:pPr>
        <w:pStyle w:val="BodyText"/>
      </w:pPr>
      <w:r>
        <w:t xml:space="preserve">Caso o produto evolua para SaaS multi-tenant, uma nova ADR deverá definir:</w:t>
      </w:r>
    </w:p>
    <w:p>
      <w:pPr>
        <w:pStyle w:val="Compact"/>
        <w:numPr>
          <w:ilvl w:val="0"/>
          <w:numId w:val="1009"/>
        </w:numPr>
      </w:pPr>
      <w:r>
        <w:t xml:space="preserve">tenant isolation;</w:t>
      </w:r>
    </w:p>
    <w:p>
      <w:pPr>
        <w:pStyle w:val="Compact"/>
        <w:numPr>
          <w:ilvl w:val="0"/>
          <w:numId w:val="1009"/>
        </w:numPr>
      </w:pPr>
      <w:r>
        <w:t xml:space="preserve">keys;</w:t>
      </w:r>
    </w:p>
    <w:p>
      <w:pPr>
        <w:pStyle w:val="Compact"/>
        <w:numPr>
          <w:ilvl w:val="0"/>
          <w:numId w:val="1009"/>
        </w:numPr>
      </w:pPr>
      <w:r>
        <w:t xml:space="preserve">indexes;</w:t>
      </w:r>
    </w:p>
    <w:p>
      <w:pPr>
        <w:pStyle w:val="Compact"/>
        <w:numPr>
          <w:ilvl w:val="0"/>
          <w:numId w:val="1009"/>
        </w:numPr>
      </w:pPr>
      <w:r>
        <w:t xml:space="preserve">authorization;</w:t>
      </w:r>
    </w:p>
    <w:p>
      <w:pPr>
        <w:pStyle w:val="Compact"/>
        <w:numPr>
          <w:ilvl w:val="0"/>
          <w:numId w:val="1009"/>
        </w:numPr>
      </w:pPr>
      <w:r>
        <w:t xml:space="preserve">partitioning;</w:t>
      </w:r>
    </w:p>
    <w:p>
      <w:pPr>
        <w:pStyle w:val="Compact"/>
        <w:numPr>
          <w:ilvl w:val="0"/>
          <w:numId w:val="1009"/>
        </w:numPr>
      </w:pPr>
      <w:r>
        <w:t xml:space="preserve">migrations;</w:t>
      </w:r>
    </w:p>
    <w:p>
      <w:pPr>
        <w:pStyle w:val="Compact"/>
        <w:numPr>
          <w:ilvl w:val="0"/>
          <w:numId w:val="1009"/>
        </w:numPr>
      </w:pPr>
      <w:r>
        <w:t xml:space="preserve">backup;</w:t>
      </w:r>
    </w:p>
    <w:p>
      <w:pPr>
        <w:pStyle w:val="Compact"/>
        <w:numPr>
          <w:ilvl w:val="0"/>
          <w:numId w:val="1009"/>
        </w:numPr>
      </w:pPr>
      <w:r>
        <w:t xml:space="preserve">data residency.</w:t>
      </w:r>
    </w:p>
    <w:p>
      <w:r>
        <w:pict>
          <v:rect style="width:0;height:1.5pt" o:hralign="center" o:hrstd="t" o:hr="t"/>
        </w:pict>
      </w:r>
    </w:p>
    <w:bookmarkEnd w:id="30"/>
    <w:bookmarkStart w:id="31" w:name="database-ownership"/>
    <w:p>
      <w:pPr>
        <w:pStyle w:val="Heading1"/>
      </w:pPr>
      <w:r>
        <w:t xml:space="preserve">22. Database Ownership</w:t>
      </w:r>
    </w:p>
    <w:p>
      <w:pPr>
        <w:pStyle w:val="FirstParagraph"/>
      </w:pPr>
      <w:r>
        <w:t xml:space="preserve">Cada contexto será proprietário lógico de suas tabelas.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 owns</w:t>
      </w:r>
      <w:r>
        <w:br/>
      </w:r>
      <w:r>
        <w:rPr>
          <w:rStyle w:val="VerbatimChar"/>
        </w:rPr>
        <w:t xml:space="preserve">  ledger_transactions</w:t>
      </w:r>
      <w:r>
        <w:br/>
      </w:r>
      <w:r>
        <w:rPr>
          <w:rStyle w:val="VerbatimChar"/>
        </w:rPr>
        <w:t xml:space="preserve">  ledger_entries</w:t>
      </w:r>
    </w:p>
    <w:p>
      <w:pPr>
        <w:pStyle w:val="FirstParagraph"/>
      </w:pPr>
      <w:r>
        <w:t xml:space="preserve">Outro módulo não poderá alterar essas tabelas diretamente para implementar sua própria lógica.</w:t>
      </w:r>
    </w:p>
    <w:p>
      <w:r>
        <w:pict>
          <v:rect style="width:0;height:1.5pt" o:hralign="center" o:hrstd="t" o:hr="t"/>
        </w:pict>
      </w:r>
    </w:p>
    <w:bookmarkEnd w:id="31"/>
    <w:bookmarkStart w:id="32" w:name="finance"/>
    <w:p>
      <w:pPr>
        <w:pStyle w:val="Heading1"/>
      </w:pPr>
      <w:r>
        <w:t xml:space="preserve">23. Finance</w:t>
      </w:r>
    </w:p>
    <w:p>
      <w:pPr>
        <w:pStyle w:val="FirstParagraph"/>
      </w:pPr>
      <w:r>
        <w:t xml:space="preserve">As tabelas financeiras serão especialmente protegidas.</w:t>
      </w:r>
    </w:p>
    <w:p>
      <w:pPr>
        <w:pStyle w:val="BodyText"/>
      </w:pPr>
      <w:r>
        <w:t xml:space="preserve">Ledger:</w:t>
      </w:r>
    </w:p>
    <w:p>
      <w:pPr>
        <w:pStyle w:val="SourceCode"/>
      </w:pPr>
      <w:r>
        <w:rPr>
          <w:rStyle w:val="VerbatimChar"/>
        </w:rPr>
        <w:t xml:space="preserve">IMMUTABLE</w:t>
      </w:r>
    </w:p>
    <w:p>
      <w:pPr>
        <w:pStyle w:val="FirstParagraph"/>
      </w:pPr>
      <w:r>
        <w:t xml:space="preserve">Correção:</w:t>
      </w:r>
    </w:p>
    <w:p>
      <w:pPr>
        <w:pStyle w:val="SourceCode"/>
      </w:pPr>
      <w:r>
        <w:rPr>
          <w:rStyle w:val="VerbatimChar"/>
        </w:rPr>
        <w:t xml:space="preserve">NEW TRANSACTION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UPDATE old ledger entry</w:t>
      </w:r>
    </w:p>
    <w:p>
      <w:r>
        <w:pict>
          <v:rect style="width:0;height:1.5pt" o:hralign="center" o:hrstd="t" o:hr="t"/>
        </w:pict>
      </w:r>
    </w:p>
    <w:bookmarkEnd w:id="32"/>
    <w:bookmarkStart w:id="33" w:name="audit"/>
    <w:p>
      <w:pPr>
        <w:pStyle w:val="Heading1"/>
      </w:pPr>
      <w:r>
        <w:t xml:space="preserve">24. Audit</w:t>
      </w:r>
    </w:p>
    <w:p>
      <w:pPr>
        <w:pStyle w:val="FirstParagraph"/>
      </w:pPr>
      <w:r>
        <w:t xml:space="preserve">Dados auditáveis deverão permanecer disponíveis conforme a política de retenção.</w:t>
      </w:r>
    </w:p>
    <w:p>
      <w:pPr>
        <w:pStyle w:val="BodyText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como mecanismo de correção histórica quando isso comprometer rastreabilidade.</w:t>
      </w:r>
    </w:p>
    <w:p>
      <w:r>
        <w:pict>
          <v:rect style="width:0;height:1.5pt" o:hralign="center" o:hrstd="t" o:hr="t"/>
        </w:pict>
      </w:r>
    </w:p>
    <w:bookmarkEnd w:id="33"/>
    <w:bookmarkStart w:id="34" w:name="concorrência"/>
    <w:p>
      <w:pPr>
        <w:pStyle w:val="Heading1"/>
      </w:pPr>
      <w:r>
        <w:t xml:space="preserve">25. Concorrência</w:t>
      </w:r>
    </w:p>
    <w:p>
      <w:pPr>
        <w:pStyle w:val="FirstParagraph"/>
      </w:pPr>
      <w:r>
        <w:t xml:space="preserve">Operações críticas deverão utilizar mecanismos transacionais adequados.</w:t>
      </w:r>
    </w:p>
    <w:p>
      <w:pPr>
        <w:pStyle w:val="BodyText"/>
      </w:pPr>
      <w:r>
        <w:t xml:space="preserve">Especialmente:</w:t>
      </w:r>
    </w:p>
    <w:p>
      <w:pPr>
        <w:pStyle w:val="SourceCode"/>
      </w:pP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Settlement</w:t>
      </w:r>
    </w:p>
    <w:p>
      <w:pPr>
        <w:pStyle w:val="FirstParagraph"/>
      </w:pPr>
      <w:r>
        <w:t xml:space="preserve">O sistema deverá impedir inconsistências causadas por requisições concorrentes.</w:t>
      </w:r>
    </w:p>
    <w:p>
      <w:r>
        <w:pict>
          <v:rect style="width:0;height:1.5pt" o:hralign="center" o:hrstd="t" o:hr="t"/>
        </w:pict>
      </w:r>
    </w:p>
    <w:bookmarkEnd w:id="34"/>
    <w:bookmarkStart w:id="35" w:name="performance"/>
    <w:p>
      <w:pPr>
        <w:pStyle w:val="Heading1"/>
      </w:pPr>
      <w:r>
        <w:t xml:space="preserve">26. Performance</w:t>
      </w:r>
    </w:p>
    <w:p>
      <w:pPr>
        <w:pStyle w:val="FirstParagraph"/>
      </w:pPr>
      <w:r>
        <w:t xml:space="preserve">Performance deverá ser medida antes de introduzir soluções complexas.</w:t>
      </w:r>
    </w:p>
    <w:p>
      <w:pPr>
        <w:pStyle w:val="BodyText"/>
      </w:pPr>
      <w:r>
        <w:t xml:space="preserve">Ordem:</w:t>
      </w:r>
    </w:p>
    <w:p>
      <w:pPr>
        <w:pStyle w:val="SourceCode"/>
      </w:pPr>
      <w:r>
        <w:rPr>
          <w:rStyle w:val="VerbatimChar"/>
        </w:rPr>
        <w:t xml:space="preserve">Query correta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Execution Plan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Optimization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Read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Eventual specialized storage</w:t>
      </w:r>
    </w:p>
    <w:p>
      <w:r>
        <w:pict>
          <v:rect style="width:0;height:1.5pt" o:hralign="center" o:hrstd="t" o:hr="t"/>
        </w:pict>
      </w:r>
    </w:p>
    <w:bookmarkEnd w:id="35"/>
    <w:bookmarkStart w:id="36" w:name="escalabilidade"/>
    <w:p>
      <w:pPr>
        <w:pStyle w:val="Heading1"/>
      </w:pPr>
      <w:r>
        <w:t xml:space="preserve">27. Escalabilidade</w:t>
      </w:r>
    </w:p>
    <w:p>
      <w:pPr>
        <w:pStyle w:val="FirstParagraph"/>
      </w:pPr>
      <w:r>
        <w:t xml:space="preserve">O PostgreSQL deverá inicialmente suportar a carga do MiniHub.</w:t>
      </w:r>
    </w:p>
    <w:p>
      <w:pPr>
        <w:pStyle w:val="BodyText"/>
      </w:pPr>
      <w:r>
        <w:t xml:space="preserve">Caso o crescimento exija:</w:t>
      </w:r>
    </w:p>
    <w:p>
      <w:pPr>
        <w:pStyle w:val="Compact"/>
        <w:numPr>
          <w:ilvl w:val="0"/>
          <w:numId w:val="1010"/>
        </w:numPr>
      </w:pPr>
      <w:r>
        <w:t xml:space="preserve">read replicas;</w:t>
      </w:r>
    </w:p>
    <w:p>
      <w:pPr>
        <w:pStyle w:val="Compact"/>
        <w:numPr>
          <w:ilvl w:val="0"/>
          <w:numId w:val="1010"/>
        </w:numPr>
      </w:pPr>
      <w:r>
        <w:t xml:space="preserve">partitioning;</w:t>
      </w:r>
    </w:p>
    <w:p>
      <w:pPr>
        <w:pStyle w:val="Compact"/>
        <w:numPr>
          <w:ilvl w:val="0"/>
          <w:numId w:val="1010"/>
        </w:numPr>
      </w:pPr>
      <w:r>
        <w:t xml:space="preserve">sharding;</w:t>
      </w:r>
    </w:p>
    <w:p>
      <w:pPr>
        <w:pStyle w:val="Compact"/>
        <w:numPr>
          <w:ilvl w:val="0"/>
          <w:numId w:val="1010"/>
        </w:numPr>
      </w:pPr>
      <w:r>
        <w:t xml:space="preserve">database extraction;</w:t>
      </w:r>
    </w:p>
    <w:p>
      <w:pPr>
        <w:pStyle w:val="FirstParagraph"/>
      </w:pPr>
      <w:r>
        <w:t xml:space="preserve">essas decisões deverão ser tratadas em ADRs específicas.</w:t>
      </w:r>
    </w:p>
    <w:p>
      <w:r>
        <w:pict>
          <v:rect style="width:0;height:1.5pt" o:hralign="center" o:hrstd="t" o:hr="t"/>
        </w:pict>
      </w:r>
    </w:p>
    <w:bookmarkEnd w:id="36"/>
    <w:bookmarkStart w:id="37" w:name="decisão-final"/>
    <w:p>
      <w:pPr>
        <w:pStyle w:val="Heading1"/>
      </w:pPr>
      <w:r>
        <w:t xml:space="preserve">28. Decisão final</w:t>
      </w:r>
    </w:p>
    <w:p>
      <w:pPr>
        <w:pStyle w:val="FirstParagraph"/>
      </w:pPr>
      <w:r>
        <w:rPr>
          <w:b/>
          <w:bCs/>
        </w:rPr>
        <w:t xml:space="preserve">ACEITO</w:t>
      </w:r>
    </w:p>
    <w:p>
      <w:pPr>
        <w:pStyle w:val="BlockText"/>
      </w:pPr>
      <w:r>
        <w:t xml:space="preserve">PostgreSQL será o banco de dados transacional principal do MiniHub, com integridade referencial, migrations, transações, UUID, UTC, ownership lógico por contexto e proteção especial para dados financeiros e auditáveis.</w:t>
      </w:r>
    </w:p>
    <w:p>
      <w:pPr>
        <w:pStyle w:val="FirstParagraph"/>
      </w:pPr>
      <w:r>
        <w:rPr>
          <w:b/>
          <w:bCs/>
        </w:rPr>
        <w:t xml:space="preserve">Status: CONGELADO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