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e2bcd5db47a71a7fafd22b44c328dba19899b7"/>
    <w:p>
      <w:pPr>
        <w:pStyle w:val="Heading1"/>
      </w:pPr>
      <w:r>
        <w:t xml:space="preserve">ADR-003 — Estratégia de Identificadores UUIDv7 do MiniHub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ADR-003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Setembro/2026</w:t>
      </w:r>
      <w:r>
        <w:br/>
      </w:r>
      <w:r>
        <w:rPr>
          <w:b/>
          <w:bCs/>
        </w:rPr>
        <w:t xml:space="preserve">Relacionamento:</w:t>
      </w:r>
      <w:r>
        <w:t xml:space="preserve"> </w:t>
      </w:r>
      <w:r>
        <w:t xml:space="preserve">A01 / ADR-002</w:t>
      </w:r>
    </w:p>
    <w:p>
      <w:r>
        <w:pict>
          <v:rect style="width:0;height:1.5pt" o:hralign="center" o:hrstd="t" o:hr="t"/>
        </w:pict>
      </w:r>
    </w:p>
    <w:bookmarkEnd w:id="9"/>
    <w:bookmarkStart w:id="10" w:name="decisão"/>
    <w:p>
      <w:pPr>
        <w:pStyle w:val="Heading1"/>
      </w:pPr>
      <w:r>
        <w:t xml:space="preserve">1. Decisão</w:t>
      </w:r>
    </w:p>
    <w:p>
      <w:pPr>
        <w:pStyle w:val="FirstParagraph"/>
      </w:pPr>
      <w:r>
        <w:t xml:space="preserve">O MiniHub utilizará:</w:t>
      </w:r>
    </w:p>
    <w:p>
      <w:pPr>
        <w:pStyle w:val="BlockText"/>
      </w:pPr>
      <w:r>
        <w:rPr>
          <w:b/>
          <w:bCs/>
        </w:rPr>
        <w:t xml:space="preserve">UUIDv7 como identificador primário das entidades de domínio.</w:t>
      </w:r>
    </w:p>
    <w:p>
      <w:pPr>
        <w:pStyle w:val="FirstParagraph"/>
      </w:pPr>
      <w:r>
        <w:t xml:space="preserve">O UUID será utilizado exclusivamente como identificador técnico.</w:t>
      </w:r>
    </w:p>
    <w:p>
      <w:r>
        <w:pict>
          <v:rect style="width:0;height:1.5pt" o:hralign="center" o:hrstd="t" o:hr="t"/>
        </w:pict>
      </w:r>
    </w:p>
    <w:bookmarkEnd w:id="10"/>
    <w:bookmarkStart w:id="11" w:name="motivo"/>
    <w:p>
      <w:pPr>
        <w:pStyle w:val="Heading1"/>
      </w:pPr>
      <w:r>
        <w:t xml:space="preserve">2. Motivo</w:t>
      </w:r>
    </w:p>
    <w:p>
      <w:pPr>
        <w:pStyle w:val="FirstParagraph"/>
      </w:pPr>
      <w:r>
        <w:t xml:space="preserve">O MiniHub possui uma quantidade significativa de entidades que poderão crescer ao longo do tempo.</w:t>
      </w:r>
    </w:p>
    <w:p>
      <w:pPr>
        <w:pStyle w:val="BodyText"/>
      </w:pPr>
      <w:r>
        <w:t xml:space="preserve">Entre elas:</w:t>
      </w:r>
    </w:p>
    <w:p>
      <w:pPr>
        <w:pStyle w:val="Compact"/>
        <w:numPr>
          <w:ilvl w:val="0"/>
          <w:numId w:val="1001"/>
        </w:numPr>
      </w:pPr>
      <w:r>
        <w:t xml:space="preserve">User;</w:t>
      </w:r>
    </w:p>
    <w:p>
      <w:pPr>
        <w:pStyle w:val="Compact"/>
        <w:numPr>
          <w:ilvl w:val="0"/>
          <w:numId w:val="1001"/>
        </w:numPr>
      </w:pPr>
      <w:r>
        <w:t xml:space="preserve">Seller;</w:t>
      </w:r>
    </w:p>
    <w:p>
      <w:pPr>
        <w:pStyle w:val="Compact"/>
        <w:numPr>
          <w:ilvl w:val="0"/>
          <w:numId w:val="1001"/>
        </w:numPr>
      </w:pPr>
      <w:r>
        <w:t xml:space="preserve">Vehicle;</w:t>
      </w:r>
    </w:p>
    <w:p>
      <w:pPr>
        <w:pStyle w:val="Compact"/>
        <w:numPr>
          <w:ilvl w:val="0"/>
          <w:numId w:val="1001"/>
        </w:numPr>
      </w:pPr>
      <w:r>
        <w:t xml:space="preserve">Variation;</w:t>
      </w:r>
    </w:p>
    <w:p>
      <w:pPr>
        <w:pStyle w:val="Compact"/>
        <w:numPr>
          <w:ilvl w:val="0"/>
          <w:numId w:val="1001"/>
        </w:numPr>
      </w:pPr>
      <w:r>
        <w:t xml:space="preserve">Collection Item;</w:t>
      </w:r>
    </w:p>
    <w:p>
      <w:pPr>
        <w:pStyle w:val="Compact"/>
        <w:numPr>
          <w:ilvl w:val="0"/>
          <w:numId w:val="1001"/>
        </w:numPr>
      </w:pPr>
      <w:r>
        <w:t xml:space="preserve">Offer;</w:t>
      </w:r>
    </w:p>
    <w:p>
      <w:pPr>
        <w:pStyle w:val="Compact"/>
        <w:numPr>
          <w:ilvl w:val="0"/>
          <w:numId w:val="1001"/>
        </w:numPr>
      </w:pPr>
      <w:r>
        <w:t xml:space="preserve">Inventory;</w:t>
      </w:r>
    </w:p>
    <w:p>
      <w:pPr>
        <w:pStyle w:val="Compact"/>
        <w:numPr>
          <w:ilvl w:val="0"/>
          <w:numId w:val="1001"/>
        </w:numPr>
      </w:pPr>
      <w:r>
        <w:t xml:space="preserve">Cart;</w:t>
      </w:r>
    </w:p>
    <w:p>
      <w:pPr>
        <w:pStyle w:val="Compact"/>
        <w:numPr>
          <w:ilvl w:val="0"/>
          <w:numId w:val="1001"/>
        </w:numPr>
      </w:pPr>
      <w:r>
        <w:t xml:space="preserve">Order;</w:t>
      </w:r>
    </w:p>
    <w:p>
      <w:pPr>
        <w:pStyle w:val="Compact"/>
        <w:numPr>
          <w:ilvl w:val="0"/>
          <w:numId w:val="1001"/>
        </w:numPr>
      </w:pPr>
      <w:r>
        <w:t xml:space="preserve">Payment;</w:t>
      </w:r>
    </w:p>
    <w:p>
      <w:pPr>
        <w:pStyle w:val="Compact"/>
        <w:numPr>
          <w:ilvl w:val="0"/>
          <w:numId w:val="1001"/>
        </w:numPr>
      </w:pPr>
      <w:r>
        <w:t xml:space="preserve">Shipment;</w:t>
      </w:r>
    </w:p>
    <w:p>
      <w:pPr>
        <w:pStyle w:val="Compact"/>
        <w:numPr>
          <w:ilvl w:val="0"/>
          <w:numId w:val="1001"/>
        </w:numPr>
      </w:pPr>
      <w:r>
        <w:t xml:space="preserve">Garage Item;</w:t>
      </w:r>
    </w:p>
    <w:p>
      <w:pPr>
        <w:pStyle w:val="Compact"/>
        <w:numPr>
          <w:ilvl w:val="0"/>
          <w:numId w:val="1001"/>
        </w:numPr>
      </w:pPr>
      <w:r>
        <w:t xml:space="preserve">Community Post;</w:t>
      </w:r>
    </w:p>
    <w:p>
      <w:pPr>
        <w:pStyle w:val="Compact"/>
        <w:numPr>
          <w:ilvl w:val="0"/>
          <w:numId w:val="1001"/>
        </w:numPr>
      </w:pPr>
      <w:r>
        <w:t xml:space="preserve">Promotion.</w:t>
      </w:r>
    </w:p>
    <w:p>
      <w:pPr>
        <w:pStyle w:val="FirstParagraph"/>
      </w:pPr>
      <w:r>
        <w:t xml:space="preserve">A utilização de UUID evita dependência de sequências numéricas locais e permite geração distribuída.</w:t>
      </w:r>
    </w:p>
    <w:p>
      <w:pPr>
        <w:pStyle w:val="BodyText"/>
      </w:pPr>
      <w:r>
        <w:t xml:space="preserve">O PostgreSQL define UUID como identificador de 128 bits e documenta UUIDv7 como uma alternativa com ordenação temporal.</w:t>
      </w:r>
    </w:p>
    <w:p>
      <w:r>
        <w:pict>
          <v:rect style="width:0;height:1.5pt" o:hralign="center" o:hrstd="t" o:hr="t"/>
        </w:pict>
      </w:r>
    </w:p>
    <w:bookmarkEnd w:id="11"/>
    <w:bookmarkStart w:id="12" w:name="uuidv7"/>
    <w:p>
      <w:pPr>
        <w:pStyle w:val="Heading1"/>
      </w:pPr>
      <w:r>
        <w:t xml:space="preserve">3. UUIDv7</w:t>
      </w:r>
    </w:p>
    <w:p>
      <w:pPr>
        <w:pStyle w:val="FirstParagraph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UUIDv7</w:t>
      </w:r>
      <w:r>
        <w:br/>
      </w:r>
      <w:r>
        <w:rPr>
          <w:rStyle w:val="VerbatimChar"/>
        </w:rPr>
        <w:t xml:space="preserve"> ├── componente temporal</w:t>
      </w:r>
      <w:r>
        <w:br/>
      </w:r>
      <w:r>
        <w:rPr>
          <w:rStyle w:val="VerbatimChar"/>
        </w:rPr>
        <w:t xml:space="preserve"> └── componente de unicidade</w:t>
      </w:r>
    </w:p>
    <w:p>
      <w:pPr>
        <w:pStyle w:val="FirstParagraph"/>
      </w:pPr>
      <w:r>
        <w:t xml:space="preserve">A característica temporal permite que IDs tenham ordenação aproximada de criação.</w:t>
      </w:r>
    </w:p>
    <w:p>
      <w:pPr>
        <w:pStyle w:val="BodyText"/>
      </w:pPr>
      <w:r>
        <w:t xml:space="preserve">Isso pode ser útil para:</w:t>
      </w:r>
    </w:p>
    <w:p>
      <w:pPr>
        <w:pStyle w:val="Compact"/>
        <w:numPr>
          <w:ilvl w:val="0"/>
          <w:numId w:val="1002"/>
        </w:numPr>
      </w:pPr>
      <w:r>
        <w:t xml:space="preserve">índices;</w:t>
      </w:r>
    </w:p>
    <w:p>
      <w:pPr>
        <w:pStyle w:val="Compact"/>
        <w:numPr>
          <w:ilvl w:val="0"/>
          <w:numId w:val="1002"/>
        </w:numPr>
      </w:pPr>
      <w:r>
        <w:t xml:space="preserve">ordenação;</w:t>
      </w:r>
    </w:p>
    <w:p>
      <w:pPr>
        <w:pStyle w:val="Compact"/>
        <w:numPr>
          <w:ilvl w:val="0"/>
          <w:numId w:val="1002"/>
        </w:numPr>
      </w:pPr>
      <w:r>
        <w:t xml:space="preserve">paginação;</w:t>
      </w:r>
    </w:p>
    <w:p>
      <w:pPr>
        <w:pStyle w:val="Compact"/>
        <w:numPr>
          <w:ilvl w:val="0"/>
          <w:numId w:val="1002"/>
        </w:numPr>
      </w:pPr>
      <w:r>
        <w:t xml:space="preserve">investigação;</w:t>
      </w:r>
    </w:p>
    <w:p>
      <w:pPr>
        <w:pStyle w:val="Compact"/>
        <w:numPr>
          <w:ilvl w:val="0"/>
          <w:numId w:val="1002"/>
        </w:numPr>
      </w:pPr>
      <w:r>
        <w:t xml:space="preserve">logs;</w:t>
      </w:r>
    </w:p>
    <w:p>
      <w:pPr>
        <w:pStyle w:val="Compact"/>
        <w:numPr>
          <w:ilvl w:val="0"/>
          <w:numId w:val="1002"/>
        </w:numPr>
      </w:pPr>
      <w:r>
        <w:t xml:space="preserve">tracing.</w:t>
      </w:r>
    </w:p>
    <w:p>
      <w:r>
        <w:pict>
          <v:rect style="width:0;height:1.5pt" o:hralign="center" o:hrstd="t" o:hr="t"/>
        </w:pict>
      </w:r>
    </w:p>
    <w:bookmarkEnd w:id="12"/>
    <w:bookmarkStart w:id="13" w:name="exemplo"/>
    <w:p>
      <w:pPr>
        <w:pStyle w:val="Heading1"/>
      </w:pPr>
      <w:r>
        <w:t xml:space="preserve">4. Exemplo</w:t>
      </w:r>
    </w:p>
    <w:p>
      <w:pPr>
        <w:pStyle w:val="SourceCode"/>
      </w:pPr>
      <w:r>
        <w:rPr>
          <w:rStyle w:val="VerbatimChar"/>
        </w:rPr>
        <w:t xml:space="preserve">019535d9-3df7-79fb-b466-fa907fa17f9e</w:t>
      </w:r>
    </w:p>
    <w:p>
      <w:pPr>
        <w:pStyle w:val="FirstParagraph"/>
      </w:pPr>
      <w:r>
        <w:t xml:space="preserve">O formato é um UUID padrão.</w:t>
      </w:r>
    </w:p>
    <w:p>
      <w:pPr>
        <w:pStyle w:val="BodyText"/>
      </w:pPr>
      <w:r>
        <w:t xml:space="preserve">O significado comercial não deverá ser inferido do valor.</w:t>
      </w:r>
    </w:p>
    <w:p>
      <w:r>
        <w:pict>
          <v:rect style="width:0;height:1.5pt" o:hralign="center" o:hrstd="t" o:hr="t"/>
        </w:pict>
      </w:r>
    </w:p>
    <w:bookmarkEnd w:id="13"/>
    <w:bookmarkStart w:id="14" w:name="uuid-não-é-código-comercial"/>
    <w:p>
      <w:pPr>
        <w:pStyle w:val="Heading1"/>
      </w:pPr>
      <w:r>
        <w:t xml:space="preserve">5. UUID não é Código Comercial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 ID</w:t>
      </w:r>
      <w:r>
        <w:br/>
      </w:r>
      <w:r>
        <w:rPr>
          <w:rStyle w:val="VerbatimChar"/>
        </w:rPr>
        <w:t xml:space="preserve">019535d9-....</w:t>
      </w:r>
      <w:r>
        <w:br/>
      </w:r>
      <w:r>
        <w:br/>
      </w:r>
      <w:r>
        <w:rPr>
          <w:rStyle w:val="VerbatimChar"/>
        </w:rPr>
        <w:t xml:space="preserve">Manufacturer Code</w:t>
      </w:r>
      <w:r>
        <w:br/>
      </w:r>
      <w:r>
        <w:rPr>
          <w:rStyle w:val="VerbatimChar"/>
        </w:rPr>
        <w:t xml:space="preserve">HYW58</w:t>
      </w:r>
      <w:r>
        <w:br/>
      </w:r>
      <w:r>
        <w:br/>
      </w: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HW-HYW58-2026</w:t>
      </w:r>
    </w:p>
    <w:p>
      <w:pPr>
        <w:pStyle w:val="FirstParagraph"/>
      </w:pPr>
      <w:r>
        <w:t xml:space="preserve">São conceitos diferentes.</w:t>
      </w:r>
    </w:p>
    <w:p>
      <w:pPr>
        <w:pStyle w:val="SourceCode"/>
      </w:pPr>
      <w:r>
        <w:rPr>
          <w:rStyle w:val="VerbatimChar"/>
        </w:rPr>
        <w:t xml:space="preserve">UUID ≠ SKU</w:t>
      </w:r>
      <w:r>
        <w:br/>
      </w:r>
      <w:r>
        <w:rPr>
          <w:rStyle w:val="VerbatimChar"/>
        </w:rPr>
        <w:t xml:space="preserve">UUID ≠ Código do Fabricante</w:t>
      </w:r>
      <w:r>
        <w:br/>
      </w:r>
      <w:r>
        <w:rPr>
          <w:rStyle w:val="VerbatimChar"/>
        </w:rPr>
        <w:t xml:space="preserve">UUID ≠ Código da Série</w:t>
      </w:r>
      <w:r>
        <w:br/>
      </w:r>
      <w:r>
        <w:rPr>
          <w:rStyle w:val="VerbatimChar"/>
        </w:rPr>
        <w:t xml:space="preserve">UUID ≠ Código da Coleção</w:t>
      </w:r>
    </w:p>
    <w:p>
      <w:r>
        <w:pict>
          <v:rect style="width:0;height:1.5pt" o:hralign="center" o:hrstd="t" o:hr="t"/>
        </w:pict>
      </w:r>
    </w:p>
    <w:bookmarkEnd w:id="14"/>
    <w:bookmarkStart w:id="15" w:name="Xa79eabf565b72cd555d1a1d69f80cc43345f0f6"/>
    <w:p>
      <w:pPr>
        <w:pStyle w:val="Heading1"/>
      </w:pPr>
      <w:r>
        <w:t xml:space="preserve">6. UUID não deverá ser exposto como informação comercial</w:t>
      </w:r>
    </w:p>
    <w:p>
      <w:pPr>
        <w:pStyle w:val="FirstParagraph"/>
      </w:pPr>
      <w:r>
        <w:t xml:space="preserve">O sistema poderá utilizar UUID nas URLs:</w:t>
      </w:r>
    </w:p>
    <w:p>
      <w:pPr>
        <w:pStyle w:val="SourceCode"/>
      </w:pPr>
      <w:r>
        <w:rPr>
          <w:rStyle w:val="VerbatimChar"/>
        </w:rPr>
        <w:t xml:space="preserve">/catalog/variations/{uuid}</w:t>
      </w:r>
    </w:p>
    <w:p>
      <w:pPr>
        <w:pStyle w:val="FirstParagraph"/>
      </w:pPr>
      <w:r>
        <w:t xml:space="preserve">mas o frontend deverá apresentar ao usuário os códigos comerciais quando fizer sentido.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Código: HYW58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Miniatura 019535d9...</w:t>
      </w:r>
    </w:p>
    <w:p>
      <w:r>
        <w:pict>
          <v:rect style="width:0;height:1.5pt" o:hralign="center" o:hrstd="t" o:hr="t"/>
        </w:pict>
      </w:r>
    </w:p>
    <w:bookmarkEnd w:id="15"/>
    <w:bookmarkStart w:id="16" w:name="geração"/>
    <w:p>
      <w:pPr>
        <w:pStyle w:val="Heading1"/>
      </w:pPr>
      <w:r>
        <w:t xml:space="preserve">7. Geração</w:t>
      </w:r>
    </w:p>
    <w:p>
      <w:pPr>
        <w:pStyle w:val="FirstParagraph"/>
      </w:pPr>
      <w:r>
        <w:t xml:space="preserve">A geração deverá ocorrer de forma centralizada.</w:t>
      </w:r>
    </w:p>
    <w:p>
      <w:pPr>
        <w:pStyle w:val="BodyText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UUID Generator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UUIDv7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uuidv7()</w:t>
      </w:r>
    </w:p>
    <w:p>
      <w:pPr>
        <w:pStyle w:val="FirstParagraph"/>
      </w:pPr>
      <w:r>
        <w:t xml:space="preserve">quando a geração no banco for escolhida.</w:t>
      </w:r>
    </w:p>
    <w:p>
      <w:pPr>
        <w:pStyle w:val="BodyText"/>
      </w:pPr>
      <w:r>
        <w:t xml:space="preserve">PostgreSQL atual documenta</w:t>
      </w:r>
      <w:r>
        <w:t xml:space="preserve"> </w:t>
      </w:r>
      <w:r>
        <w:rPr>
          <w:rStyle w:val="VerbatimChar"/>
        </w:rPr>
        <w:t xml:space="preserve">uuidv7()</w:t>
      </w:r>
      <w:r>
        <w:t xml:space="preserve"> </w:t>
      </w:r>
      <w:r>
        <w:t xml:space="preserve">como função nativa para geração de UUIDv7.</w:t>
      </w:r>
    </w:p>
    <w:p>
      <w:r>
        <w:pict>
          <v:rect style="width:0;height:1.5pt" o:hralign="center" o:hrstd="t" o:hr="t"/>
        </w:pict>
      </w:r>
    </w:p>
    <w:bookmarkEnd w:id="16"/>
    <w:bookmarkStart w:id="17" w:name="não-reutilização"/>
    <w:p>
      <w:pPr>
        <w:pStyle w:val="Heading1"/>
      </w:pPr>
      <w:r>
        <w:t xml:space="preserve">8. Não Reutilização</w:t>
      </w:r>
    </w:p>
    <w:p>
      <w:pPr>
        <w:pStyle w:val="FirstParagraph"/>
      </w:pPr>
      <w:r>
        <w:t xml:space="preserve">Depois que um UUID for utilizado, ele nunca deverá ser reutilizado.</w:t>
      </w:r>
    </w:p>
    <w:p>
      <w:pPr>
        <w:pStyle w:val="BodyText"/>
      </w:pPr>
      <w:r>
        <w:t xml:space="preserve">Mesmo que a entidade seja removida logicamente.</w:t>
      </w:r>
    </w:p>
    <w:p>
      <w:r>
        <w:pict>
          <v:rect style="width:0;height:1.5pt" o:hralign="center" o:hrstd="t" o:hr="t"/>
        </w:pict>
      </w:r>
    </w:p>
    <w:bookmarkEnd w:id="17"/>
    <w:bookmarkStart w:id="18" w:name="imutabilidade"/>
    <w:p>
      <w:pPr>
        <w:pStyle w:val="Heading1"/>
      </w:pPr>
      <w:r>
        <w:t xml:space="preserve">9. Imutabilidade</w:t>
      </w:r>
    </w:p>
    <w:p>
      <w:pPr>
        <w:pStyle w:val="FirstParagraph"/>
      </w:pPr>
      <w:r>
        <w:t xml:space="preserve">O ID de uma entidade nunca deverá ser alterado.</w:t>
      </w:r>
    </w:p>
    <w:p>
      <w:pPr>
        <w:pStyle w:val="BodyText"/>
      </w:pPr>
      <w:r>
        <w:t xml:space="preserve">Errado:</w:t>
      </w:r>
    </w:p>
    <w:p>
      <w:pPr>
        <w:pStyle w:val="SourceCode"/>
      </w:pPr>
      <w:r>
        <w:rPr>
          <w:rStyle w:val="VerbatimChar"/>
        </w:rPr>
        <w:t xml:space="preserve">UPDATE variation</w:t>
      </w:r>
      <w:r>
        <w:br/>
      </w:r>
      <w:r>
        <w:rPr>
          <w:rStyle w:val="VerbatimChar"/>
        </w:rPr>
        <w:t xml:space="preserve">SET id = ...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id permanece</w:t>
      </w:r>
    </w:p>
    <w:p>
      <w:pPr>
        <w:pStyle w:val="FirstParagraph"/>
      </w:pPr>
      <w:r>
        <w:t xml:space="preserve">e os demais atributos podem evoluir conforme as regras do domínio.</w:t>
      </w:r>
    </w:p>
    <w:p>
      <w:r>
        <w:pict>
          <v:rect style="width:0;height:1.5pt" o:hralign="center" o:hrstd="t" o:hr="t"/>
        </w:pict>
      </w:r>
    </w:p>
    <w:bookmarkEnd w:id="18"/>
    <w:bookmarkStart w:id="19" w:name="foreign-keys"/>
    <w:p>
      <w:pPr>
        <w:pStyle w:val="Heading1"/>
      </w:pPr>
      <w:r>
        <w:t xml:space="preserve">10. Foreign Keys</w:t>
      </w:r>
    </w:p>
    <w:p>
      <w:pPr>
        <w:pStyle w:val="FirstParagraph"/>
      </w:pPr>
      <w:r>
        <w:t xml:space="preserve">Relacionamentos deverão utilizar UUID.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orders.id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order_items.order_id</w:t>
      </w:r>
    </w:p>
    <w:p>
      <w:r>
        <w:pict>
          <v:rect style="width:0;height:1.5pt" o:hralign="center" o:hrstd="t" o:hr="t"/>
        </w:pict>
      </w:r>
    </w:p>
    <w:bookmarkEnd w:id="19"/>
    <w:bookmarkStart w:id="20" w:name="índices"/>
    <w:p>
      <w:pPr>
        <w:pStyle w:val="Heading1"/>
      </w:pPr>
      <w:r>
        <w:t xml:space="preserve">11. Índices</w:t>
      </w:r>
    </w:p>
    <w:p>
      <w:pPr>
        <w:pStyle w:val="FirstParagraph"/>
      </w:pPr>
      <w:r>
        <w:t xml:space="preserve">Primary keys UUID deverão possuir índices apropriados.</w:t>
      </w:r>
    </w:p>
    <w:p>
      <w:pPr>
        <w:pStyle w:val="BodyText"/>
      </w:pPr>
      <w:r>
        <w:t xml:space="preserve">Índices secundários deverão ser criados para campos usados em:</w:t>
      </w:r>
    </w:p>
    <w:p>
      <w:pPr>
        <w:pStyle w:val="Compact"/>
        <w:numPr>
          <w:ilvl w:val="0"/>
          <w:numId w:val="1003"/>
        </w:numPr>
      </w:pPr>
      <w:r>
        <w:t xml:space="preserve">busca;</w:t>
      </w:r>
    </w:p>
    <w:p>
      <w:pPr>
        <w:pStyle w:val="Compact"/>
        <w:numPr>
          <w:ilvl w:val="0"/>
          <w:numId w:val="1003"/>
        </w:numPr>
      </w:pPr>
      <w:r>
        <w:t xml:space="preserve">filtros;</w:t>
      </w:r>
    </w:p>
    <w:p>
      <w:pPr>
        <w:pStyle w:val="Compact"/>
        <w:numPr>
          <w:ilvl w:val="0"/>
          <w:numId w:val="1003"/>
        </w:numPr>
      </w:pPr>
      <w:r>
        <w:t xml:space="preserve">relacionamento;</w:t>
      </w:r>
    </w:p>
    <w:p>
      <w:pPr>
        <w:pStyle w:val="Compact"/>
        <w:numPr>
          <w:ilvl w:val="0"/>
          <w:numId w:val="1003"/>
        </w:numPr>
      </w:pPr>
      <w:r>
        <w:t xml:space="preserve">ordenação.</w:t>
      </w:r>
    </w:p>
    <w:p>
      <w:r>
        <w:pict>
          <v:rect style="width:0;height:1.5pt" o:hralign="center" o:hrstd="t" o:hr="t"/>
        </w:pict>
      </w:r>
    </w:p>
    <w:bookmarkEnd w:id="20"/>
    <w:bookmarkStart w:id="21" w:name="paginação"/>
    <w:p>
      <w:pPr>
        <w:pStyle w:val="Heading1"/>
      </w:pPr>
      <w:r>
        <w:t xml:space="preserve">12. Paginação</w:t>
      </w:r>
    </w:p>
    <w:p>
      <w:pPr>
        <w:pStyle w:val="FirstParagraph"/>
      </w:pPr>
      <w:r>
        <w:t xml:space="preserve">UUIDv7 poderá ser utilizado como parte de estratégias de paginação por cursor quando a ordenação temporal do identificador for apropriada.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GET /orders?after={last_order_id}</w:t>
      </w:r>
    </w:p>
    <w:p>
      <w:pPr>
        <w:pStyle w:val="FirstParagraph"/>
      </w:pPr>
      <w:r>
        <w:t xml:space="preserve">A implementação definitiva da cursor pagination será definida no padrão de API.</w:t>
      </w:r>
    </w:p>
    <w:p>
      <w:r>
        <w:pict>
          <v:rect style="width:0;height:1.5pt" o:hralign="center" o:hrstd="t" o:hr="t"/>
        </w:pict>
      </w:r>
    </w:p>
    <w:bookmarkEnd w:id="21"/>
    <w:bookmarkStart w:id="22" w:name="segurança"/>
    <w:p>
      <w:pPr>
        <w:pStyle w:val="Heading1"/>
      </w:pPr>
      <w:r>
        <w:t xml:space="preserve">13. Segurança</w:t>
      </w:r>
    </w:p>
    <w:p>
      <w:pPr>
        <w:pStyle w:val="FirstParagraph"/>
      </w:pPr>
      <w:r>
        <w:t xml:space="preserve">UUID não deve ser considerado mecanismo de autorização.</w:t>
      </w:r>
    </w:p>
    <w:p>
      <w:pPr>
        <w:pStyle w:val="BodyText"/>
      </w:pPr>
      <w:r>
        <w:t xml:space="preserve">Exemplo errado:</w:t>
      </w:r>
    </w:p>
    <w:p>
      <w:pPr>
        <w:pStyle w:val="SourceCode"/>
      </w:pPr>
      <w:r>
        <w:rPr>
          <w:rStyle w:val="VerbatimChar"/>
        </w:rPr>
        <w:t xml:space="preserve">"Como o ID é difícil de adivinhar,</w:t>
      </w:r>
      <w:r>
        <w:br/>
      </w:r>
      <w:r>
        <w:rPr>
          <w:rStyle w:val="VerbatimChar"/>
        </w:rPr>
        <w:t xml:space="preserve">não preciso verificar ownership."</w:t>
      </w:r>
    </w:p>
    <w:p>
      <w:pPr>
        <w:pStyle w:val="FirstParagraph"/>
      </w:pPr>
      <w:r>
        <w:t xml:space="preserve">Sempre deverá existir: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Ownership</w:t>
      </w:r>
    </w:p>
    <w:p>
      <w:r>
        <w:pict>
          <v:rect style="width:0;height:1.5pt" o:hralign="center" o:hrstd="t" o:hr="t"/>
        </w:pict>
      </w:r>
    </w:p>
    <w:bookmarkEnd w:id="22"/>
    <w:bookmarkStart w:id="23" w:name="public-ids"/>
    <w:p>
      <w:pPr>
        <w:pStyle w:val="Heading1"/>
      </w:pPr>
      <w:r>
        <w:t xml:space="preserve">14. Public IDs</w:t>
      </w:r>
    </w:p>
    <w:p>
      <w:pPr>
        <w:pStyle w:val="FirstParagraph"/>
      </w:pPr>
      <w:r>
        <w:t xml:space="preserve">Em situações específicas, poderá ser criada uma camada de identificador público diferente do UUID interno.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internal_id</w:t>
      </w:r>
      <w:r>
        <w:br/>
      </w:r>
      <w:r>
        <w:rPr>
          <w:rStyle w:val="VerbatimChar"/>
        </w:rPr>
        <w:t xml:space="preserve">public_reference</w:t>
      </w:r>
    </w:p>
    <w:p>
      <w:pPr>
        <w:pStyle w:val="FirstParagraph"/>
      </w:pPr>
      <w:r>
        <w:t xml:space="preserve">Isso somente será adotado quando existir necessidade real.</w:t>
      </w:r>
    </w:p>
    <w:p>
      <w:pPr>
        <w:pStyle w:val="BodyText"/>
      </w:pPr>
      <w:r>
        <w:t xml:space="preserve">Não será criado por padrão.</w:t>
      </w:r>
    </w:p>
    <w:p>
      <w:r>
        <w:pict>
          <v:rect style="width:0;height:1.5pt" o:hralign="center" o:hrstd="t" o:hr="t"/>
        </w:pict>
      </w:r>
    </w:p>
    <w:bookmarkEnd w:id="23"/>
    <w:bookmarkStart w:id="24" w:name="código-comercial"/>
    <w:p>
      <w:pPr>
        <w:pStyle w:val="Heading1"/>
      </w:pPr>
      <w:r>
        <w:t xml:space="preserve">15. Código Comercial</w:t>
      </w:r>
    </w:p>
    <w:p>
      <w:pPr>
        <w:pStyle w:val="FirstParagraph"/>
      </w:pPr>
      <w:r>
        <w:t xml:space="preserve">Quando uma entidade possuir código comercial, este será tratado separadamente.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manufacturer_code</w:t>
      </w:r>
      <w:r>
        <w:br/>
      </w:r>
      <w:r>
        <w:rPr>
          <w:rStyle w:val="VerbatimChar"/>
        </w:rPr>
        <w:t xml:space="preserve"> ├── brand</w:t>
      </w:r>
      <w:r>
        <w:br/>
      </w:r>
      <w:r>
        <w:rPr>
          <w:rStyle w:val="VerbatimChar"/>
        </w:rPr>
        <w:t xml:space="preserve"> └── model</w:t>
      </w:r>
    </w:p>
    <w:p>
      <w:r>
        <w:pict>
          <v:rect style="width:0;height:1.5pt" o:hralign="center" o:hrstd="t" o:hr="t"/>
        </w:pict>
      </w:r>
    </w:p>
    <w:bookmarkEnd w:id="24"/>
    <w:bookmarkStart w:id="25" w:name="identificadores-legíveis"/>
    <w:p>
      <w:pPr>
        <w:pStyle w:val="Heading1"/>
      </w:pPr>
      <w:r>
        <w:t xml:space="preserve">16. Identificadores Legíveis</w:t>
      </w:r>
    </w:p>
    <w:p>
      <w:pPr>
        <w:pStyle w:val="FirstParagraph"/>
      </w:pPr>
      <w:r>
        <w:t xml:space="preserve">Quando necessário, poderão existir:</w:t>
      </w:r>
    </w:p>
    <w:p>
      <w:pPr>
        <w:pStyle w:val="SourceCode"/>
      </w:pP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external_reference</w:t>
      </w:r>
    </w:p>
    <w:p>
      <w:pPr>
        <w:pStyle w:val="FirstParagraph"/>
      </w:pPr>
      <w:r>
        <w:t xml:space="preserve">Esses campos não substituirão o UUID interno.</w:t>
      </w:r>
    </w:p>
    <w:p>
      <w:r>
        <w:pict>
          <v:rect style="width:0;height:1.5pt" o:hralign="center" o:hrstd="t" o:hr="t"/>
        </w:pict>
      </w:r>
    </w:p>
    <w:bookmarkEnd w:id="25"/>
    <w:bookmarkStart w:id="26" w:name="integrações-externas"/>
    <w:p>
      <w:pPr>
        <w:pStyle w:val="Heading1"/>
      </w:pPr>
      <w:r>
        <w:t xml:space="preserve">17. Integrações Externas</w:t>
      </w:r>
    </w:p>
    <w:p>
      <w:pPr>
        <w:pStyle w:val="FirstParagraph"/>
      </w:pPr>
      <w:r>
        <w:t xml:space="preserve">IDs externos deverão ser armazenados separadamente.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├── id</w:t>
      </w:r>
      <w:r>
        <w:br/>
      </w:r>
      <w:r>
        <w:rPr>
          <w:rStyle w:val="VerbatimChar"/>
        </w:rPr>
        <w:t xml:space="preserve"> ├── provider</w:t>
      </w:r>
      <w:r>
        <w:br/>
      </w:r>
      <w:r>
        <w:rPr>
          <w:rStyle w:val="VerbatimChar"/>
        </w:rPr>
        <w:t xml:space="preserve"> └── provider_payment_id</w:t>
      </w:r>
    </w:p>
    <w:p>
      <w:pPr>
        <w:pStyle w:val="FirstParagraph"/>
      </w:pPr>
      <w:r>
        <w:t xml:space="preserve">Nunca utilizar:</w:t>
      </w:r>
    </w:p>
    <w:p>
      <w:pPr>
        <w:pStyle w:val="SourceCode"/>
      </w:pPr>
      <w:r>
        <w:rPr>
          <w:rStyle w:val="VerbatimChar"/>
        </w:rPr>
        <w:t xml:space="preserve">provider_payment_id</w:t>
      </w:r>
    </w:p>
    <w:p>
      <w:pPr>
        <w:pStyle w:val="FirstParagraph"/>
      </w:pPr>
      <w:r>
        <w:t xml:space="preserve">como Primary Key do domínio MiniHub.</w:t>
      </w:r>
    </w:p>
    <w:p>
      <w:r>
        <w:pict>
          <v:rect style="width:0;height:1.5pt" o:hralign="center" o:hrstd="t" o:hr="t"/>
        </w:pict>
      </w:r>
    </w:p>
    <w:bookmarkEnd w:id="26"/>
    <w:bookmarkStart w:id="27" w:name="eventos"/>
    <w:p>
      <w:pPr>
        <w:pStyle w:val="Heading1"/>
      </w:pPr>
      <w:r>
        <w:t xml:space="preserve">18. Eventos</w:t>
      </w:r>
    </w:p>
    <w:p>
      <w:pPr>
        <w:pStyle w:val="FirstParagraph"/>
      </w:pPr>
      <w:r>
        <w:t xml:space="preserve">Eventos também possuirão identificador próprio.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</w:p>
    <w:p>
      <w:pPr>
        <w:pStyle w:val="FirstParagraph"/>
      </w:pPr>
      <w:r>
        <w:t xml:space="preserve">Isso permite:</w:t>
      </w:r>
    </w:p>
    <w:p>
      <w:pPr>
        <w:pStyle w:val="Compact"/>
        <w:numPr>
          <w:ilvl w:val="0"/>
          <w:numId w:val="1004"/>
        </w:numPr>
      </w:pPr>
      <w:r>
        <w:t xml:space="preserve">idempotência;</w:t>
      </w:r>
    </w:p>
    <w:p>
      <w:pPr>
        <w:pStyle w:val="Compact"/>
        <w:numPr>
          <w:ilvl w:val="0"/>
          <w:numId w:val="1004"/>
        </w:numPr>
      </w:pPr>
      <w:r>
        <w:t xml:space="preserve">rastreamento;</w:t>
      </w:r>
    </w:p>
    <w:p>
      <w:pPr>
        <w:pStyle w:val="Compact"/>
        <w:numPr>
          <w:ilvl w:val="0"/>
          <w:numId w:val="1004"/>
        </w:numPr>
      </w:pPr>
      <w:r>
        <w:t xml:space="preserve">investigação;</w:t>
      </w:r>
    </w:p>
    <w:p>
      <w:pPr>
        <w:pStyle w:val="Compact"/>
        <w:numPr>
          <w:ilvl w:val="0"/>
          <w:numId w:val="1004"/>
        </w:numPr>
      </w:pPr>
      <w:r>
        <w:t xml:space="preserve">deduplicação.</w:t>
      </w:r>
    </w:p>
    <w:p>
      <w:r>
        <w:pict>
          <v:rect style="width:0;height:1.5pt" o:hralign="center" o:hrstd="t" o:hr="t"/>
        </w:pict>
      </w:r>
    </w:p>
    <w:bookmarkEnd w:id="27"/>
    <w:bookmarkStart w:id="28" w:name="idempotência"/>
    <w:p>
      <w:pPr>
        <w:pStyle w:val="Heading1"/>
      </w:pPr>
      <w:r>
        <w:t xml:space="preserve">19. Idempotência</w:t>
      </w:r>
    </w:p>
    <w:p>
      <w:pPr>
        <w:pStyle w:val="FirstParagraph"/>
      </w:pPr>
      <w:r>
        <w:t xml:space="preserve">A chave de idempotência não será o UUID da entidade.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Idempotency-Key:</w:t>
      </w:r>
      <w:r>
        <w:br/>
      </w:r>
      <w:r>
        <w:rPr>
          <w:rStyle w:val="VerbatimChar"/>
        </w:rPr>
        <w:t xml:space="preserve">01JABC...</w:t>
      </w:r>
    </w:p>
    <w:p>
      <w:pPr>
        <w:pStyle w:val="FirstParagraph"/>
      </w:pPr>
      <w:r>
        <w:t xml:space="preserve">poderá estar associada à operação:</w:t>
      </w:r>
    </w:p>
    <w:p>
      <w:pPr>
        <w:pStyle w:val="SourceCode"/>
      </w:pPr>
      <w:r>
        <w:rPr>
          <w:rStyle w:val="VerbatimChar"/>
        </w:rPr>
        <w:t xml:space="preserve">POST /orders</w:t>
      </w:r>
    </w:p>
    <w:p>
      <w:pPr>
        <w:pStyle w:val="FirstParagraph"/>
      </w:pPr>
      <w:r>
        <w:t xml:space="preserve">mas continuará sendo uma preocupação diferente do:</w:t>
      </w:r>
    </w:p>
    <w:p>
      <w:pPr>
        <w:pStyle w:val="SourceCode"/>
      </w:pPr>
      <w:r>
        <w:rPr>
          <w:rStyle w:val="VerbatimChar"/>
        </w:rPr>
        <w:t xml:space="preserve">order.id</w:t>
      </w:r>
    </w:p>
    <w:p>
      <w:r>
        <w:pict>
          <v:rect style="width:0;height:1.5pt" o:hralign="center" o:hrstd="t" o:hr="t"/>
        </w:pict>
      </w:r>
    </w:p>
    <w:bookmarkEnd w:id="28"/>
    <w:bookmarkStart w:id="29" w:name="logs"/>
    <w:p>
      <w:pPr>
        <w:pStyle w:val="Heading1"/>
      </w:pPr>
      <w:r>
        <w:t xml:space="preserve">20. Logs</w:t>
      </w:r>
    </w:p>
    <w:p>
      <w:pPr>
        <w:pStyle w:val="FirstParagraph"/>
      </w:pPr>
      <w:r>
        <w:t xml:space="preserve">Logs deverão registrar UUIDs relevantes: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Isso permitirá rastrear uma operação entre módulos.</w:t>
      </w:r>
    </w:p>
    <w:p>
      <w:r>
        <w:pict>
          <v:rect style="width:0;height:1.5pt" o:hralign="center" o:hrstd="t" o:hr="t"/>
        </w:pict>
      </w:r>
    </w:p>
    <w:bookmarkEnd w:id="29"/>
    <w:bookmarkStart w:id="30" w:name="regra-de-não-exposição-de-semântica"/>
    <w:p>
      <w:pPr>
        <w:pStyle w:val="Heading1"/>
      </w:pPr>
      <w:r>
        <w:t xml:space="preserve">21. Regra de Não Exposição de Semântica</w:t>
      </w:r>
    </w:p>
    <w:p>
      <w:pPr>
        <w:pStyle w:val="FirstParagraph"/>
      </w:pPr>
      <w:r>
        <w:t xml:space="preserve">O sistema não deverá criar UUIDs com significado codificado.</w:t>
      </w:r>
    </w:p>
    <w:p>
      <w:pPr>
        <w:pStyle w:val="BodyText"/>
      </w:pPr>
      <w:r>
        <w:t xml:space="preserve">Não fazer:</w:t>
      </w:r>
    </w:p>
    <w:p>
      <w:pPr>
        <w:pStyle w:val="SourceCode"/>
      </w:pPr>
      <w:r>
        <w:rPr>
          <w:rStyle w:val="VerbatimChar"/>
        </w:rPr>
        <w:t xml:space="preserve">BR-USER-2026-000001</w:t>
      </w:r>
    </w:p>
    <w:p>
      <w:pPr>
        <w:pStyle w:val="FirstParagraph"/>
      </w:pPr>
      <w:r>
        <w:t xml:space="preserve">como UUID.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prefixos</w:t>
      </w:r>
    </w:p>
    <w:p>
      <w:pPr>
        <w:pStyle w:val="FirstParagraph"/>
      </w:pPr>
      <w:r>
        <w:t xml:space="preserve">para codificar:</w:t>
      </w:r>
    </w:p>
    <w:p>
      <w:pPr>
        <w:pStyle w:val="Compact"/>
        <w:numPr>
          <w:ilvl w:val="0"/>
          <w:numId w:val="1005"/>
        </w:numPr>
      </w:pPr>
      <w:r>
        <w:t xml:space="preserve">país;</w:t>
      </w:r>
    </w:p>
    <w:p>
      <w:pPr>
        <w:pStyle w:val="Compact"/>
        <w:numPr>
          <w:ilvl w:val="0"/>
          <w:numId w:val="1005"/>
        </w:numPr>
      </w:pPr>
      <w:r>
        <w:t xml:space="preserve">tipo;</w:t>
      </w:r>
    </w:p>
    <w:p>
      <w:pPr>
        <w:pStyle w:val="Compact"/>
        <w:numPr>
          <w:ilvl w:val="0"/>
          <w:numId w:val="1005"/>
        </w:numPr>
      </w:pPr>
      <w:r>
        <w:t xml:space="preserve">usuário;</w:t>
      </w:r>
    </w:p>
    <w:p>
      <w:pPr>
        <w:pStyle w:val="Compact"/>
        <w:numPr>
          <w:ilvl w:val="0"/>
          <w:numId w:val="1005"/>
        </w:numPr>
      </w:pPr>
      <w:r>
        <w:t xml:space="preserve">seller;</w:t>
      </w:r>
    </w:p>
    <w:p>
      <w:pPr>
        <w:pStyle w:val="Compact"/>
        <w:numPr>
          <w:ilvl w:val="0"/>
          <w:numId w:val="1005"/>
        </w:numPr>
      </w:pPr>
      <w:r>
        <w:t xml:space="preserve">data;</w:t>
      </w:r>
    </w:p>
    <w:p>
      <w:pPr>
        <w:pStyle w:val="Compact"/>
        <w:numPr>
          <w:ilvl w:val="0"/>
          <w:numId w:val="1005"/>
        </w:numPr>
      </w:pPr>
      <w:r>
        <w:t xml:space="preserve">categoria.</w:t>
      </w:r>
    </w:p>
    <w:p>
      <w:r>
        <w:pict>
          <v:rect style="width:0;height:1.5pt" o:hralign="center" o:hrstd="t" o:hr="t"/>
        </w:pict>
      </w:r>
    </w:p>
    <w:bookmarkEnd w:id="30"/>
    <w:bookmarkStart w:id="31" w:name="compatibilidade"/>
    <w:p>
      <w:pPr>
        <w:pStyle w:val="Heading1"/>
      </w:pPr>
      <w:r>
        <w:t xml:space="preserve">22. Compatibilidade</w:t>
      </w:r>
    </w:p>
    <w:p>
      <w:pPr>
        <w:pStyle w:val="FirstParagraph"/>
      </w:pPr>
      <w:r>
        <w:t xml:space="preserve">Todas as entidades novas deverão utilizar UUIDv7.</w:t>
      </w:r>
    </w:p>
    <w:p>
      <w:pPr>
        <w:pStyle w:val="BodyText"/>
      </w:pPr>
      <w:r>
        <w:t xml:space="preserve">Para eventual legado ou integração que forneça UUIDv4:</w:t>
      </w:r>
    </w:p>
    <w:p>
      <w:pPr>
        <w:pStyle w:val="SourceCode"/>
      </w:pPr>
      <w:r>
        <w:rPr>
          <w:rStyle w:val="VerbatimChar"/>
        </w:rPr>
        <w:t xml:space="preserve">UUIDv4 externo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external_id</w:t>
      </w:r>
    </w:p>
    <w:p>
      <w:pPr>
        <w:pStyle w:val="FirstParagraph"/>
      </w:pPr>
      <w:r>
        <w:t xml:space="preserve">ou UUID interno separado.</w:t>
      </w:r>
    </w:p>
    <w:p>
      <w:pPr>
        <w:pStyle w:val="BodyText"/>
      </w:pPr>
      <w:r>
        <w:t xml:space="preserve">Não converter UUIDv4 em UUIDv7 artificialmente.</w:t>
      </w:r>
    </w:p>
    <w:p>
      <w:r>
        <w:pict>
          <v:rect style="width:0;height:1.5pt" o:hralign="center" o:hrstd="t" o:hr="t"/>
        </w:pict>
      </w:r>
    </w:p>
    <w:bookmarkEnd w:id="31"/>
    <w:bookmarkStart w:id="32" w:name="decisão-final"/>
    <w:p>
      <w:pPr>
        <w:pStyle w:val="Heading1"/>
      </w:pPr>
      <w:r>
        <w:t xml:space="preserve">23. Decisão final</w:t>
      </w:r>
    </w:p>
    <w:p>
      <w:pPr>
        <w:pStyle w:val="FirstParagraph"/>
      </w:pPr>
      <w:r>
        <w:rPr>
          <w:b/>
          <w:bCs/>
        </w:rPr>
        <w:t xml:space="preserve">ACEITO</w:t>
      </w:r>
    </w:p>
    <w:p>
      <w:pPr>
        <w:pStyle w:val="BodyText"/>
      </w:pPr>
      <w:r>
        <w:t xml:space="preserve">O MiniHub utilizará:</w:t>
      </w:r>
    </w:p>
    <w:p>
      <w:pPr>
        <w:pStyle w:val="SourceCode"/>
      </w:pPr>
      <w:r>
        <w:rPr>
          <w:rStyle w:val="VerbatimChar"/>
        </w:rPr>
        <w:t xml:space="preserve">Primary Key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UUIDv7</w:t>
      </w:r>
      <w:r>
        <w:br/>
      </w:r>
      <w:r>
        <w:br/>
      </w:r>
      <w:r>
        <w:rPr>
          <w:rStyle w:val="VerbatimChar"/>
        </w:rPr>
        <w:t xml:space="preserve">Commercial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separate field</w:t>
      </w:r>
      <w:r>
        <w:br/>
      </w:r>
      <w:r>
        <w:br/>
      </w:r>
      <w:r>
        <w:rPr>
          <w:rStyle w:val="VerbatimChar"/>
        </w:rPr>
        <w:t xml:space="preserve">External Provider 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separate field</w:t>
      </w:r>
      <w:r>
        <w:br/>
      </w:r>
      <w:r>
        <w:br/>
      </w:r>
      <w:r>
        <w:rPr>
          <w:rStyle w:val="VerbatimChar"/>
        </w:rPr>
        <w:t xml:space="preserve">Idempotency Key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separate concept</w:t>
      </w:r>
      <w:r>
        <w:br/>
      </w:r>
      <w:r>
        <w:br/>
      </w: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separate concept</w:t>
      </w:r>
    </w:p>
    <w:p>
      <w:r>
        <w:pict>
          <v:rect style="width:0;height:1.5pt" o:hralign="center" o:hrstd="t" o:hr="t"/>
        </w:pict>
      </w:r>
    </w:p>
    <w:bookmarkEnd w:id="32"/>
    <w:bookmarkStart w:id="33" w:name="regra-de-ouro"/>
    <w:p>
      <w:pPr>
        <w:pStyle w:val="Heading1"/>
      </w:pPr>
      <w:r>
        <w:t xml:space="preserve">24. Regra de ouro</w:t>
      </w:r>
    </w:p>
    <w:p>
      <w:pPr>
        <w:pStyle w:val="BlockText"/>
      </w:pPr>
      <w:r>
        <w:t xml:space="preserve">UUID identifica tecnicamente. Código comercial identifica para o negócio. Identificador externo identifica no fornecedor. Nenhum desses conceitos deverá ser confundido.</w:t>
      </w:r>
    </w:p>
    <w:p>
      <w:pPr>
        <w:pStyle w:val="FirstParagraph"/>
      </w:pPr>
      <w:r>
        <w:rPr>
          <w:b/>
          <w:bCs/>
        </w:rPr>
        <w:t xml:space="preserve">Status: CONGELADO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