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"/>
    <w:p>
      <w:pPr>
        <w:pStyle w:val="Heading1"/>
      </w:pPr>
      <w:r>
        <w:t xml:space="preserve">MiniHub</w:t>
      </w:r>
    </w:p>
    <w:bookmarkStart w:id="9" w:name="X408bbcb5d11f8eb348789a6b5c91fd82f19cbe8"/>
    <w:p>
      <w:pPr>
        <w:pStyle w:val="Heading2"/>
      </w:pPr>
      <w:r>
        <w:t xml:space="preserve">ADR-004 — Estratégia de Representação Monetária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ACEITO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2026-09-16</w:t>
      </w:r>
      <w:r>
        <w:br/>
      </w:r>
      <w:r>
        <w:rPr>
          <w:b/>
          <w:bCs/>
        </w:rPr>
        <w:t xml:space="preserve">Decisão:</w:t>
      </w:r>
      <w:r>
        <w:t xml:space="preserve"> </w:t>
      </w:r>
      <w:r>
        <w:t xml:space="preserve">Valores monetários serão armazenados em unidades monetárias inteiras mínimas (</w:t>
      </w:r>
      <w:r>
        <w:rPr>
          <w:rStyle w:val="VerbatimChar"/>
        </w:rPr>
        <w:t xml:space="preserve">amount_minor</w:t>
      </w:r>
      <w:r>
        <w:t xml:space="preserve">) acompanhadas de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ntexto"/>
    <w:p>
      <w:pPr>
        <w:pStyle w:val="Heading1"/>
      </w:pPr>
      <w:r>
        <w:t xml:space="preserve">1. Contexto</w:t>
      </w:r>
    </w:p>
    <w:p>
      <w:pPr>
        <w:pStyle w:val="FirstParagraph"/>
      </w:pPr>
      <w:r>
        <w:t xml:space="preserve">O MiniHub terá operações financeiras em diversos módulos:</w:t>
      </w:r>
    </w:p>
    <w:p>
      <w:pPr>
        <w:pStyle w:val="Compact"/>
        <w:numPr>
          <w:ilvl w:val="0"/>
          <w:numId w:val="1001"/>
        </w:numPr>
      </w:pPr>
      <w:r>
        <w:t xml:space="preserve">ofertas;</w:t>
      </w:r>
    </w:p>
    <w:p>
      <w:pPr>
        <w:pStyle w:val="Compact"/>
        <w:numPr>
          <w:ilvl w:val="0"/>
          <w:numId w:val="1001"/>
        </w:numPr>
      </w:pPr>
      <w:r>
        <w:t xml:space="preserve">carrinho;</w:t>
      </w:r>
    </w:p>
    <w:p>
      <w:pPr>
        <w:pStyle w:val="Compact"/>
        <w:numPr>
          <w:ilvl w:val="0"/>
          <w:numId w:val="1001"/>
        </w:numPr>
      </w:pPr>
      <w:r>
        <w:t xml:space="preserve">pedidos;</w:t>
      </w:r>
    </w:p>
    <w:p>
      <w:pPr>
        <w:pStyle w:val="Compact"/>
        <w:numPr>
          <w:ilvl w:val="0"/>
          <w:numId w:val="1001"/>
        </w:numPr>
      </w:pPr>
      <w:r>
        <w:t xml:space="preserve">pré-vendas;</w:t>
      </w:r>
    </w:p>
    <w:p>
      <w:pPr>
        <w:pStyle w:val="Compact"/>
        <w:numPr>
          <w:ilvl w:val="0"/>
          <w:numId w:val="1001"/>
        </w:numPr>
      </w:pPr>
      <w:r>
        <w:t xml:space="preserve">parcelas;</w:t>
      </w:r>
    </w:p>
    <w:p>
      <w:pPr>
        <w:pStyle w:val="Compact"/>
        <w:numPr>
          <w:ilvl w:val="0"/>
          <w:numId w:val="1001"/>
        </w:numPr>
      </w:pPr>
      <w:r>
        <w:t xml:space="preserve">pagamentos;</w:t>
      </w:r>
    </w:p>
    <w:p>
      <w:pPr>
        <w:pStyle w:val="Compact"/>
        <w:numPr>
          <w:ilvl w:val="0"/>
          <w:numId w:val="1001"/>
        </w:numPr>
      </w:pPr>
      <w:r>
        <w:t xml:space="preserve">reembolsos;</w:t>
      </w:r>
    </w:p>
    <w:p>
      <w:pPr>
        <w:pStyle w:val="Compact"/>
        <w:numPr>
          <w:ilvl w:val="0"/>
          <w:numId w:val="1001"/>
        </w:numPr>
      </w:pPr>
      <w:r>
        <w:t xml:space="preserve">chargebacks;</w:t>
      </w:r>
    </w:p>
    <w:p>
      <w:pPr>
        <w:pStyle w:val="Compact"/>
        <w:numPr>
          <w:ilvl w:val="0"/>
          <w:numId w:val="1001"/>
        </w:numPr>
      </w:pPr>
      <w:r>
        <w:t xml:space="preserve">comissões;</w:t>
      </w:r>
    </w:p>
    <w:p>
      <w:pPr>
        <w:pStyle w:val="Compact"/>
        <w:numPr>
          <w:ilvl w:val="0"/>
          <w:numId w:val="1001"/>
        </w:numPr>
      </w:pPr>
      <w:r>
        <w:t xml:space="preserve">taxas;</w:t>
      </w:r>
    </w:p>
    <w:p>
      <w:pPr>
        <w:pStyle w:val="Compact"/>
        <w:numPr>
          <w:ilvl w:val="0"/>
          <w:numId w:val="1001"/>
        </w:numPr>
      </w:pPr>
      <w:r>
        <w:t xml:space="preserve">repasses;</w:t>
      </w:r>
    </w:p>
    <w:p>
      <w:pPr>
        <w:pStyle w:val="Compact"/>
        <w:numPr>
          <w:ilvl w:val="0"/>
          <w:numId w:val="1001"/>
        </w:numPr>
      </w:pPr>
      <w:r>
        <w:t xml:space="preserve">ledger financeiro.</w:t>
      </w:r>
    </w:p>
    <w:p>
      <w:pPr>
        <w:pStyle w:val="FirstParagraph"/>
      </w:pPr>
      <w:r>
        <w:t xml:space="preserve">Portanto, representação monetária precisa ser determinística e consistente.</w:t>
      </w:r>
    </w:p>
    <w:p>
      <w:pPr>
        <w:pStyle w:val="BodyText"/>
      </w:pPr>
      <w:r>
        <w:t xml:space="preserve">O PostgreSQL oferece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 </w:t>
      </w:r>
      <w:r>
        <w:t xml:space="preserve">para valores exatos e recomenda esse tipo quando é necessária exatidão, inclusive para valores monetários. Já tipos de ponto flutuante são inexatos.</w:t>
      </w:r>
    </w:p>
    <w:p>
      <w:pPr>
        <w:pStyle w:val="BodyText"/>
      </w:pPr>
      <w:r>
        <w:t xml:space="preserve">Apesar disso, para os valores transacionais do MiniHub será adotado um modelo baseado em</w:t>
      </w:r>
      <w:r>
        <w:t xml:space="preserve"> </w:t>
      </w:r>
      <w:r>
        <w:rPr>
          <w:b/>
          <w:bCs/>
        </w:rPr>
        <w:t xml:space="preserve">unidade monetária mínima inteira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decisão"/>
    <w:p>
      <w:pPr>
        <w:pStyle w:val="Heading1"/>
      </w:pPr>
      <w:r>
        <w:t xml:space="preserve">2. Decisão</w:t>
      </w:r>
    </w:p>
    <w:p>
      <w:pPr>
        <w:pStyle w:val="FirstParagraph"/>
      </w:pPr>
      <w:r>
        <w:t xml:space="preserve">Todo valor monetário será representado por:</w:t>
      </w:r>
    </w:p>
    <w:p>
      <w:pPr>
        <w:pStyle w:val="SourceCode"/>
      </w:pPr>
      <w:r>
        <w:rPr>
          <w:rStyle w:val="VerbatimChar"/>
        </w:rPr>
        <w:t xml:space="preserve">amount_minor</w:t>
      </w:r>
      <w:r>
        <w:br/>
      </w:r>
      <w:r>
        <w:rPr>
          <w:rStyle w:val="VerbatimChar"/>
        </w:rPr>
        <w:t xml:space="preserve">currency</w:t>
      </w:r>
    </w:p>
    <w:p>
      <w:pPr>
        <w:pStyle w:val="FirstParagraph"/>
      </w:pPr>
      <w:r>
        <w:t xml:space="preserve">Exemplo para BRL:</w:t>
      </w:r>
    </w:p>
    <w:p>
      <w:pPr>
        <w:pStyle w:val="SourceCode"/>
      </w:pPr>
      <w:r>
        <w:rPr>
          <w:rStyle w:val="VerbatimChar"/>
        </w:rPr>
        <w:t xml:space="preserve">R$ 10,50</w:t>
      </w:r>
    </w:p>
    <w:p>
      <w:pPr>
        <w:pStyle w:val="FirstParagraph"/>
      </w:pPr>
      <w:r>
        <w:t xml:space="preserve">será armazenado como:</w:t>
      </w:r>
    </w:p>
    <w:p>
      <w:pPr>
        <w:pStyle w:val="SourceCode"/>
      </w:pPr>
      <w:r>
        <w:rPr>
          <w:rStyle w:val="VerbatimChar"/>
        </w:rPr>
        <w:t xml:space="preserve">amount_minor = 1050</w:t>
      </w:r>
      <w:r>
        <w:br/>
      </w:r>
      <w:r>
        <w:rPr>
          <w:rStyle w:val="VerbatimChar"/>
        </w:rPr>
        <w:t xml:space="preserve">currency = BRL</w:t>
      </w:r>
    </w:p>
    <w:p>
      <w:pPr>
        <w:pStyle w:val="FirstParagraph"/>
      </w:pPr>
      <w:r>
        <w:t xml:space="preserve">Outro exemplo:</w:t>
      </w:r>
    </w:p>
    <w:p>
      <w:pPr>
        <w:pStyle w:val="SourceCode"/>
      </w:pPr>
      <w:r>
        <w:rPr>
          <w:rStyle w:val="VerbatimChar"/>
        </w:rPr>
        <w:t xml:space="preserve">R$ 1.999,90</w:t>
      </w:r>
    </w:p>
    <w:p>
      <w:pPr>
        <w:pStyle w:val="FirstParagraph"/>
      </w:pPr>
      <w:r>
        <w:t xml:space="preserve">será:</w:t>
      </w:r>
    </w:p>
    <w:p>
      <w:pPr>
        <w:pStyle w:val="SourceCode"/>
      </w:pPr>
      <w:r>
        <w:rPr>
          <w:rStyle w:val="VerbatimChar"/>
        </w:rPr>
        <w:t xml:space="preserve">amount_minor = 199990</w:t>
      </w:r>
      <w:r>
        <w:br/>
      </w:r>
      <w:r>
        <w:rPr>
          <w:rStyle w:val="VerbatimChar"/>
        </w:rPr>
        <w:t xml:space="preserve">currency = BRL</w:t>
      </w:r>
    </w:p>
    <w:p>
      <w:r>
        <w:pict>
          <v:rect style="width:0;height:1.5pt" o:hralign="center" o:hrstd="t" o:hr="t"/>
        </w:pict>
      </w:r>
    </w:p>
    <w:bookmarkEnd w:id="12"/>
    <w:bookmarkStart w:id="13" w:name="regra-fundamental"/>
    <w:p>
      <w:pPr>
        <w:pStyle w:val="Heading1"/>
      </w:pPr>
      <w:r>
        <w:t xml:space="preserve">3. Regra fundamental</w:t>
      </w:r>
    </w:p>
    <w:p>
      <w:pPr>
        <w:pStyle w:val="FirstParagraph"/>
      </w:pPr>
      <w:r>
        <w:t xml:space="preserve">O MiniHub não utilizará:</w:t>
      </w:r>
    </w:p>
    <w:p>
      <w:pPr>
        <w:pStyle w:val="SourceCode"/>
      </w:pPr>
      <w:r>
        <w:rPr>
          <w:rStyle w:val="VerbatimChar"/>
        </w:rPr>
        <w:t xml:space="preserve">float</w:t>
      </w:r>
      <w:r>
        <w:br/>
      </w:r>
      <w:r>
        <w:rPr>
          <w:rStyle w:val="VerbatimChar"/>
        </w:rPr>
        <w:t xml:space="preserve">double</w:t>
      </w:r>
      <w:r>
        <w:br/>
      </w:r>
      <w:r>
        <w:rPr>
          <w:rStyle w:val="VerbatimChar"/>
        </w:rPr>
        <w:t xml:space="preserve">real</w:t>
      </w:r>
    </w:p>
    <w:p>
      <w:pPr>
        <w:pStyle w:val="FirstParagraph"/>
      </w:pPr>
      <w:r>
        <w:t xml:space="preserve">para representar dinheiro.</w:t>
      </w:r>
    </w:p>
    <w:p>
      <w:pPr>
        <w:pStyle w:val="BodyText"/>
      </w:pPr>
      <w:r>
        <w:t xml:space="preserve">Também não utilizará valores monetários como strings:</w:t>
      </w:r>
    </w:p>
    <w:p>
      <w:pPr>
        <w:pStyle w:val="SourceCode"/>
      </w:pPr>
      <w:r>
        <w:rPr>
          <w:rStyle w:val="VerbatimChar"/>
        </w:rPr>
        <w:t xml:space="preserve">"R$ 1.999,90"</w:t>
      </w:r>
    </w:p>
    <w:p>
      <w:r>
        <w:pict>
          <v:rect style="width:0;height:1.5pt" o:hralign="center" o:hrstd="t" o:hr="t"/>
        </w:pict>
      </w:r>
    </w:p>
    <w:bookmarkEnd w:id="13"/>
    <w:bookmarkStart w:id="14" w:name="estrutura-conceitual"/>
    <w:p>
      <w:pPr>
        <w:pStyle w:val="Heading1"/>
      </w:pPr>
      <w:r>
        <w:t xml:space="preserve">4. Estrutura conceitual</w:t>
      </w:r>
    </w:p>
    <w:p>
      <w:pPr>
        <w:pStyle w:val="SourceCode"/>
      </w:pPr>
      <w:r>
        <w:rPr>
          <w:rStyle w:val="VerbatimChar"/>
        </w:rPr>
        <w:t xml:space="preserve">Money</w:t>
      </w:r>
      <w:r>
        <w:br/>
      </w:r>
      <w:r>
        <w:rPr>
          <w:rStyle w:val="VerbatimChar"/>
        </w:rPr>
        <w:t xml:space="preserve">├── amount_minor</w:t>
      </w:r>
      <w:r>
        <w:br/>
      </w:r>
      <w:r>
        <w:rPr>
          <w:rStyle w:val="VerbatimChar"/>
        </w:rPr>
        <w:t xml:space="preserve">└── currency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199990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banco-de-dados"/>
    <w:p>
      <w:pPr>
        <w:pStyle w:val="Heading1"/>
      </w:pPr>
      <w:r>
        <w:t xml:space="preserve">5. Banco de dados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amount_minor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currency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t xml:space="preserve">Para BRL:</w:t>
      </w:r>
    </w:p>
    <w:p>
      <w:pPr>
        <w:pStyle w:val="SourceCode"/>
      </w:pPr>
      <w:r>
        <w:rPr>
          <w:rStyle w:val="VerbatimChar"/>
        </w:rPr>
        <w:t xml:space="preserve">amount_minor = centavos</w:t>
      </w:r>
    </w:p>
    <w:p>
      <w:r>
        <w:pict>
          <v:rect style="width:0;height:1.5pt" o:hralign="center" o:hrstd="t" o:hr="t"/>
        </w:pict>
      </w:r>
    </w:p>
    <w:bookmarkEnd w:id="15"/>
    <w:bookmarkStart w:id="16" w:name="por-que-unidade-mínima"/>
    <w:p>
      <w:pPr>
        <w:pStyle w:val="Heading1"/>
      </w:pPr>
      <w:r>
        <w:t xml:space="preserve">6. Por que unidade mínima?</w:t>
      </w:r>
    </w:p>
    <w:p>
      <w:pPr>
        <w:pStyle w:val="FirstParagraph"/>
      </w:pPr>
      <w:r>
        <w:t xml:space="preserve">A aplicação trabalhará com inteiros.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1000 + 250 + 350</w:t>
      </w:r>
    </w:p>
    <w:p>
      <w:pPr>
        <w:pStyle w:val="FirstParagraph"/>
      </w:pPr>
      <w:r>
        <w:t xml:space="preserve">resultando em:</w:t>
      </w:r>
    </w:p>
    <w:p>
      <w:pPr>
        <w:pStyle w:val="SourceCode"/>
      </w:pPr>
      <w:r>
        <w:rPr>
          <w:rStyle w:val="VerbatimChar"/>
        </w:rPr>
        <w:t xml:space="preserve">1600</w:t>
      </w:r>
    </w:p>
    <w:p>
      <w:pPr>
        <w:pStyle w:val="FirstParagraph"/>
      </w:pPr>
      <w:r>
        <w:t xml:space="preserve">representando:</w:t>
      </w:r>
    </w:p>
    <w:p>
      <w:pPr>
        <w:pStyle w:val="SourceCode"/>
      </w:pPr>
      <w:r>
        <w:rPr>
          <w:rStyle w:val="VerbatimChar"/>
        </w:rPr>
        <w:t xml:space="preserve">R$ 16,00</w:t>
      </w:r>
    </w:p>
    <w:p>
      <w:pPr>
        <w:pStyle w:val="FirstParagraph"/>
      </w:pPr>
      <w:r>
        <w:t xml:space="preserve">Isso evita que operações críticas dependam de aritmética de ponto flutuante.</w:t>
      </w:r>
    </w:p>
    <w:p>
      <w:r>
        <w:pict>
          <v:rect style="width:0;height:1.5pt" o:hralign="center" o:hrstd="t" o:hr="t"/>
        </w:pict>
      </w:r>
    </w:p>
    <w:bookmarkEnd w:id="16"/>
    <w:bookmarkStart w:id="17" w:name="currency"/>
    <w:p>
      <w:pPr>
        <w:pStyle w:val="Heading1"/>
      </w:pPr>
      <w:r>
        <w:t xml:space="preserve">7. Currency</w:t>
      </w:r>
    </w:p>
    <w:p>
      <w:pPr>
        <w:pStyle w:val="FirstParagraph"/>
      </w:pPr>
      <w:r>
        <w:t xml:space="preserve">A moeda nunca deverá ser implícita.</w:t>
      </w:r>
    </w:p>
    <w:p>
      <w:pPr>
        <w:pStyle w:val="BodyText"/>
      </w:pPr>
      <w:r>
        <w:t xml:space="preserve">Errado: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Correto: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moeda-da-transação"/>
    <w:p>
      <w:pPr>
        <w:pStyle w:val="Heading1"/>
      </w:pPr>
      <w:r>
        <w:t xml:space="preserve">8. Moeda da transação</w:t>
      </w:r>
    </w:p>
    <w:p>
      <w:pPr>
        <w:pStyle w:val="FirstParagraph"/>
      </w:pPr>
      <w:r>
        <w:t xml:space="preserve">A moeda será congelada no contexto financeiro da operação.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├── total_amount_minor</w:t>
      </w:r>
      <w:r>
        <w:br/>
      </w:r>
      <w:r>
        <w:rPr>
          <w:rStyle w:val="VerbatimChar"/>
        </w:rPr>
        <w:t xml:space="preserve"> └── currency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├── amount_minor</w:t>
      </w:r>
      <w:r>
        <w:br/>
      </w:r>
      <w:r>
        <w:rPr>
          <w:rStyle w:val="VerbatimChar"/>
        </w:rPr>
        <w:t xml:space="preserve"> └── currency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LEDGER_TRANSACTION</w:t>
      </w:r>
      <w:r>
        <w:br/>
      </w:r>
      <w:r>
        <w:rPr>
          <w:rStyle w:val="VerbatimChar"/>
        </w:rPr>
        <w:t xml:space="preserve"> ├── amount</w:t>
      </w:r>
      <w:r>
        <w:br/>
      </w:r>
      <w:r>
        <w:rPr>
          <w:rStyle w:val="VerbatimChar"/>
        </w:rPr>
        <w:t xml:space="preserve"> └── currency</w:t>
      </w:r>
    </w:p>
    <w:p>
      <w:r>
        <w:pict>
          <v:rect style="width:0;height:1.5pt" o:hralign="center" o:hrstd="t" o:hr="t"/>
        </w:pict>
      </w:r>
    </w:p>
    <w:bookmarkEnd w:id="18"/>
    <w:bookmarkStart w:id="19" w:name="não-converter-silenciosamente"/>
    <w:p>
      <w:pPr>
        <w:pStyle w:val="Heading1"/>
      </w:pPr>
      <w:r>
        <w:t xml:space="preserve">9. Não converter silenciosamente</w:t>
      </w:r>
    </w:p>
    <w:p>
      <w:pPr>
        <w:pStyle w:val="FirstParagraph"/>
      </w:pPr>
      <w:r>
        <w:t xml:space="preserve">Uma operação não deverá somar:</w:t>
      </w:r>
    </w:p>
    <w:p>
      <w:pPr>
        <w:pStyle w:val="SourceCode"/>
      </w:pPr>
      <w:r>
        <w:rPr>
          <w:rStyle w:val="VerbatimChar"/>
        </w:rPr>
        <w:t xml:space="preserve">BRL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USD</w:t>
      </w:r>
    </w:p>
    <w:p>
      <w:pPr>
        <w:pStyle w:val="FirstParagraph"/>
      </w:pPr>
      <w:r>
        <w:t xml:space="preserve">sem uma regra explícita de conversão.</w:t>
      </w:r>
    </w:p>
    <w:p>
      <w:pPr>
        <w:pStyle w:val="BodyText"/>
      </w:pPr>
      <w:r>
        <w:t xml:space="preserve">Exemplo inválido:</w:t>
      </w:r>
    </w:p>
    <w:p>
      <w:pPr>
        <w:pStyle w:val="SourceCode"/>
      </w:pPr>
      <w:r>
        <w:rPr>
          <w:rStyle w:val="VerbatimChar"/>
        </w:rPr>
        <w:t xml:space="preserve">100 BRL + 100 USD</w:t>
      </w:r>
    </w:p>
    <w:p>
      <w:r>
        <w:pict>
          <v:rect style="width:0;height:1.5pt" o:hralign="center" o:hrstd="t" o:hr="t"/>
        </w:pict>
      </w:r>
    </w:p>
    <w:bookmarkEnd w:id="19"/>
    <w:bookmarkStart w:id="20" w:name="conversão-cambial"/>
    <w:p>
      <w:pPr>
        <w:pStyle w:val="Heading1"/>
      </w:pPr>
      <w:r>
        <w:t xml:space="preserve">10. Conversão cambial</w:t>
      </w:r>
    </w:p>
    <w:p>
      <w:pPr>
        <w:pStyle w:val="FirstParagraph"/>
      </w:pPr>
      <w:r>
        <w:t xml:space="preserve">Conversão de moedas será tratada futuramente por domínio específico.</w:t>
      </w:r>
    </w:p>
    <w:p>
      <w:pPr>
        <w:pStyle w:val="BodyText"/>
      </w:pPr>
      <w:r>
        <w:t xml:space="preserve">Caso seja necessária:</w:t>
      </w:r>
    </w:p>
    <w:p>
      <w:pPr>
        <w:pStyle w:val="SourceCode"/>
      </w:pPr>
      <w:r>
        <w:rPr>
          <w:rStyle w:val="VerbatimChar"/>
        </w:rPr>
        <w:t xml:space="preserve">Original Amount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Exchange Rate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Converted Amount</w:t>
      </w:r>
    </w:p>
    <w:p>
      <w:pPr>
        <w:pStyle w:val="FirstParagraph"/>
      </w:pPr>
      <w:r>
        <w:t xml:space="preserve">A operação deverá preservar:</w:t>
      </w:r>
    </w:p>
    <w:p>
      <w:pPr>
        <w:pStyle w:val="SourceCode"/>
      </w:pPr>
      <w:r>
        <w:rPr>
          <w:rStyle w:val="VerbatimChar"/>
        </w:rPr>
        <w:t xml:space="preserve">original_currency</w:t>
      </w:r>
      <w:r>
        <w:br/>
      </w:r>
      <w:r>
        <w:rPr>
          <w:rStyle w:val="VerbatimChar"/>
        </w:rPr>
        <w:t xml:space="preserve">original_amount</w:t>
      </w:r>
      <w:r>
        <w:br/>
      </w:r>
      <w:r>
        <w:rPr>
          <w:rStyle w:val="VerbatimChar"/>
        </w:rPr>
        <w:t xml:space="preserve">exchange_rate</w:t>
      </w:r>
      <w:r>
        <w:br/>
      </w:r>
      <w:r>
        <w:rPr>
          <w:rStyle w:val="VerbatimChar"/>
        </w:rPr>
        <w:t xml:space="preserve">converted_currency</w:t>
      </w:r>
      <w:r>
        <w:br/>
      </w:r>
      <w:r>
        <w:rPr>
          <w:rStyle w:val="VerbatimChar"/>
        </w:rPr>
        <w:t xml:space="preserve">converted_amount</w:t>
      </w:r>
    </w:p>
    <w:p>
      <w:r>
        <w:pict>
          <v:rect style="width:0;height:1.5pt" o:hralign="center" o:hrstd="t" o:hr="t"/>
        </w:pict>
      </w:r>
    </w:p>
    <w:bookmarkEnd w:id="20"/>
    <w:bookmarkStart w:id="21" w:name="preço-do-catálogo"/>
    <w:p>
      <w:pPr>
        <w:pStyle w:val="Heading1"/>
      </w:pPr>
      <w:r>
        <w:t xml:space="preserve">11. Preço do catálogo</w:t>
      </w:r>
    </w:p>
    <w:p>
      <w:pPr>
        <w:pStyle w:val="FirstParagraph"/>
      </w:pPr>
      <w:r>
        <w:t xml:space="preserve">O catálogo não deverá necessariamente possuir preço.</w:t>
      </w:r>
    </w:p>
    <w:p>
      <w:pPr>
        <w:pStyle w:val="BodyText"/>
      </w:pPr>
      <w:r>
        <w:t xml:space="preserve">A entidade: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representa o item catalogado.</w:t>
      </w:r>
    </w:p>
    <w:p>
      <w:pPr>
        <w:pStyle w:val="BodyText"/>
      </w:pPr>
      <w:r>
        <w:t xml:space="preserve">Preço comercial pertence à:</w:t>
      </w:r>
    </w:p>
    <w:p>
      <w:pPr>
        <w:pStyle w:val="SourceCode"/>
      </w:pPr>
      <w:r>
        <w:rPr>
          <w:rStyle w:val="VerbatimChar"/>
        </w:rPr>
        <w:t xml:space="preserve">OFFER</w:t>
      </w:r>
    </w:p>
    <w:p>
      <w:r>
        <w:pict>
          <v:rect style="width:0;height:1.5pt" o:hralign="center" o:hrstd="t" o:hr="t"/>
        </w:pict>
      </w:r>
    </w:p>
    <w:bookmarkEnd w:id="21"/>
    <w:bookmarkStart w:id="22" w:name="oferta"/>
    <w:p>
      <w:pPr>
        <w:pStyle w:val="Heading1"/>
      </w:pPr>
      <w:r>
        <w:t xml:space="preserve">12. Oferta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├── variation_id</w:t>
      </w:r>
      <w:r>
        <w:br/>
      </w:r>
      <w:r>
        <w:rPr>
          <w:rStyle w:val="VerbatimChar"/>
        </w:rPr>
        <w:t xml:space="preserve">├── seller_id</w:t>
      </w:r>
      <w:r>
        <w:br/>
      </w:r>
      <w:r>
        <w:rPr>
          <w:rStyle w:val="VerbatimChar"/>
        </w:rPr>
        <w:t xml:space="preserve">├── price_amount_minor</w:t>
      </w:r>
      <w:r>
        <w:br/>
      </w:r>
      <w:r>
        <w:rPr>
          <w:rStyle w:val="VerbatimChar"/>
        </w:rPr>
        <w:t xml:space="preserve">└── currency</w:t>
      </w:r>
    </w:p>
    <w:p>
      <w:pPr>
        <w:pStyle w:val="FirstParagraph"/>
      </w:pPr>
      <w:r>
        <w:t xml:space="preserve">Assim, dois vendedores poderão oferecer a mesma variação:</w:t>
      </w:r>
    </w:p>
    <w:p>
      <w:pPr>
        <w:pStyle w:val="SourceCode"/>
      </w:pPr>
      <w:r>
        <w:rPr>
          <w:rStyle w:val="VerbatimChar"/>
        </w:rPr>
        <w:t xml:space="preserve">Vendedor A</w:t>
      </w:r>
      <w:r>
        <w:br/>
      </w:r>
      <w:r>
        <w:rPr>
          <w:rStyle w:val="VerbatimChar"/>
        </w:rPr>
        <w:t xml:space="preserve">R$ 89,90</w:t>
      </w:r>
      <w:r>
        <w:br/>
      </w:r>
      <w:r>
        <w:br/>
      </w:r>
      <w:r>
        <w:rPr>
          <w:rStyle w:val="VerbatimChar"/>
        </w:rPr>
        <w:t xml:space="preserve">Vendedor B</w:t>
      </w:r>
      <w:r>
        <w:br/>
      </w:r>
      <w:r>
        <w:rPr>
          <w:rStyle w:val="VerbatimChar"/>
        </w:rPr>
        <w:t xml:space="preserve">R$ 94,90</w:t>
      </w:r>
    </w:p>
    <w:p>
      <w:pPr>
        <w:pStyle w:val="FirstParagraph"/>
      </w:pPr>
      <w:r>
        <w:t xml:space="preserve">sem duplicar a variação no catálogo.</w:t>
      </w:r>
    </w:p>
    <w:p>
      <w:r>
        <w:pict>
          <v:rect style="width:0;height:1.5pt" o:hralign="center" o:hrstd="t" o:hr="t"/>
        </w:pict>
      </w:r>
    </w:p>
    <w:bookmarkEnd w:id="22"/>
    <w:bookmarkStart w:id="23" w:name="snapshot-comercial"/>
    <w:p>
      <w:pPr>
        <w:pStyle w:val="Heading1"/>
      </w:pPr>
      <w:r>
        <w:t xml:space="preserve">13. Snapshot comercial</w:t>
      </w:r>
    </w:p>
    <w:p>
      <w:pPr>
        <w:pStyle w:val="FirstParagraph"/>
      </w:pPr>
      <w:r>
        <w:t xml:space="preserve">No momento da criação do pedido, os valores comerciais relevantes serão congelados.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├── unit_price_amount_minor</w:t>
      </w:r>
      <w:r>
        <w:br/>
      </w:r>
      <w:r>
        <w:rPr>
          <w:rStyle w:val="VerbatimChar"/>
        </w:rPr>
        <w:t xml:space="preserve">├── quantity</w:t>
      </w:r>
      <w:r>
        <w:br/>
      </w:r>
      <w:r>
        <w:rPr>
          <w:rStyle w:val="VerbatimChar"/>
        </w:rPr>
        <w:t xml:space="preserve">├── discount_amount_minor</w:t>
      </w:r>
      <w:r>
        <w:br/>
      </w:r>
      <w:r>
        <w:rPr>
          <w:rStyle w:val="VerbatimChar"/>
        </w:rPr>
        <w:t xml:space="preserve">├── subtotal_amount_minor</w:t>
      </w:r>
      <w:r>
        <w:br/>
      </w:r>
      <w:r>
        <w:rPr>
          <w:rStyle w:val="VerbatimChar"/>
        </w:rPr>
        <w:t xml:space="preserve">└── currency</w:t>
      </w:r>
    </w:p>
    <w:p>
      <w:pPr>
        <w:pStyle w:val="FirstParagraph"/>
      </w:pPr>
      <w:r>
        <w:t xml:space="preserve">Alterar posteriormente a oferta não deverá alterar um pedido já criado.</w:t>
      </w:r>
    </w:p>
    <w:p>
      <w:r>
        <w:pict>
          <v:rect style="width:0;height:1.5pt" o:hralign="center" o:hrstd="t" o:hr="t"/>
        </w:pict>
      </w:r>
    </w:p>
    <w:bookmarkEnd w:id="23"/>
    <w:bookmarkStart w:id="24" w:name="comissões"/>
    <w:p>
      <w:pPr>
        <w:pStyle w:val="Heading1"/>
      </w:pPr>
      <w:r>
        <w:t xml:space="preserve">14. Comissões</w:t>
      </w:r>
    </w:p>
    <w:p>
      <w:pPr>
        <w:pStyle w:val="FirstParagraph"/>
      </w:pPr>
      <w:r>
        <w:t xml:space="preserve">Comissões também utilizarão:</w:t>
      </w:r>
    </w:p>
    <w:p>
      <w:pPr>
        <w:pStyle w:val="SourceCode"/>
      </w:pPr>
      <w:r>
        <w:rPr>
          <w:rStyle w:val="VerbatimChar"/>
        </w:rPr>
        <w:t xml:space="preserve">amount_minor</w:t>
      </w:r>
      <w:r>
        <w:br/>
      </w:r>
      <w:r>
        <w:rPr>
          <w:rStyle w:val="VerbatimChar"/>
        </w:rPr>
        <w:t xml:space="preserve">currency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Pedido:       R$ 500,00</w:t>
      </w:r>
      <w:r>
        <w:br/>
      </w:r>
      <w:r>
        <w:rPr>
          <w:rStyle w:val="VerbatimChar"/>
        </w:rPr>
        <w:t xml:space="preserve">Comissão:      R$ 50,00</w:t>
      </w:r>
      <w:r>
        <w:br/>
      </w:r>
      <w:r>
        <w:rPr>
          <w:rStyle w:val="VerbatimChar"/>
        </w:rPr>
        <w:t xml:space="preserve">Seller:       R$ 450,00</w:t>
      </w:r>
    </w:p>
    <w:p>
      <w:pPr>
        <w:pStyle w:val="FirstParagraph"/>
      </w:pPr>
      <w:r>
        <w:t xml:space="preserve">Internamente:</w:t>
      </w:r>
    </w:p>
    <w:p>
      <w:pPr>
        <w:pStyle w:val="SourceCode"/>
      </w:pPr>
      <w:r>
        <w:rPr>
          <w:rStyle w:val="VerbatimChar"/>
        </w:rPr>
        <w:t xml:space="preserve">50000</w:t>
      </w:r>
      <w:r>
        <w:br/>
      </w:r>
      <w:r>
        <w:rPr>
          <w:rStyle w:val="VerbatimChar"/>
        </w:rPr>
        <w:t xml:space="preserve">5000</w:t>
      </w:r>
      <w:r>
        <w:br/>
      </w:r>
      <w:r>
        <w:rPr>
          <w:rStyle w:val="VerbatimChar"/>
        </w:rPr>
        <w:t xml:space="preserve">45000</w:t>
      </w:r>
    </w:p>
    <w:p>
      <w:r>
        <w:pict>
          <v:rect style="width:0;height:1.5pt" o:hralign="center" o:hrstd="t" o:hr="t"/>
        </w:pict>
      </w:r>
    </w:p>
    <w:bookmarkEnd w:id="24"/>
    <w:bookmarkStart w:id="25" w:name="parcelas"/>
    <w:p>
      <w:pPr>
        <w:pStyle w:val="Heading1"/>
      </w:pPr>
      <w:r>
        <w:t xml:space="preserve">15. Parcelas</w:t>
      </w:r>
    </w:p>
    <w:p>
      <w:pPr>
        <w:pStyle w:val="FirstParagraph"/>
      </w:pPr>
      <w:r>
        <w:t xml:space="preserve">Cada parcela possuirá seu próprio valor.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PAYMENT_PLAN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INSTALLMENT 1 → 10000 BRL</w:t>
      </w:r>
      <w:r>
        <w:br/>
      </w:r>
      <w:r>
        <w:rPr>
          <w:rStyle w:val="VerbatimChar"/>
        </w:rPr>
        <w:t xml:space="preserve">INSTALLMENT 2 → 10000 BRL</w:t>
      </w:r>
      <w:r>
        <w:br/>
      </w:r>
      <w:r>
        <w:rPr>
          <w:rStyle w:val="VerbatimChar"/>
        </w:rPr>
        <w:t xml:space="preserve">INSTALLMENT 3 → 10000 BRL</w:t>
      </w:r>
    </w:p>
    <w:p>
      <w:pPr>
        <w:pStyle w:val="FirstParagraph"/>
      </w:pPr>
      <w:r>
        <w:t xml:space="preserve">O total esperado será:</w:t>
      </w:r>
    </w:p>
    <w:p>
      <w:pPr>
        <w:pStyle w:val="SourceCode"/>
      </w:pPr>
      <w:r>
        <w:rPr>
          <w:rStyle w:val="VerbatimChar"/>
        </w:rPr>
        <w:t xml:space="preserve">30000 BRL</w:t>
      </w:r>
    </w:p>
    <w:p>
      <w:r>
        <w:pict>
          <v:rect style="width:0;height:1.5pt" o:hralign="center" o:hrstd="t" o:hr="t"/>
        </w:pict>
      </w:r>
    </w:p>
    <w:bookmarkEnd w:id="25"/>
    <w:bookmarkStart w:id="26" w:name="arredondamento"/>
    <w:p>
      <w:pPr>
        <w:pStyle w:val="Heading1"/>
      </w:pPr>
      <w:r>
        <w:t xml:space="preserve">16. Arredondamento</w:t>
      </w:r>
    </w:p>
    <w:p>
      <w:pPr>
        <w:pStyle w:val="FirstParagraph"/>
      </w:pPr>
      <w:r>
        <w:t xml:space="preserve">Arredondamento não será realizado implicitamente em qualquer camada.</w:t>
      </w:r>
    </w:p>
    <w:p>
      <w:pPr>
        <w:pStyle w:val="BodyText"/>
      </w:pPr>
      <w:r>
        <w:t xml:space="preserve">Quando uma operação exigir arredondamento, a regra deverá definir:</w:t>
      </w:r>
    </w:p>
    <w:p>
      <w:pPr>
        <w:pStyle w:val="SourceCode"/>
      </w:pPr>
      <w:r>
        <w:rPr>
          <w:rStyle w:val="VerbatimChar"/>
        </w:rPr>
        <w:t xml:space="preserve">precision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rounding_mode</w:t>
      </w:r>
    </w:p>
    <w:p>
      <w:pPr>
        <w:pStyle w:val="FirstParagraph"/>
      </w:pPr>
      <w:r>
        <w:t xml:space="preserve">A regra deverá pertencer ao domínio que possui responsabilidade pela operação.</w:t>
      </w:r>
    </w:p>
    <w:p>
      <w:r>
        <w:pict>
          <v:rect style="width:0;height:1.5pt" o:hralign="center" o:hrstd="t" o:hr="t"/>
        </w:pict>
      </w:r>
    </w:p>
    <w:bookmarkEnd w:id="26"/>
    <w:bookmarkStart w:id="27" w:name="percentuais"/>
    <w:p>
      <w:pPr>
        <w:pStyle w:val="Heading1"/>
      </w:pPr>
      <w:r>
        <w:t xml:space="preserve">17. Percentuais</w:t>
      </w:r>
    </w:p>
    <w:p>
      <w:pPr>
        <w:pStyle w:val="FirstParagraph"/>
      </w:pPr>
      <w:r>
        <w:t xml:space="preserve">Percentuais não serão armazenados como dinheiro.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commission_rate = 0.10</w:t>
      </w:r>
    </w:p>
    <w:p>
      <w:pPr>
        <w:pStyle w:val="FirstParagraph"/>
      </w:pPr>
      <w:r>
        <w:t xml:space="preserve">representa:</w:t>
      </w:r>
    </w:p>
    <w:p>
      <w:pPr>
        <w:pStyle w:val="SourceCode"/>
      </w:pPr>
      <w:r>
        <w:rPr>
          <w:rStyle w:val="VerbatimChar"/>
        </w:rPr>
        <w:t xml:space="preserve">10%</w:t>
      </w:r>
    </w:p>
    <w:p>
      <w:pPr>
        <w:pStyle w:val="FirstParagraph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commission_amount_minor = 5000</w:t>
      </w:r>
    </w:p>
    <w:p>
      <w:pPr>
        <w:pStyle w:val="FirstParagraph"/>
      </w:pPr>
      <w:r>
        <w:t xml:space="preserve">representa:</w:t>
      </w:r>
    </w:p>
    <w:p>
      <w:pPr>
        <w:pStyle w:val="SourceCode"/>
      </w:pPr>
      <w:r>
        <w:rPr>
          <w:rStyle w:val="VerbatimChar"/>
        </w:rPr>
        <w:t xml:space="preserve">R$ 50,00</w:t>
      </w:r>
    </w:p>
    <w:p>
      <w:r>
        <w:pict>
          <v:rect style="width:0;height:1.5pt" o:hralign="center" o:hrstd="t" o:hr="t"/>
        </w:pict>
      </w:r>
    </w:p>
    <w:bookmarkEnd w:id="27"/>
    <w:bookmarkStart w:id="28" w:name="ledger"/>
    <w:p>
      <w:pPr>
        <w:pStyle w:val="Heading1"/>
      </w:pPr>
      <w:r>
        <w:t xml:space="preserve">18. Ledger</w:t>
      </w:r>
    </w:p>
    <w:p>
      <w:pPr>
        <w:pStyle w:val="FirstParagraph"/>
      </w:pPr>
      <w:r>
        <w:t xml:space="preserve">No Ledger:</w:t>
      </w:r>
    </w:p>
    <w:p>
      <w:pPr>
        <w:pStyle w:val="SourceCode"/>
      </w:pPr>
      <w:r>
        <w:rPr>
          <w:rStyle w:val="VerbatimChar"/>
        </w:rPr>
        <w:t xml:space="preserve">amount_minor &gt; 0</w:t>
      </w:r>
    </w:p>
    <w:p>
      <w:pPr>
        <w:pStyle w:val="FirstParagraph"/>
      </w:pPr>
      <w:r>
        <w:t xml:space="preserve">O sentido econômico será determinado por: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CREDIT</w:t>
      </w:r>
    </w:p>
    <w:p>
      <w:pPr>
        <w:pStyle w:val="FirstParagraph"/>
      </w:pPr>
      <w:r>
        <w:t xml:space="preserve">e pela natureza da conta.</w:t>
      </w:r>
    </w:p>
    <w:p>
      <w:pPr>
        <w:pStyle w:val="BodyText"/>
      </w:pPr>
      <w:r>
        <w:t xml:space="preserve">Não serão utilizados valores negativos para representar:</w:t>
      </w:r>
    </w:p>
    <w:p>
      <w:pPr>
        <w:pStyle w:val="SourceCode"/>
      </w:pPr>
      <w:r>
        <w:rPr>
          <w:rStyle w:val="VerbatimChar"/>
        </w:rPr>
        <w:t xml:space="preserve">DEBIT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CREDIT</w:t>
      </w:r>
    </w:p>
    <w:p>
      <w:r>
        <w:pict>
          <v:rect style="width:0;height:1.5pt" o:hralign="center" o:hrstd="t" o:hr="t"/>
        </w:pict>
      </w:r>
    </w:p>
    <w:bookmarkEnd w:id="28"/>
    <w:bookmarkStart w:id="29" w:name="relação-com-e13"/>
    <w:p>
      <w:pPr>
        <w:pStyle w:val="Heading1"/>
      </w:pPr>
      <w:r>
        <w:t xml:space="preserve">19. Relação com E13</w:t>
      </w:r>
    </w:p>
    <w:p>
      <w:pPr>
        <w:pStyle w:val="FirstParagraph"/>
      </w:pPr>
      <w:r>
        <w:t xml:space="preserve">Esta decisão é diretamente compatível com:</w:t>
      </w:r>
    </w:p>
    <w:p>
      <w:pPr>
        <w:pStyle w:val="BodyText"/>
      </w:pPr>
      <w:r>
        <w:rPr>
          <w:b/>
          <w:bCs/>
        </w:rPr>
        <w:t xml:space="preserve">E13 — Semântica Definitiva de Débito e Crédito no Ledger.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LEDGER_ENTRY</w:t>
      </w:r>
      <w:r>
        <w:br/>
      </w:r>
      <w:r>
        <w:rPr>
          <w:rStyle w:val="VerbatimChar"/>
        </w:rPr>
        <w:t xml:space="preserve">├── entry_type = DEBIT</w:t>
      </w:r>
      <w:r>
        <w:br/>
      </w:r>
      <w:r>
        <w:rPr>
          <w:rStyle w:val="VerbatimChar"/>
        </w:rPr>
        <w:t xml:space="preserve">├── amount_minor = 50000</w:t>
      </w:r>
      <w:r>
        <w:br/>
      </w:r>
      <w:r>
        <w:rPr>
          <w:rStyle w:val="VerbatimChar"/>
        </w:rPr>
        <w:t xml:space="preserve">└── currency = BRL</w:t>
      </w:r>
    </w:p>
    <w:p>
      <w:r>
        <w:pict>
          <v:rect style="width:0;height:1.5pt" o:hralign="center" o:hrstd="t" o:hr="t"/>
        </w:pict>
      </w:r>
    </w:p>
    <w:bookmarkEnd w:id="29"/>
    <w:bookmarkStart w:id="30" w:name="apis"/>
    <w:p>
      <w:pPr>
        <w:pStyle w:val="Heading1"/>
      </w:pPr>
      <w:r>
        <w:t xml:space="preserve">20. APIs</w:t>
      </w:r>
    </w:p>
    <w:p>
      <w:pPr>
        <w:pStyle w:val="FirstParagraph"/>
      </w:pPr>
      <w:r>
        <w:t xml:space="preserve">As APIs deverão utilizar valores estruturados.</w:t>
      </w:r>
    </w:p>
    <w:p>
      <w:pPr>
        <w:pStyle w:val="BodyText"/>
      </w:pPr>
      <w:r>
        <w:t xml:space="preserve">Preferencialmente: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89.90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frontend"/>
    <w:p>
      <w:pPr>
        <w:pStyle w:val="Heading1"/>
      </w:pPr>
      <w:r>
        <w:t xml:space="preserve">21. Frontend</w:t>
      </w:r>
    </w:p>
    <w:p>
      <w:pPr>
        <w:pStyle w:val="FirstParagraph"/>
      </w:pPr>
      <w:r>
        <w:t xml:space="preserve">O frontend poderá formatar:</w:t>
      </w:r>
    </w:p>
    <w:p>
      <w:pPr>
        <w:pStyle w:val="SourceCode"/>
      </w:pPr>
      <w:r>
        <w:rPr>
          <w:rStyle w:val="VerbatimChar"/>
        </w:rPr>
        <w:t xml:space="preserve">8990 BRL</w:t>
      </w:r>
    </w:p>
    <w:p>
      <w:pPr>
        <w:pStyle w:val="FirstParagraph"/>
      </w:pPr>
      <w:r>
        <w:t xml:space="preserve">como:</w:t>
      </w:r>
    </w:p>
    <w:p>
      <w:pPr>
        <w:pStyle w:val="SourceCode"/>
      </w:pPr>
      <w:r>
        <w:rPr>
          <w:rStyle w:val="VerbatimChar"/>
        </w:rPr>
        <w:t xml:space="preserve">R$ 89,90</w:t>
      </w:r>
    </w:p>
    <w:p>
      <w:pPr>
        <w:pStyle w:val="FirstParagraph"/>
      </w:pPr>
      <w:r>
        <w:t xml:space="preserve">Mas a representação de apresentação não deverá ser confundida com a representação persistida.</w:t>
      </w:r>
    </w:p>
    <w:p>
      <w:r>
        <w:pict>
          <v:rect style="width:0;height:1.5pt" o:hralign="center" o:hrstd="t" o:hr="t"/>
        </w:pict>
      </w:r>
    </w:p>
    <w:bookmarkEnd w:id="31"/>
    <w:bookmarkStart w:id="32" w:name="banco-versus-domínio"/>
    <w:p>
      <w:pPr>
        <w:pStyle w:val="Heading1"/>
      </w:pPr>
      <w:r>
        <w:t xml:space="preserve">22. Banco versus domínio</w:t>
      </w:r>
    </w:p>
    <w:p>
      <w:pPr>
        <w:pStyle w:val="FirstParagraph"/>
      </w:pPr>
      <w:r>
        <w:t xml:space="preserve">O domínio poderá possuir um objeto:</w:t>
      </w:r>
    </w:p>
    <w:p>
      <w:pPr>
        <w:pStyle w:val="SourceCode"/>
      </w:pPr>
      <w:r>
        <w:rPr>
          <w:rStyle w:val="VerbatimChar"/>
        </w:rPr>
        <w:t xml:space="preserve">Money</w:t>
      </w:r>
    </w:p>
    <w:p>
      <w:pPr>
        <w:pStyle w:val="FirstParagraph"/>
      </w:pPr>
      <w:r>
        <w:t xml:space="preserve">com operações como:</w:t>
      </w:r>
    </w:p>
    <w:p>
      <w:pPr>
        <w:pStyle w:val="SourceCode"/>
      </w:pPr>
      <w:r>
        <w:rPr>
          <w:rStyle w:val="VerbatimChar"/>
        </w:rPr>
        <w:t xml:space="preserve">add()</w:t>
      </w:r>
      <w:r>
        <w:br/>
      </w:r>
      <w:r>
        <w:rPr>
          <w:rStyle w:val="VerbatimChar"/>
        </w:rPr>
        <w:t xml:space="preserve">subtract()</w:t>
      </w:r>
      <w:r>
        <w:br/>
      </w:r>
      <w:r>
        <w:rPr>
          <w:rStyle w:val="VerbatimChar"/>
        </w:rPr>
        <w:t xml:space="preserve">multiply()</w:t>
      </w:r>
      <w:r>
        <w:br/>
      </w:r>
      <w:r>
        <w:rPr>
          <w:rStyle w:val="VerbatimChar"/>
        </w:rPr>
        <w:t xml:space="preserve">allocate()</w:t>
      </w:r>
      <w:r>
        <w:br/>
      </w:r>
      <w:r>
        <w:rPr>
          <w:rStyle w:val="VerbatimChar"/>
        </w:rPr>
        <w:t xml:space="preserve">compare()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Money(10000, BRL)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Money(2500, BRL)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Money(12500, BRL)</w:t>
      </w:r>
    </w:p>
    <w:p>
      <w:r>
        <w:pict>
          <v:rect style="width:0;height:1.5pt" o:hralign="center" o:hrstd="t" o:hr="t"/>
        </w:pict>
      </w:r>
    </w:p>
    <w:bookmarkEnd w:id="32"/>
    <w:bookmarkStart w:id="33" w:name="regra-de-moeda-compatível"/>
    <w:p>
      <w:pPr>
        <w:pStyle w:val="Heading1"/>
      </w:pPr>
      <w:r>
        <w:t xml:space="preserve">23. Regra de moeda compatível</w:t>
      </w:r>
    </w:p>
    <w:p>
      <w:pPr>
        <w:pStyle w:val="FirstParagraph"/>
      </w:pPr>
      <w:r>
        <w:t xml:space="preserve">Operações entre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 </w:t>
      </w:r>
      <w:r>
        <w:t xml:space="preserve">deverão validar:</w:t>
      </w:r>
    </w:p>
    <w:p>
      <w:pPr>
        <w:pStyle w:val="SourceCode"/>
      </w:pPr>
      <w:r>
        <w:rPr>
          <w:rStyle w:val="VerbatimChar"/>
        </w:rPr>
        <w:t xml:space="preserve">currency A == currency B</w:t>
      </w:r>
    </w:p>
    <w:p>
      <w:pPr>
        <w:pStyle w:val="FirstParagraph"/>
      </w:pPr>
      <w:r>
        <w:t xml:space="preserve">quando não houver conversão explícita.</w:t>
      </w:r>
    </w:p>
    <w:p>
      <w:r>
        <w:pict>
          <v:rect style="width:0;height:1.5pt" o:hralign="center" o:hrstd="t" o:hr="t"/>
        </w:pict>
      </w:r>
    </w:p>
    <w:bookmarkEnd w:id="33"/>
    <w:bookmarkStart w:id="34" w:name="dados-externos"/>
    <w:p>
      <w:pPr>
        <w:pStyle w:val="Heading1"/>
      </w:pPr>
      <w:r>
        <w:t xml:space="preserve">24. Dados externos</w:t>
      </w:r>
    </w:p>
    <w:p>
      <w:pPr>
        <w:pStyle w:val="FirstParagraph"/>
      </w:pPr>
      <w:r>
        <w:t xml:space="preserve">Provedores externos poderão utilizar:</w:t>
      </w:r>
    </w:p>
    <w:p>
      <w:pPr>
        <w:pStyle w:val="SourceCode"/>
      </w:pPr>
      <w:r>
        <w:rPr>
          <w:rStyle w:val="VerbatimChar"/>
        </w:rPr>
        <w:t xml:space="preserve">decimal</w:t>
      </w:r>
      <w:r>
        <w:br/>
      </w:r>
      <w:r>
        <w:rPr>
          <w:rStyle w:val="VerbatimChar"/>
        </w:rPr>
        <w:t xml:space="preserve">string</w:t>
      </w:r>
      <w:r>
        <w:br/>
      </w:r>
      <w:r>
        <w:rPr>
          <w:rStyle w:val="VerbatimChar"/>
        </w:rPr>
        <w:t xml:space="preserve">integer</w:t>
      </w:r>
    </w:p>
    <w:p>
      <w:pPr>
        <w:pStyle w:val="FirstParagraph"/>
      </w:pPr>
      <w:r>
        <w:t xml:space="preserve">O adapter deverá converter para o modelo interno: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Money</w:t>
      </w:r>
    </w:p>
    <w:p>
      <w:r>
        <w:pict>
          <v:rect style="width:0;height:1.5pt" o:hralign="center" o:hrstd="t" o:hr="t"/>
        </w:pict>
      </w:r>
    </w:p>
    <w:bookmarkEnd w:id="34"/>
    <w:bookmarkStart w:id="35" w:name="idempotência"/>
    <w:p>
      <w:pPr>
        <w:pStyle w:val="Heading1"/>
      </w:pPr>
      <w:r>
        <w:t xml:space="preserve">25. Idempotência</w:t>
      </w:r>
    </w:p>
    <w:p>
      <w:pPr>
        <w:pStyle w:val="FirstParagraph"/>
      </w:pPr>
      <w:r>
        <w:t xml:space="preserve">Valores monetários associados a operações idempotentes deverão ser armazenados com a referência da operação.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├── id</w:t>
      </w:r>
      <w:r>
        <w:br/>
      </w:r>
      <w:r>
        <w:rPr>
          <w:rStyle w:val="VerbatimChar"/>
        </w:rPr>
        <w:t xml:space="preserve">├── idempotency_key</w:t>
      </w:r>
      <w:r>
        <w:br/>
      </w:r>
      <w:r>
        <w:rPr>
          <w:rStyle w:val="VerbatimChar"/>
        </w:rPr>
        <w:t xml:space="preserve">├── amount_minor</w:t>
      </w:r>
      <w:r>
        <w:br/>
      </w:r>
      <w:r>
        <w:rPr>
          <w:rStyle w:val="VerbatimChar"/>
        </w:rPr>
        <w:t xml:space="preserve">└── currency</w:t>
      </w:r>
    </w:p>
    <w:p>
      <w:r>
        <w:pict>
          <v:rect style="width:0;height:1.5pt" o:hralign="center" o:hrstd="t" o:hr="t"/>
        </w:pict>
      </w:r>
    </w:p>
    <w:bookmarkEnd w:id="35"/>
    <w:bookmarkStart w:id="36" w:name="auditoria"/>
    <w:p>
      <w:pPr>
        <w:pStyle w:val="Heading1"/>
      </w:pPr>
      <w:r>
        <w:t xml:space="preserve">26. Auditoria</w:t>
      </w:r>
    </w:p>
    <w:p>
      <w:pPr>
        <w:pStyle w:val="FirstParagraph"/>
      </w:pPr>
      <w:r>
        <w:t xml:space="preserve">Alterações relevantes de valores financeiros deverão gerar histórico/auditoria.</w:t>
      </w:r>
    </w:p>
    <w:p>
      <w:pPr>
        <w:pStyle w:val="BodyText"/>
      </w:pPr>
      <w:r>
        <w:t xml:space="preserve">Não será permitido simplesmente sobrescrever um valor financeiro crítico sem rastreabilidade.</w:t>
      </w:r>
    </w:p>
    <w:p>
      <w:r>
        <w:pict>
          <v:rect style="width:0;height:1.5pt" o:hralign="center" o:hrstd="t" o:hr="t"/>
        </w:pict>
      </w:r>
    </w:p>
    <w:bookmarkEnd w:id="36"/>
    <w:bookmarkStart w:id="37" w:name="decisão-final"/>
    <w:p>
      <w:pPr>
        <w:pStyle w:val="Heading1"/>
      </w:pPr>
      <w:r>
        <w:t xml:space="preserve">27. Decisão final</w:t>
      </w:r>
    </w:p>
    <w:p>
      <w:pPr>
        <w:pStyle w:val="FirstParagraph"/>
      </w:pPr>
      <w:r>
        <w:t xml:space="preserve">A regra oficial será:</w:t>
      </w:r>
    </w:p>
    <w:p>
      <w:pPr>
        <w:pStyle w:val="BlockText"/>
      </w:pPr>
      <w:r>
        <w:rPr>
          <w:b/>
          <w:bCs/>
        </w:rPr>
        <w:t xml:space="preserve">Todo valor monetário transacional do MiniHub será representado por uma unidade monetária mínima inteira (</w:t>
      </w:r>
      <w:r>
        <w:rPr>
          <w:rStyle w:val="VerbatimChar"/>
          <w:b/>
          <w:bCs/>
        </w:rPr>
        <w:t xml:space="preserve">amount_minor</w:t>
      </w:r>
      <w:r>
        <w:rPr>
          <w:b/>
          <w:bCs/>
        </w:rPr>
        <w:t xml:space="preserve">) acompanhada explicitamente da moeda (</w:t>
      </w:r>
      <w:r>
        <w:rPr>
          <w:rStyle w:val="VerbatimChar"/>
          <w:b/>
          <w:bCs/>
        </w:rPr>
        <w:t xml:space="preserve">currency</w:t>
      </w:r>
      <w:r>
        <w:rPr>
          <w:b/>
          <w:bCs/>
        </w:rPr>
        <w:t xml:space="preserve">).</w:t>
      </w:r>
    </w:p>
    <w:p>
      <w:pPr>
        <w:pStyle w:val="FirstParagraph"/>
      </w:pPr>
      <w:r>
        <w:t xml:space="preserve">A aplicação não utilizará ponto flutuante para representar dinheiro.</w:t>
      </w:r>
    </w:p>
    <w:p>
      <w:pPr>
        <w:pStyle w:val="BodyText"/>
      </w:pPr>
      <w:r>
        <w:t xml:space="preserve">Essa decisão será aplicada em:</w:t>
      </w:r>
    </w:p>
    <w:p>
      <w:pPr>
        <w:pStyle w:val="SourceCode"/>
      </w:pP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ORDER_ITEM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INSTALLMENT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COMMISSION</w:t>
      </w:r>
      <w:r>
        <w:br/>
      </w:r>
      <w:r>
        <w:rPr>
          <w:rStyle w:val="VerbatimChar"/>
        </w:rPr>
        <w:t xml:space="preserve">FEE</w:t>
      </w:r>
      <w:r>
        <w:br/>
      </w:r>
      <w:r>
        <w:rPr>
          <w:rStyle w:val="VerbatimChar"/>
        </w:rPr>
        <w:t xml:space="preserve">SELLER_SETTLEMENT</w:t>
      </w:r>
      <w:r>
        <w:br/>
      </w:r>
      <w:r>
        <w:rPr>
          <w:rStyle w:val="VerbatimChar"/>
        </w:rPr>
        <w:t xml:space="preserve">SELLER_RECOVERY</w:t>
      </w:r>
      <w:r>
        <w:br/>
      </w: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FINANCIAL_TRANSACTION</w:t>
      </w:r>
    </w:p>
    <w:p>
      <w:r>
        <w:pict>
          <v:rect style="width:0;height:1.5pt" o:hralign="center" o:hrstd="t" o:hr="t"/>
        </w:pict>
      </w:r>
    </w:p>
    <w:bookmarkEnd w:id="37"/>
    <w:bookmarkStart w:id="38" w:name="status"/>
    <w:p>
      <w:pPr>
        <w:pStyle w:val="Heading1"/>
      </w:pPr>
      <w:r>
        <w:t xml:space="preserve">28. Status</w:t>
      </w:r>
    </w:p>
    <w:p>
      <w:pPr>
        <w:pStyle w:val="SourceCode"/>
      </w:pPr>
      <w:r>
        <w:rPr>
          <w:rStyle w:val="VerbatimChar"/>
        </w:rPr>
        <w:t xml:space="preserve">ACEITO</w:t>
      </w:r>
    </w:p>
    <w:p>
      <w:pPr>
        <w:pStyle w:val="FirstParagraph"/>
      </w:pPr>
      <w:r>
        <w:t xml:space="preserve">Esta decisão passa a integrar a fundação arquitetural do MiniHub.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