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"/>
    <w:p>
      <w:pPr>
        <w:pStyle w:val="Heading1"/>
      </w:pPr>
      <w:r>
        <w:t xml:space="preserve">MiniHub</w:t>
      </w:r>
    </w:p>
    <w:bookmarkStart w:id="9" w:name="X0b65c7721c5b18b50636aa96dcfb2b01863cc02"/>
    <w:p>
      <w:pPr>
        <w:pStyle w:val="Heading2"/>
      </w:pPr>
      <w:r>
        <w:t xml:space="preserve">ADR-005 — Estratégia de Autenticação OIDC/OAuth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2026-09-16</w:t>
      </w:r>
      <w:r>
        <w:br/>
      </w:r>
      <w:r>
        <w:rPr>
          <w:b/>
          <w:bCs/>
        </w:rPr>
        <w:t xml:space="preserve">Decisão:</w:t>
      </w:r>
      <w:r>
        <w:t xml:space="preserve"> </w:t>
      </w:r>
      <w:r>
        <w:t xml:space="preserve">O MiniHub utilizará OpenID Connect para autenticação e OAuth 2.x para autorização de acesso às APIs, com fluxo Authorization Code + PKCE.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ntexto"/>
    <w:p>
      <w:pPr>
        <w:pStyle w:val="Heading1"/>
      </w:pPr>
      <w:r>
        <w:t xml:space="preserve">1. Contexto</w:t>
      </w:r>
    </w:p>
    <w:p>
      <w:pPr>
        <w:pStyle w:val="FirstParagraph"/>
      </w:pPr>
      <w:r>
        <w:t xml:space="preserve">O MiniHub terá:</w:t>
      </w:r>
    </w:p>
    <w:p>
      <w:pPr>
        <w:pStyle w:val="SourceCode"/>
      </w:pPr>
      <w:r>
        <w:rPr>
          <w:rStyle w:val="VerbatimChar"/>
        </w:rPr>
        <w:t xml:space="preserve">Web</w:t>
      </w:r>
      <w:r>
        <w:br/>
      </w:r>
      <w:r>
        <w:rPr>
          <w:rStyle w:val="VerbatimChar"/>
        </w:rPr>
        <w:t xml:space="preserve">Mobile futuro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Integrações</w:t>
      </w:r>
      <w:r>
        <w:br/>
      </w:r>
      <w:r>
        <w:rPr>
          <w:rStyle w:val="VerbatimChar"/>
        </w:rPr>
        <w:t xml:space="preserve">Área administrativa</w:t>
      </w:r>
      <w:r>
        <w:br/>
      </w:r>
      <w:r>
        <w:rPr>
          <w:rStyle w:val="VerbatimChar"/>
        </w:rPr>
        <w:t xml:space="preserve">Marketplace</w:t>
      </w:r>
    </w:p>
    <w:p>
      <w:pPr>
        <w:pStyle w:val="FirstParagraph"/>
      </w:pPr>
      <w:r>
        <w:t xml:space="preserve">Portanto, autenticação precisa ser baseada em padrões interoperáveis.</w:t>
      </w:r>
    </w:p>
    <w:p>
      <w:pPr>
        <w:pStyle w:val="BodyText"/>
      </w:pPr>
      <w:r>
        <w:t xml:space="preserve">OpenID Connect define autenticação sobre OAuth e utiliza claims para comunicar informações sobre o usuário autenticado.</w:t>
      </w:r>
    </w:p>
    <w:p>
      <w:r>
        <w:pict>
          <v:rect style="width:0;height:1.5pt" o:hralign="center" o:hrstd="t" o:hr="t"/>
        </w:pict>
      </w:r>
    </w:p>
    <w:bookmarkEnd w:id="11"/>
    <w:bookmarkStart w:id="12" w:name="decisão"/>
    <w:p>
      <w:pPr>
        <w:pStyle w:val="Heading1"/>
      </w:pPr>
      <w:r>
        <w:t xml:space="preserve">2. Decisão</w:t>
      </w:r>
    </w:p>
    <w:p>
      <w:pPr>
        <w:pStyle w:val="FirstParagraph"/>
      </w:pPr>
      <w:r>
        <w:t xml:space="preserve">Será utilizado:</w:t>
      </w:r>
    </w:p>
    <w:p>
      <w:pPr>
        <w:pStyle w:val="SourceCode"/>
      </w:pPr>
      <w:r>
        <w:rPr>
          <w:rStyle w:val="VerbatimChar"/>
        </w:rPr>
        <w:t xml:space="preserve">OpenID Connect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OAuth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Authorization Code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PKCE</w:t>
      </w:r>
    </w:p>
    <w:p>
      <w:pPr>
        <w:pStyle w:val="FirstParagraph"/>
      </w:pPr>
      <w:r>
        <w:t xml:space="preserve">A autenticação será delegada a um:</w:t>
      </w:r>
    </w:p>
    <w:p>
      <w:pPr>
        <w:pStyle w:val="SourceCode"/>
      </w:pPr>
      <w:r>
        <w:rPr>
          <w:rStyle w:val="VerbatimChar"/>
        </w:rPr>
        <w:t xml:space="preserve">Identity Provider</w:t>
      </w:r>
    </w:p>
    <w:p>
      <w:pPr>
        <w:pStyle w:val="FirstParagraph"/>
      </w:pPr>
      <w:r>
        <w:t xml:space="preserve">O MiniHub será:</w:t>
      </w:r>
    </w:p>
    <w:p>
      <w:pPr>
        <w:pStyle w:val="SourceCode"/>
      </w:pPr>
      <w:r>
        <w:rPr>
          <w:rStyle w:val="VerbatimChar"/>
        </w:rPr>
        <w:t xml:space="preserve">Relying Party / OAuth Client</w:t>
      </w:r>
    </w:p>
    <w:p>
      <w:r>
        <w:pict>
          <v:rect style="width:0;height:1.5pt" o:hralign="center" o:hrstd="t" o:hr="t"/>
        </w:pict>
      </w:r>
    </w:p>
    <w:bookmarkEnd w:id="12"/>
    <w:bookmarkStart w:id="13" w:name="separação-fundamental"/>
    <w:p>
      <w:pPr>
        <w:pStyle w:val="Heading1"/>
      </w:pPr>
      <w:r>
        <w:t xml:space="preserve">3. Separação fundamental</w:t>
      </w:r>
    </w:p>
    <w:p>
      <w:pPr>
        <w:pStyle w:val="FirstParagraph"/>
      </w:pPr>
      <w:r>
        <w:t xml:space="preserve">O sistema deverá distinguir:</w:t>
      </w:r>
    </w:p>
    <w:p>
      <w:pPr>
        <w:pStyle w:val="SourceCode"/>
      </w:pPr>
      <w:r>
        <w:rPr>
          <w:rStyle w:val="VerbatimChar"/>
        </w:rPr>
        <w:t xml:space="preserve">AUTHENTICATION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AUTHORIZATION</w:t>
      </w:r>
    </w:p>
    <w:p>
      <w:pPr>
        <w:pStyle w:val="FirstParagraph"/>
      </w:pPr>
      <w:r>
        <w:t xml:space="preserve">Autenticação responde:</w:t>
      </w:r>
    </w:p>
    <w:p>
      <w:pPr>
        <w:pStyle w:val="BlockText"/>
      </w:pPr>
      <w:r>
        <w:t xml:space="preserve">Quem é o usuário?</w:t>
      </w:r>
    </w:p>
    <w:p>
      <w:pPr>
        <w:pStyle w:val="FirstParagraph"/>
      </w:pPr>
      <w:r>
        <w:t xml:space="preserve">Autorização responde:</w:t>
      </w:r>
    </w:p>
    <w:p>
      <w:pPr>
        <w:pStyle w:val="BlockText"/>
      </w:pPr>
      <w:r>
        <w:t xml:space="preserve">O que esse usuário pode fazer?</w:t>
      </w:r>
    </w:p>
    <w:p>
      <w:r>
        <w:pict>
          <v:rect style="width:0;height:1.5pt" o:hralign="center" o:hrstd="t" o:hr="t"/>
        </w:pict>
      </w:r>
    </w:p>
    <w:bookmarkEnd w:id="13"/>
    <w:bookmarkStart w:id="14" w:name="fluxo"/>
    <w:p>
      <w:pPr>
        <w:pStyle w:val="Heading1"/>
      </w:pPr>
      <w:r>
        <w:t xml:space="preserve">4. Fluxo</w:t>
      </w:r>
    </w:p>
    <w:p>
      <w:pPr>
        <w:pStyle w:val="FirstParagraph"/>
      </w:pPr>
      <w:r>
        <w:t xml:space="preserve">Fluxo conceitual: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Identity 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 Code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Token / Sessão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</w:p>
    <w:p>
      <w:r>
        <w:pict>
          <v:rect style="width:0;height:1.5pt" o:hralign="center" o:hrstd="t" o:hr="t"/>
        </w:pict>
      </w:r>
    </w:p>
    <w:bookmarkEnd w:id="14"/>
    <w:bookmarkStart w:id="15" w:name="authorization-code-pkce"/>
    <w:p>
      <w:pPr>
        <w:pStyle w:val="Heading1"/>
      </w:pPr>
      <w:r>
        <w:t xml:space="preserve">5. Authorization Code + PKCE</w:t>
      </w:r>
    </w:p>
    <w:p>
      <w:pPr>
        <w:pStyle w:val="FirstParagraph"/>
      </w:pPr>
      <w:r>
        <w:t xml:space="preserve">Para aplicações baseadas em navegador será utilizado:</w:t>
      </w:r>
    </w:p>
    <w:p>
      <w:pPr>
        <w:pStyle w:val="SourceCode"/>
      </w:pPr>
      <w:r>
        <w:rPr>
          <w:rStyle w:val="VerbatimChar"/>
        </w:rPr>
        <w:t xml:space="preserve">Authorization Code Flow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PKCE</w:t>
      </w:r>
    </w:p>
    <w:p>
      <w:pPr>
        <w:pStyle w:val="FirstParagraph"/>
      </w:pPr>
      <w:r>
        <w:t xml:space="preserve">O MiniHub não deverá utilizar fluxo baseado em envio direto de credenciais para a API como arquitetura principal.</w:t>
      </w:r>
    </w:p>
    <w:p>
      <w:r>
        <w:pict>
          <v:rect style="width:0;height:1.5pt" o:hralign="center" o:hrstd="t" o:hr="t"/>
        </w:pict>
      </w:r>
    </w:p>
    <w:bookmarkEnd w:id="15"/>
    <w:bookmarkStart w:id="16" w:name="senha"/>
    <w:p>
      <w:pPr>
        <w:pStyle w:val="Heading1"/>
      </w:pPr>
      <w:r>
        <w:t xml:space="preserve">6. Senha</w:t>
      </w:r>
    </w:p>
    <w:p>
      <w:pPr>
        <w:pStyle w:val="FirstParagraph"/>
      </w:pPr>
      <w:r>
        <w:t xml:space="preserve">A aplicação não deverá criar uma implementação própria de:</w:t>
      </w:r>
    </w:p>
    <w:p>
      <w:pPr>
        <w:pStyle w:val="SourceCode"/>
      </w:pPr>
      <w:r>
        <w:rPr>
          <w:rStyle w:val="VerbatimChar"/>
        </w:rPr>
        <w:t xml:space="preserve">password hashing</w:t>
      </w:r>
      <w:r>
        <w:br/>
      </w:r>
      <w:r>
        <w:rPr>
          <w:rStyle w:val="VerbatimChar"/>
        </w:rPr>
        <w:t xml:space="preserve">password reset</w:t>
      </w:r>
      <w:r>
        <w:br/>
      </w:r>
      <w:r>
        <w:rPr>
          <w:rStyle w:val="VerbatimChar"/>
        </w:rPr>
        <w:t xml:space="preserve">MFA</w:t>
      </w:r>
      <w:r>
        <w:br/>
      </w:r>
      <w:r>
        <w:rPr>
          <w:rStyle w:val="VerbatimChar"/>
        </w:rPr>
        <w:t xml:space="preserve">account recovery</w:t>
      </w:r>
      <w:r>
        <w:br/>
      </w:r>
      <w:r>
        <w:rPr>
          <w:rStyle w:val="VerbatimChar"/>
        </w:rPr>
        <w:t xml:space="preserve">credential storage</w:t>
      </w:r>
    </w:p>
    <w:p>
      <w:pPr>
        <w:pStyle w:val="FirstParagraph"/>
      </w:pPr>
      <w:r>
        <w:t xml:space="preserve">quando essas responsabilidades puderem ser fornecidas pelo Identity Provider.</w:t>
      </w:r>
    </w:p>
    <w:p>
      <w:r>
        <w:pict>
          <v:rect style="width:0;height:1.5pt" o:hralign="center" o:hrstd="t" o:hr="t"/>
        </w:pict>
      </w:r>
    </w:p>
    <w:bookmarkEnd w:id="16"/>
    <w:bookmarkStart w:id="17" w:name="identity-provider"/>
    <w:p>
      <w:pPr>
        <w:pStyle w:val="Heading1"/>
      </w:pPr>
      <w:r>
        <w:t xml:space="preserve">7. Identity Provider</w:t>
      </w:r>
    </w:p>
    <w:p>
      <w:pPr>
        <w:pStyle w:val="FirstParagraph"/>
      </w:pPr>
      <w:r>
        <w:t xml:space="preserve">A arquitetura deverá permitir substituição do provedor.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Identity Provider 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OIDC Provider</w:t>
      </w:r>
    </w:p>
    <w:p>
      <w:pPr>
        <w:pStyle w:val="FirstParagraph"/>
      </w:pPr>
      <w:r>
        <w:t xml:space="preserve">O domínio não deverá ficar acoplado a um fornecedor específico.</w:t>
      </w:r>
    </w:p>
    <w:p>
      <w:r>
        <w:pict>
          <v:rect style="width:0;height:1.5pt" o:hralign="center" o:hrstd="t" o:hr="t"/>
        </w:pict>
      </w:r>
    </w:p>
    <w:bookmarkEnd w:id="17"/>
    <w:bookmarkStart w:id="18" w:name="identidade-interna"/>
    <w:p>
      <w:pPr>
        <w:pStyle w:val="Heading1"/>
      </w:pPr>
      <w:r>
        <w:t xml:space="preserve">8. Identidade interna</w:t>
      </w:r>
    </w:p>
    <w:p>
      <w:pPr>
        <w:pStyle w:val="FirstParagraph"/>
      </w:pPr>
      <w:r>
        <w:t xml:space="preserve">Mesmo utilizando OIDC, o MiniHub possuirá seu próprio: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├── id</w:t>
      </w:r>
      <w:r>
        <w:br/>
      </w:r>
      <w:r>
        <w:rPr>
          <w:rStyle w:val="VerbatimChar"/>
        </w:rPr>
        <w:t xml:space="preserve">├── identity_provider</w:t>
      </w:r>
      <w:r>
        <w:br/>
      </w:r>
      <w:r>
        <w:rPr>
          <w:rStyle w:val="VerbatimChar"/>
        </w:rPr>
        <w:t xml:space="preserve">├── subject</w:t>
      </w:r>
      <w:r>
        <w:br/>
      </w:r>
      <w:r>
        <w:rPr>
          <w:rStyle w:val="VerbatimChar"/>
        </w:rPr>
        <w:t xml:space="preserve">├── email</w:t>
      </w:r>
      <w:r>
        <w:br/>
      </w:r>
      <w:r>
        <w:rPr>
          <w:rStyle w:val="VerbatimChar"/>
        </w:rPr>
        <w:t xml:space="preserve">├── display_name</w:t>
      </w:r>
      <w:r>
        <w:br/>
      </w:r>
      <w:r>
        <w:rPr>
          <w:rStyle w:val="VerbatimChar"/>
        </w:rPr>
        <w:t xml:space="preserve">├── status</w:t>
      </w:r>
      <w:r>
        <w:br/>
      </w:r>
      <w:r>
        <w:rPr>
          <w:rStyle w:val="VerbatimChar"/>
        </w:rPr>
        <w:t xml:space="preserve">└── timestamps</w:t>
      </w:r>
    </w:p>
    <w:p>
      <w:r>
        <w:pict>
          <v:rect style="width:0;height:1.5pt" o:hralign="center" o:hrstd="t" o:hr="t"/>
        </w:pict>
      </w:r>
    </w:p>
    <w:bookmarkEnd w:id="18"/>
    <w:bookmarkStart w:id="19" w:name="subject"/>
    <w:p>
      <w:pPr>
        <w:pStyle w:val="Heading1"/>
      </w:pPr>
      <w:r>
        <w:t xml:space="preserve">9. Subject</w:t>
      </w:r>
    </w:p>
    <w:p>
      <w:pPr>
        <w:pStyle w:val="FirstParagraph"/>
      </w:pPr>
      <w:r>
        <w:t xml:space="preserve">O identificador externo do Identity Provider será armazenado separadamente.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identity_provider = "provider-a"</w:t>
      </w:r>
      <w:r>
        <w:br/>
      </w:r>
      <w:r>
        <w:rPr>
          <w:rStyle w:val="VerbatimChar"/>
        </w:rPr>
        <w:t xml:space="preserve">subject = "abc123..."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como chave primária de identidade.</w:t>
      </w:r>
    </w:p>
    <w:p>
      <w:r>
        <w:pict>
          <v:rect style="width:0;height:1.5pt" o:hralign="center" o:hrstd="t" o:hr="t"/>
        </w:pict>
      </w:r>
    </w:p>
    <w:bookmarkEnd w:id="19"/>
    <w:bookmarkStart w:id="20" w:name="e-mail"/>
    <w:p>
      <w:pPr>
        <w:pStyle w:val="Heading1"/>
      </w:pPr>
      <w:r>
        <w:t xml:space="preserve">10. E-mail</w:t>
      </w:r>
    </w:p>
    <w:p>
      <w:pPr>
        <w:pStyle w:val="FirstParagraph"/>
      </w:pPr>
      <w:r>
        <w:t xml:space="preserve">O e-mail será um atributo da identidade.</w:t>
      </w:r>
    </w:p>
    <w:p>
      <w:pPr>
        <w:pStyle w:val="BodyText"/>
      </w:pPr>
      <w:r>
        <w:t xml:space="preserve">Não deverá ser tratado automaticamente como identificador imutável.</w:t>
      </w:r>
    </w:p>
    <w:p>
      <w:pPr>
        <w:pStyle w:val="BodyText"/>
      </w:pPr>
      <w:r>
        <w:t xml:space="preserve">Um usuário pode alterar o e-mail conforme as regras do Identity Provider.</w:t>
      </w:r>
    </w:p>
    <w:p>
      <w:r>
        <w:pict>
          <v:rect style="width:0;height:1.5pt" o:hralign="center" o:hrstd="t" o:hr="t"/>
        </w:pict>
      </w:r>
    </w:p>
    <w:bookmarkEnd w:id="20"/>
    <w:bookmarkStart w:id="21" w:name="identidade-externa-id-interno"/>
    <w:p>
      <w:pPr>
        <w:pStyle w:val="Heading1"/>
      </w:pPr>
      <w:r>
        <w:t xml:space="preserve">11. Identidade externa ≠ ID interno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id = UUIDv7 interno</w:t>
      </w:r>
      <w:r>
        <w:br/>
      </w:r>
      <w:r>
        <w:br/>
      </w:r>
      <w:r>
        <w:rPr>
          <w:rStyle w:val="VerbatimChar"/>
        </w:rPr>
        <w:t xml:space="preserve">OIDC</w:t>
      </w:r>
      <w:r>
        <w:br/>
      </w:r>
      <w:r>
        <w:rPr>
          <w:rStyle w:val="VerbatimChar"/>
        </w:rPr>
        <w:t xml:space="preserve">subject = identificador externo</w:t>
      </w:r>
    </w:p>
    <w:p>
      <w:pPr>
        <w:pStyle w:val="FirstParagraph"/>
      </w:pPr>
      <w:r>
        <w:t xml:space="preserve">São conceitos diferentes.</w:t>
      </w:r>
    </w:p>
    <w:p>
      <w:r>
        <w:pict>
          <v:rect style="width:0;height:1.5pt" o:hralign="center" o:hrstd="t" o:hr="t"/>
        </w:pict>
      </w:r>
    </w:p>
    <w:bookmarkEnd w:id="21"/>
    <w:bookmarkStart w:id="22" w:name="sessão"/>
    <w:p>
      <w:pPr>
        <w:pStyle w:val="Heading1"/>
      </w:pPr>
      <w:r>
        <w:t xml:space="preserve">12. Sessão</w:t>
      </w:r>
    </w:p>
    <w:p>
      <w:pPr>
        <w:pStyle w:val="FirstParagraph"/>
      </w:pPr>
      <w:r>
        <w:t xml:space="preserve">Após autenticação, o MiniHub manterá uma sessão segura.</w:t>
      </w:r>
    </w:p>
    <w:p>
      <w:pPr>
        <w:pStyle w:val="BodyText"/>
      </w:pPr>
      <w:r>
        <w:t xml:space="preserve">Quando aplicável, a sessão deverá utilizar cookie: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SameSite</w:t>
      </w:r>
    </w:p>
    <w:p>
      <w:pPr>
        <w:pStyle w:val="FirstParagraph"/>
      </w:pPr>
      <w:r>
        <w:t xml:space="preserve">Tokens sensíveis não deverão ficar disponíveis ao JavaScript desnecessariamente.</w:t>
      </w:r>
    </w:p>
    <w:p>
      <w:r>
        <w:pict>
          <v:rect style="width:0;height:1.5pt" o:hralign="center" o:hrstd="t" o:hr="t"/>
        </w:pict>
      </w:r>
    </w:p>
    <w:bookmarkEnd w:id="22"/>
    <w:bookmarkStart w:id="23" w:name="localstorage"/>
    <w:p>
      <w:pPr>
        <w:pStyle w:val="Heading1"/>
      </w:pPr>
      <w:r>
        <w:t xml:space="preserve">13. LocalStorage</w:t>
      </w:r>
    </w:p>
    <w:p>
      <w:pPr>
        <w:pStyle w:val="FirstParagraph"/>
      </w:pPr>
      <w:r>
        <w:t xml:space="preserve">Não será adotado:</w:t>
      </w:r>
    </w:p>
    <w:p>
      <w:pPr>
        <w:pStyle w:val="SourceCode"/>
      </w:pPr>
      <w:r>
        <w:rPr>
          <w:rStyle w:val="VerbatimChar"/>
        </w:rPr>
        <w:t xml:space="preserve">localStorage</w:t>
      </w:r>
    </w:p>
    <w:p>
      <w:pPr>
        <w:pStyle w:val="FirstParagraph"/>
      </w:pPr>
      <w:r>
        <w:t xml:space="preserve">como armazenamento padrão para refresh tokens ou credenciais de sessão.</w:t>
      </w:r>
    </w:p>
    <w:p>
      <w:r>
        <w:pict>
          <v:rect style="width:0;height:1.5pt" o:hralign="center" o:hrstd="t" o:hr="t"/>
        </w:pict>
      </w:r>
    </w:p>
    <w:bookmarkEnd w:id="23"/>
    <w:bookmarkStart w:id="24" w:name="access-token"/>
    <w:p>
      <w:pPr>
        <w:pStyle w:val="Heading1"/>
      </w:pPr>
      <w:r>
        <w:t xml:space="preserve">14. Access Token</w:t>
      </w:r>
    </w:p>
    <w:p>
      <w:pPr>
        <w:pStyle w:val="FirstParagraph"/>
      </w:pPr>
      <w:r>
        <w:t xml:space="preserve">O access token será utilizado para autorização das APIs quando esse modelo fizer parte da arquitetura de integração.</w:t>
      </w:r>
    </w:p>
    <w:p>
      <w:pPr>
        <w:pStyle w:val="BodyText"/>
      </w:pPr>
      <w:r>
        <w:t xml:space="preserve">A API deverá validar:</w:t>
      </w:r>
    </w:p>
    <w:p>
      <w:pPr>
        <w:pStyle w:val="SourceCode"/>
      </w:pP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audience</w:t>
      </w:r>
      <w:r>
        <w:br/>
      </w:r>
      <w:r>
        <w:rPr>
          <w:rStyle w:val="VerbatimChar"/>
        </w:rPr>
        <w:t xml:space="preserve">signature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claims</w:t>
      </w:r>
    </w:p>
    <w:p>
      <w:pPr>
        <w:pStyle w:val="FirstParagraph"/>
      </w:pPr>
      <w:r>
        <w:t xml:space="preserve">conforme o protocolo adotado.</w:t>
      </w:r>
    </w:p>
    <w:p>
      <w:r>
        <w:pict>
          <v:rect style="width:0;height:1.5pt" o:hralign="center" o:hrstd="t" o:hr="t"/>
        </w:pict>
      </w:r>
    </w:p>
    <w:bookmarkEnd w:id="24"/>
    <w:bookmarkStart w:id="25" w:name="id-token"/>
    <w:p>
      <w:pPr>
        <w:pStyle w:val="Heading1"/>
      </w:pPr>
      <w:r>
        <w:t xml:space="preserve">15. ID Token</w:t>
      </w:r>
    </w:p>
    <w:p>
      <w:pPr>
        <w:pStyle w:val="FirstParagraph"/>
      </w:pPr>
      <w:r>
        <w:t xml:space="preserve">O ID Token será utilizado para informações de identidade OIDC.</w:t>
      </w:r>
    </w:p>
    <w:p>
      <w:pPr>
        <w:pStyle w:val="BodyText"/>
      </w:pPr>
      <w:r>
        <w:t xml:space="preserve">Não deverá ser tratado genericamente como substituto de um access token.</w:t>
      </w:r>
    </w:p>
    <w:p>
      <w:r>
        <w:pict>
          <v:rect style="width:0;height:1.5pt" o:hralign="center" o:hrstd="t" o:hr="t"/>
        </w:pict>
      </w:r>
    </w:p>
    <w:bookmarkEnd w:id="25"/>
    <w:bookmarkStart w:id="26" w:name="claims"/>
    <w:p>
      <w:pPr>
        <w:pStyle w:val="Heading1"/>
      </w:pPr>
      <w:r>
        <w:t xml:space="preserve">16. Claims</w:t>
      </w:r>
    </w:p>
    <w:p>
      <w:pPr>
        <w:pStyle w:val="FirstParagraph"/>
      </w:pPr>
      <w:r>
        <w:t xml:space="preserve">Claims relevantes poderão incluir:</w:t>
      </w:r>
    </w:p>
    <w:p>
      <w:pPr>
        <w:pStyle w:val="SourceCode"/>
      </w:pPr>
      <w:r>
        <w:rPr>
          <w:rStyle w:val="VerbatimChar"/>
        </w:rPr>
        <w:t xml:space="preserve">sub</w:t>
      </w:r>
      <w:r>
        <w:br/>
      </w:r>
      <w:r>
        <w:rPr>
          <w:rStyle w:val="VerbatimChar"/>
        </w:rPr>
        <w:t xml:space="preserve">iss</w:t>
      </w:r>
      <w:r>
        <w:br/>
      </w:r>
      <w:r>
        <w:rPr>
          <w:rStyle w:val="VerbatimChar"/>
        </w:rPr>
        <w:t xml:space="preserve">aud</w:t>
      </w:r>
      <w:r>
        <w:br/>
      </w:r>
      <w:r>
        <w:rPr>
          <w:rStyle w:val="VerbatimChar"/>
        </w:rPr>
        <w:t xml:space="preserve">exp</w:t>
      </w:r>
      <w:r>
        <w:br/>
      </w:r>
      <w:r>
        <w:rPr>
          <w:rStyle w:val="VerbatimChar"/>
        </w:rPr>
        <w:t xml:space="preserve">iat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email_verified</w:t>
      </w:r>
    </w:p>
    <w:p>
      <w:pPr>
        <w:pStyle w:val="FirstParagraph"/>
      </w:pPr>
      <w:r>
        <w:t xml:space="preserve">Claims específicos do MiniHub não deverão ser adicionados sem necessidade.</w:t>
      </w:r>
    </w:p>
    <w:p>
      <w:r>
        <w:pict>
          <v:rect style="width:0;height:1.5pt" o:hralign="center" o:hrstd="t" o:hr="t"/>
        </w:pict>
      </w:r>
    </w:p>
    <w:bookmarkEnd w:id="26"/>
    <w:bookmarkStart w:id="27" w:name="roles-e-permissões"/>
    <w:p>
      <w:pPr>
        <w:pStyle w:val="Heading1"/>
      </w:pPr>
      <w:r>
        <w:t xml:space="preserve">17. Roles e permissões</w:t>
      </w:r>
    </w:p>
    <w:p>
      <w:pPr>
        <w:pStyle w:val="FirstParagraph"/>
      </w:pPr>
      <w:r>
        <w:t xml:space="preserve">Não colocar toda autorização dentro do token.</w:t>
      </w:r>
    </w:p>
    <w:p>
      <w:pPr>
        <w:pStyle w:val="BodyText"/>
      </w:pPr>
      <w:r>
        <w:t xml:space="preserve">O token poderá carregar informações necessárias para a sessão/autorização, mas o MiniHub continuará sendo responsável por aplicar suas próprias regras.</w:t>
      </w:r>
    </w:p>
    <w:p>
      <w:r>
        <w:pict>
          <v:rect style="width:0;height:1.5pt" o:hralign="center" o:hrstd="t" o:hr="t"/>
        </w:pict>
      </w:r>
    </w:p>
    <w:bookmarkEnd w:id="27"/>
    <w:bookmarkStart w:id="28" w:name="usuário-desativado"/>
    <w:p>
      <w:pPr>
        <w:pStyle w:val="Heading1"/>
      </w:pPr>
      <w:r>
        <w:t xml:space="preserve">18. Usuário desativado</w:t>
      </w:r>
    </w:p>
    <w:p>
      <w:pPr>
        <w:pStyle w:val="FirstParagraph"/>
      </w:pPr>
      <w:r>
        <w:t xml:space="preserve">Mesmo que o token ainda seja tecnicamente válido, o MiniHub deverá poder bloquear o acesso de um usuário internamente.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APP_USER.status = SUSPENDED</w:t>
      </w:r>
    </w:p>
    <w:p>
      <w:r>
        <w:pict>
          <v:rect style="width:0;height:1.5pt" o:hralign="center" o:hrstd="t" o:hr="t"/>
        </w:pict>
      </w:r>
    </w:p>
    <w:bookmarkEnd w:id="28"/>
    <w:bookmarkStart w:id="29" w:name="logout"/>
    <w:p>
      <w:pPr>
        <w:pStyle w:val="Heading1"/>
      </w:pPr>
      <w:r>
        <w:t xml:space="preserve">19. Logout</w:t>
      </w:r>
    </w:p>
    <w:p>
      <w:pPr>
        <w:pStyle w:val="FirstParagraph"/>
      </w:pPr>
      <w:r>
        <w:t xml:space="preserve">O logout deverá considerar:</w:t>
      </w:r>
    </w:p>
    <w:p>
      <w:pPr>
        <w:pStyle w:val="SourceCode"/>
      </w:pPr>
      <w:r>
        <w:rPr>
          <w:rStyle w:val="VerbatimChar"/>
        </w:rPr>
        <w:t xml:space="preserve">sessão local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sessão no Identity Provider</w:t>
      </w:r>
    </w:p>
    <w:p>
      <w:pPr>
        <w:pStyle w:val="FirstParagraph"/>
      </w:pPr>
      <w:r>
        <w:t xml:space="preserve">quando aplicável.</w:t>
      </w:r>
    </w:p>
    <w:p>
      <w:pPr>
        <w:pStyle w:val="BodyText"/>
      </w:pPr>
      <w:r>
        <w:t xml:space="preserve">A arquitetura deverá permitir evolução futura para mecanismos OIDC de logout.</w:t>
      </w:r>
    </w:p>
    <w:p>
      <w:r>
        <w:pict>
          <v:rect style="width:0;height:1.5pt" o:hralign="center" o:hrstd="t" o:hr="t"/>
        </w:pict>
      </w:r>
    </w:p>
    <w:bookmarkEnd w:id="29"/>
    <w:bookmarkStart w:id="30" w:name="mfa"/>
    <w:p>
      <w:pPr>
        <w:pStyle w:val="Heading1"/>
      </w:pPr>
      <w:r>
        <w:t xml:space="preserve">20. MFA</w:t>
      </w:r>
    </w:p>
    <w:p>
      <w:pPr>
        <w:pStyle w:val="FirstParagraph"/>
      </w:pPr>
      <w:r>
        <w:t xml:space="preserve">MFA será preferencialmente responsabilidade do Identity Provider.</w:t>
      </w:r>
    </w:p>
    <w:p>
      <w:pPr>
        <w:pStyle w:val="BodyText"/>
      </w:pPr>
      <w:r>
        <w:t xml:space="preserve">O MiniHub deverá conseguir consultar o resultado/nível de autenticação quando necessário para operações de maior risco.</w:t>
      </w:r>
    </w:p>
    <w:p>
      <w:r>
        <w:pict>
          <v:rect style="width:0;height:1.5pt" o:hralign="center" o:hrstd="t" o:hr="t"/>
        </w:pict>
      </w:r>
    </w:p>
    <w:bookmarkEnd w:id="30"/>
    <w:bookmarkStart w:id="31" w:name="operações-de-alto-risco"/>
    <w:p>
      <w:pPr>
        <w:pStyle w:val="Heading1"/>
      </w:pPr>
      <w:r>
        <w:t xml:space="preserve">21. Operações de alto risco</w:t>
      </w:r>
    </w:p>
    <w:p>
      <w:pPr>
        <w:pStyle w:val="FirstParagraph"/>
      </w:pPr>
      <w:r>
        <w:t xml:space="preserve">Futuramente poderão exigir autenticação reforçada:</w:t>
      </w:r>
    </w:p>
    <w:p>
      <w:pPr>
        <w:pStyle w:val="SourceCode"/>
      </w:pPr>
      <w:r>
        <w:rPr>
          <w:rStyle w:val="VerbatimChar"/>
        </w:rPr>
        <w:t xml:space="preserve">alteração de dados financeiros</w:t>
      </w:r>
      <w:r>
        <w:br/>
      </w:r>
      <w:r>
        <w:rPr>
          <w:rStyle w:val="VerbatimChar"/>
        </w:rPr>
        <w:t xml:space="preserve">alteração de conta de recebimento</w:t>
      </w:r>
      <w:r>
        <w:br/>
      </w:r>
      <w:r>
        <w:rPr>
          <w:rStyle w:val="VerbatimChar"/>
        </w:rPr>
        <w:t xml:space="preserve">ações administrativas</w:t>
      </w:r>
      <w:r>
        <w:br/>
      </w:r>
      <w:r>
        <w:rPr>
          <w:rStyle w:val="VerbatimChar"/>
        </w:rPr>
        <w:t xml:space="preserve">operações sensíveis de vendedor</w:t>
      </w:r>
    </w:p>
    <w:p>
      <w:pPr>
        <w:pStyle w:val="FirstParagraph"/>
      </w:pPr>
      <w:r>
        <w:t xml:space="preserve">Essa regra será tratada posteriormente por política específica.</w:t>
      </w:r>
    </w:p>
    <w:p>
      <w:r>
        <w:pict>
          <v:rect style="width:0;height:1.5pt" o:hralign="center" o:hrstd="t" o:hr="t"/>
        </w:pict>
      </w:r>
    </w:p>
    <w:bookmarkEnd w:id="31"/>
    <w:bookmarkStart w:id="32" w:name="recuperação-de-conta"/>
    <w:p>
      <w:pPr>
        <w:pStyle w:val="Heading1"/>
      </w:pPr>
      <w:r>
        <w:t xml:space="preserve">22. Recuperação de conta</w:t>
      </w:r>
    </w:p>
    <w:p>
      <w:pPr>
        <w:pStyle w:val="FirstParagraph"/>
      </w:pPr>
      <w:r>
        <w:t xml:space="preserve">Não implementar recuperação de senha dentro do domínio principal do MiniHub.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Identity 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Account Recovery</w:t>
      </w:r>
    </w:p>
    <w:p>
      <w:r>
        <w:pict>
          <v:rect style="width:0;height:1.5pt" o:hralign="center" o:hrstd="t" o:hr="t"/>
        </w:pict>
      </w:r>
    </w:p>
    <w:bookmarkEnd w:id="32"/>
    <w:bookmarkStart w:id="33" w:name="e-mail-verificado"/>
    <w:p>
      <w:pPr>
        <w:pStyle w:val="Heading1"/>
      </w:pPr>
      <w:r>
        <w:t xml:space="preserve">23. E-mail verificado</w:t>
      </w:r>
    </w:p>
    <w:p>
      <w:pPr>
        <w:pStyle w:val="FirstParagraph"/>
      </w:pPr>
      <w:r>
        <w:t xml:space="preserve">Quando o domínio exigir e-mail confiável:</w:t>
      </w:r>
    </w:p>
    <w:p>
      <w:pPr>
        <w:pStyle w:val="SourceCode"/>
      </w:pPr>
      <w:r>
        <w:rPr>
          <w:rStyle w:val="VerbatimChar"/>
        </w:rPr>
        <w:t xml:space="preserve">email_verified = true</w:t>
      </w:r>
    </w:p>
    <w:p>
      <w:pPr>
        <w:pStyle w:val="FirstParagraph"/>
      </w:pPr>
      <w:r>
        <w:t xml:space="preserve">deverá ser considerado.</w:t>
      </w:r>
    </w:p>
    <w:p>
      <w:pPr>
        <w:pStyle w:val="BodyText"/>
      </w:pPr>
      <w:r>
        <w:t xml:space="preserve">Não assumir que simplesmente possuir um campo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significa que ele foi validado.</w:t>
      </w:r>
    </w:p>
    <w:p>
      <w:r>
        <w:pict>
          <v:rect style="width:0;height:1.5pt" o:hralign="center" o:hrstd="t" o:hr="t"/>
        </w:pict>
      </w:r>
    </w:p>
    <w:bookmarkEnd w:id="33"/>
    <w:bookmarkStart w:id="34" w:name="integrações"/>
    <w:p>
      <w:pPr>
        <w:pStyle w:val="Heading1"/>
      </w:pPr>
      <w:r>
        <w:t xml:space="preserve">24. Integrações</w:t>
      </w:r>
    </w:p>
    <w:p>
      <w:pPr>
        <w:pStyle w:val="FirstParagraph"/>
      </w:pPr>
      <w:r>
        <w:t xml:space="preserve">Integrações servidor-servidor não deverão utilizar identidade de usuário final quando isso não fizer sentido.</w:t>
      </w:r>
    </w:p>
    <w:p>
      <w:pPr>
        <w:pStyle w:val="BodyText"/>
      </w:pPr>
      <w:r>
        <w:t xml:space="preserve">Poderão utilizar:</w:t>
      </w:r>
    </w:p>
    <w:p>
      <w:pPr>
        <w:pStyle w:val="SourceCode"/>
      </w:pPr>
      <w:r>
        <w:rPr>
          <w:rStyle w:val="VerbatimChar"/>
        </w:rPr>
        <w:t xml:space="preserve">client credentials</w:t>
      </w:r>
      <w:r>
        <w:br/>
      </w:r>
      <w:r>
        <w:rPr>
          <w:rStyle w:val="VerbatimChar"/>
        </w:rPr>
        <w:t xml:space="preserve">service identity</w:t>
      </w:r>
      <w:r>
        <w:br/>
      </w:r>
      <w:r>
        <w:rPr>
          <w:rStyle w:val="VerbatimChar"/>
        </w:rPr>
        <w:t xml:space="preserve">API credential</w:t>
      </w:r>
      <w:r>
        <w:br/>
      </w:r>
      <w:r>
        <w:rPr>
          <w:rStyle w:val="VerbatimChar"/>
        </w:rPr>
        <w:t xml:space="preserve">provider credential</w:t>
      </w:r>
    </w:p>
    <w:p>
      <w:pPr>
        <w:pStyle w:val="FirstParagraph"/>
      </w:pPr>
      <w:r>
        <w:t xml:space="preserve">conforme a integração.</w:t>
      </w:r>
    </w:p>
    <w:p>
      <w:r>
        <w:pict>
          <v:rect style="width:0;height:1.5pt" o:hralign="center" o:hrstd="t" o:hr="t"/>
        </w:pict>
      </w:r>
    </w:p>
    <w:bookmarkEnd w:id="34"/>
    <w:bookmarkStart w:id="35" w:name="backend-como-security-boundary"/>
    <w:p>
      <w:pPr>
        <w:pStyle w:val="Heading1"/>
      </w:pPr>
      <w:r>
        <w:t xml:space="preserve">25. Backend como Security Boundary</w:t>
      </w:r>
    </w:p>
    <w:p>
      <w:pPr>
        <w:pStyle w:val="FirstParagraph"/>
      </w:pPr>
      <w:r>
        <w:t xml:space="preserve">O frontend poderá esconder funcionalidades.</w:t>
      </w:r>
    </w:p>
    <w:p>
      <w:pPr>
        <w:pStyle w:val="BodyText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Security Boundary</w:t>
      </w:r>
    </w:p>
    <w:p>
      <w:pPr>
        <w:pStyle w:val="FirstParagraph"/>
      </w:pPr>
      <w:r>
        <w:t xml:space="preserve">A API deverá validar autenticação e autorização.</w:t>
      </w:r>
    </w:p>
    <w:p>
      <w:r>
        <w:pict>
          <v:rect style="width:0;height:1.5pt" o:hralign="center" o:hrstd="t" o:hr="t"/>
        </w:pict>
      </w:r>
    </w:p>
    <w:bookmarkEnd w:id="35"/>
    <w:bookmarkStart w:id="36" w:name="fluxo-de-acesso"/>
    <w:p>
      <w:pPr>
        <w:pStyle w:val="Heading1"/>
      </w:pPr>
      <w:r>
        <w:t xml:space="preserve">26. Fluxo de acesso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Resolution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Rule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Operation</w:t>
      </w:r>
    </w:p>
    <w:p>
      <w:r>
        <w:pict>
          <v:rect style="width:0;height:1.5pt" o:hralign="center" o:hrstd="t" o:hr="t"/>
        </w:pict>
      </w:r>
    </w:p>
    <w:bookmarkEnd w:id="36"/>
    <w:bookmarkStart w:id="37" w:name="segurança"/>
    <w:p>
      <w:pPr>
        <w:pStyle w:val="Heading1"/>
      </w:pPr>
      <w:r>
        <w:t xml:space="preserve">27. Segurança</w:t>
      </w:r>
    </w:p>
    <w:p>
      <w:pPr>
        <w:pStyle w:val="FirstParagraph"/>
      </w:pPr>
      <w:r>
        <w:t xml:space="preserve">A implementação deverá seguir o baseline de segurança definido no A01 e E24.</w:t>
      </w:r>
    </w:p>
    <w:p>
      <w:pPr>
        <w:pStyle w:val="BodyText"/>
      </w:pPr>
      <w:r>
        <w:t xml:space="preserve">O OWASP ASVS fornece requisitos para verificação de controles técnicos de segurança de aplicações web e requisitos para desenvolvimento seguro.</w:t>
      </w:r>
    </w:p>
    <w:p>
      <w:r>
        <w:pict>
          <v:rect style="width:0;height:1.5pt" o:hralign="center" o:hrstd="t" o:hr="t"/>
        </w:pict>
      </w:r>
    </w:p>
    <w:bookmarkEnd w:id="37"/>
    <w:bookmarkStart w:id="38" w:name="oauth-2.1"/>
    <w:p>
      <w:pPr>
        <w:pStyle w:val="Heading1"/>
      </w:pPr>
      <w:r>
        <w:t xml:space="preserve">28. OAuth 2.1</w:t>
      </w:r>
    </w:p>
    <w:p>
      <w:pPr>
        <w:pStyle w:val="FirstParagraph"/>
      </w:pPr>
      <w:r>
        <w:t xml:space="preserve">A arquitetura será preparada para OAuth 2.1.</w:t>
      </w:r>
    </w:p>
    <w:p>
      <w:pPr>
        <w:pStyle w:val="BodyText"/>
      </w:pPr>
      <w:r>
        <w:t xml:space="preserve">No momento desta decisão, OAuth 2.1 ainda está sendo trabalhado no IETF como Internet-Draft, portanto o documento não tratará “OAuth 2.1” como uma RFC finalizada.</w:t>
      </w:r>
    </w:p>
    <w:p>
      <w:pPr>
        <w:pStyle w:val="BodyText"/>
      </w:pPr>
      <w:r>
        <w:t xml:space="preserve">A implementação deverá utilizar somente fluxos e práticas suportados pela documentação atual do provedor e pelos padrões vigentes.</w:t>
      </w:r>
    </w:p>
    <w:p>
      <w:r>
        <w:pict>
          <v:rect style="width:0;height:1.5pt" o:hralign="center" o:hrstd="t" o:hr="t"/>
        </w:pict>
      </w:r>
    </w:p>
    <w:bookmarkEnd w:id="38"/>
    <w:bookmarkStart w:id="39" w:name="api-interna"/>
    <w:p>
      <w:pPr>
        <w:pStyle w:val="Heading1"/>
      </w:pPr>
      <w:r>
        <w:t xml:space="preserve">29. API interna</w:t>
      </w:r>
    </w:p>
    <w:p>
      <w:pPr>
        <w:pStyle w:val="FirstParagraph"/>
      </w:pPr>
      <w:r>
        <w:t xml:space="preserve">A API poderá receber: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quando esse modelo for utilizado.</w:t>
      </w:r>
    </w:p>
    <w:p>
      <w:r>
        <w:pict>
          <v:rect style="width:0;height:1.5pt" o:hralign="center" o:hrstd="t" o:hr="t"/>
        </w:pict>
      </w:r>
    </w:p>
    <w:bookmarkEnd w:id="39"/>
    <w:bookmarkStart w:id="40" w:name="cookies-versus-bearer"/>
    <w:p>
      <w:pPr>
        <w:pStyle w:val="Heading1"/>
      </w:pPr>
      <w:r>
        <w:t xml:space="preserve">30. Cookies versus Bearer</w:t>
      </w:r>
    </w:p>
    <w:p>
      <w:pPr>
        <w:pStyle w:val="FirstParagraph"/>
      </w:pPr>
      <w:r>
        <w:t xml:space="preserve">A arquitetura poderá utilizar:</w:t>
      </w:r>
    </w:p>
    <w:p>
      <w:pPr>
        <w:pStyle w:val="SourceCode"/>
      </w:pPr>
      <w:r>
        <w:rPr>
          <w:rStyle w:val="VerbatimChar"/>
        </w:rPr>
        <w:t xml:space="preserve">Browser → sessão/cookie seguro → BFF/API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Client → Bearer Access Token → API</w:t>
      </w:r>
    </w:p>
    <w:p>
      <w:pPr>
        <w:pStyle w:val="FirstParagraph"/>
      </w:pPr>
      <w:r>
        <w:t xml:space="preserve">dependendo do cliente.</w:t>
      </w:r>
    </w:p>
    <w:p>
      <w:pPr>
        <w:pStyle w:val="BodyText"/>
      </w:pPr>
      <w:r>
        <w:t xml:space="preserve">A decisão específica por cliente será documentada na implementação.</w:t>
      </w:r>
    </w:p>
    <w:p>
      <w:r>
        <w:pict>
          <v:rect style="width:0;height:1.5pt" o:hralign="center" o:hrstd="t" o:hr="t"/>
        </w:pict>
      </w:r>
    </w:p>
    <w:bookmarkEnd w:id="40"/>
    <w:bookmarkStart w:id="41" w:name="provedor-não-é-domínio"/>
    <w:p>
      <w:pPr>
        <w:pStyle w:val="Heading1"/>
      </w:pPr>
      <w:r>
        <w:t xml:space="preserve">31. Provedor não é domínio</w:t>
      </w:r>
    </w:p>
    <w:p>
      <w:pPr>
        <w:pStyle w:val="FirstParagraph"/>
      </w:pPr>
      <w:r>
        <w:t xml:space="preserve">O domínio do MiniHub não deverá depender diretamente de classes específicas do Identity Provider.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AuthenticationPort</w:t>
      </w:r>
    </w:p>
    <w:p>
      <w:pPr>
        <w:pStyle w:val="FirstParagraph"/>
      </w:pPr>
      <w:r>
        <w:t xml:space="preserve">com adapter:</w:t>
      </w:r>
    </w:p>
    <w:p>
      <w:pPr>
        <w:pStyle w:val="SourceCode"/>
      </w:pPr>
      <w:r>
        <w:rPr>
          <w:rStyle w:val="VerbatimChar"/>
        </w:rPr>
        <w:t xml:space="preserve">OidcProviderAdapter</w:t>
      </w:r>
    </w:p>
    <w:p>
      <w:r>
        <w:pict>
          <v:rect style="width:0;height:1.5pt" o:hralign="center" o:hrstd="t" o:hr="t"/>
        </w:pict>
      </w:r>
    </w:p>
    <w:bookmarkEnd w:id="41"/>
    <w:bookmarkStart w:id="42" w:name="eventos"/>
    <w:p>
      <w:pPr>
        <w:pStyle w:val="Heading1"/>
      </w:pPr>
      <w:r>
        <w:t xml:space="preserve">32. Eventos</w:t>
      </w:r>
    </w:p>
    <w:p>
      <w:pPr>
        <w:pStyle w:val="FirstParagraph"/>
      </w:pPr>
      <w:r>
        <w:t xml:space="preserve">Eventos relacionados à identidade poderão incluir:</w:t>
      </w:r>
    </w:p>
    <w:p>
      <w:pPr>
        <w:pStyle w:val="SourceCode"/>
      </w:pPr>
      <w:r>
        <w:rPr>
          <w:rStyle w:val="VerbatimChar"/>
        </w:rPr>
        <w:t xml:space="preserve">UserAuthenticated</w:t>
      </w:r>
      <w:r>
        <w:br/>
      </w:r>
      <w:r>
        <w:rPr>
          <w:rStyle w:val="VerbatimChar"/>
        </w:rPr>
        <w:t xml:space="preserve">UserCreated</w:t>
      </w:r>
      <w:r>
        <w:br/>
      </w:r>
      <w:r>
        <w:rPr>
          <w:rStyle w:val="VerbatimChar"/>
        </w:rPr>
        <w:t xml:space="preserve">UserLinked</w:t>
      </w:r>
      <w:r>
        <w:br/>
      </w:r>
      <w:r>
        <w:rPr>
          <w:rStyle w:val="VerbatimChar"/>
        </w:rPr>
        <w:t xml:space="preserve">UserSuspended</w:t>
      </w:r>
      <w:r>
        <w:br/>
      </w:r>
      <w:r>
        <w:rPr>
          <w:rStyle w:val="VerbatimChar"/>
        </w:rPr>
        <w:t xml:space="preserve">UserReactivated</w:t>
      </w:r>
      <w:r>
        <w:br/>
      </w:r>
      <w:r>
        <w:rPr>
          <w:rStyle w:val="VerbatimChar"/>
        </w:rPr>
        <w:t xml:space="preserve">UserLoggedOut</w:t>
      </w:r>
    </w:p>
    <w:p>
      <w:pPr>
        <w:pStyle w:val="FirstParagraph"/>
      </w:pPr>
      <w:r>
        <w:t xml:space="preserve">Eventos de autenticação não substituem logs de segurança nem auditoria.</w:t>
      </w:r>
    </w:p>
    <w:p>
      <w:r>
        <w:pict>
          <v:rect style="width:0;height:1.5pt" o:hralign="center" o:hrstd="t" o:hr="t"/>
        </w:pict>
      </w:r>
    </w:p>
    <w:bookmarkEnd w:id="42"/>
    <w:bookmarkStart w:id="43" w:name="auditoria"/>
    <w:p>
      <w:pPr>
        <w:pStyle w:val="Heading1"/>
      </w:pPr>
      <w:r>
        <w:t xml:space="preserve">33. Auditoria</w:t>
      </w:r>
    </w:p>
    <w:p>
      <w:pPr>
        <w:pStyle w:val="FirstParagraph"/>
      </w:pPr>
      <w:r>
        <w:t xml:space="preserve">Operações administrativas e sensíveis deverão possuir:</w:t>
      </w:r>
    </w:p>
    <w:p>
      <w:pPr>
        <w:pStyle w:val="SourceCode"/>
      </w:pP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correlation_id</w:t>
      </w:r>
    </w:p>
    <w:p>
      <w:r>
        <w:pict>
          <v:rect style="width:0;height:1.5pt" o:hralign="center" o:hrstd="t" o:hr="t"/>
        </w:pict>
      </w:r>
    </w:p>
    <w:bookmarkEnd w:id="43"/>
    <w:bookmarkStart w:id="44" w:name="decisão-final"/>
    <w:p>
      <w:pPr>
        <w:pStyle w:val="Heading1"/>
      </w:pPr>
      <w:r>
        <w:t xml:space="preserve">34. Decisão final</w:t>
      </w:r>
    </w:p>
    <w:p>
      <w:pPr>
        <w:pStyle w:val="FirstParagraph"/>
      </w:pPr>
      <w:r>
        <w:t xml:space="preserve">A regra oficial será:</w:t>
      </w:r>
    </w:p>
    <w:p>
      <w:pPr>
        <w:pStyle w:val="BlockText"/>
      </w:pPr>
      <w:r>
        <w:rPr>
          <w:b/>
          <w:bCs/>
        </w:rPr>
        <w:t xml:space="preserve">O MiniHub utilizará OpenID Connect para autenticação e OAuth para autorização de acesso a recursos protegidos, utilizando Authorization Code + PKCE como fluxo principal para aplicações de usuário.</w:t>
      </w:r>
    </w:p>
    <w:p>
      <w:pPr>
        <w:pStyle w:val="FirstParagraph"/>
      </w:pPr>
      <w:r>
        <w:t xml:space="preserve">O usuário terá identidade externa no Identity Provider e identidade interna própria no MiniHub.</w:t>
      </w:r>
    </w:p>
    <w:p>
      <w:r>
        <w:pict>
          <v:rect style="width:0;height:1.5pt" o:hralign="center" o:hrstd="t" o:hr="t"/>
        </w:pict>
      </w:r>
    </w:p>
    <w:bookmarkEnd w:id="44"/>
    <w:bookmarkStart w:id="45" w:name="status"/>
    <w:p>
      <w:pPr>
        <w:pStyle w:val="Heading1"/>
      </w:pPr>
      <w:r>
        <w:t xml:space="preserve">35. Status</w:t>
      </w:r>
    </w:p>
    <w:p>
      <w:pPr>
        <w:pStyle w:val="SourceCode"/>
      </w:pPr>
      <w:r>
        <w:rPr>
          <w:rStyle w:val="VerbatimChar"/>
        </w:rPr>
        <w:t xml:space="preserve">ACEITO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