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"/>
    <w:p>
      <w:pPr>
        <w:pStyle w:val="Heading1"/>
      </w:pPr>
      <w:r>
        <w:t xml:space="preserve">MiniHub</w:t>
      </w:r>
    </w:p>
    <w:bookmarkStart w:id="9" w:name="X4f918ad9a578ecb1e01b9a3558c9125b18ca781"/>
    <w:p>
      <w:pPr>
        <w:pStyle w:val="Heading2"/>
      </w:pPr>
      <w:r>
        <w:t xml:space="preserve">ADR-006 — Modelo de Autorização, Roles, Capabilities e Ownership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2026-09-16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A autorização do MiniHub será baseada em uma combinação de identidade, papel, capability, contexto do recurso e ownership.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terá diferentes tipos de usuários: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Administrator</w:t>
      </w:r>
    </w:p>
    <w:p>
      <w:pPr>
        <w:pStyle w:val="FirstParagraph"/>
      </w:pPr>
      <w:r>
        <w:t xml:space="preserve">Um mesmo usuário poderá possuir mais de uma capacidade.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├── colecionador</w:t>
      </w:r>
      <w:r>
        <w:br/>
      </w:r>
      <w:r>
        <w:rPr>
          <w:rStyle w:val="VerbatimChar"/>
        </w:rPr>
        <w:t xml:space="preserve"> ├── vendedor</w:t>
      </w:r>
      <w:r>
        <w:br/>
      </w:r>
      <w:r>
        <w:rPr>
          <w:rStyle w:val="VerbatimChar"/>
        </w:rPr>
        <w:t xml:space="preserve"> └── publicador de pré-vendas</w:t>
      </w:r>
    </w:p>
    <w:p>
      <w:pPr>
        <w:pStyle w:val="FirstParagraph"/>
      </w:pPr>
      <w:r>
        <w:t xml:space="preserve">Portanto, um modelo exclusivamente baseado em:</w:t>
      </w:r>
    </w:p>
    <w:p>
      <w:pPr>
        <w:pStyle w:val="SourceCode"/>
      </w:pPr>
      <w:r>
        <w:rPr>
          <w:rStyle w:val="VerbatimChar"/>
        </w:rPr>
        <w:t xml:space="preserve">role = ADMIN</w:t>
      </w:r>
    </w:p>
    <w:p>
      <w:pPr>
        <w:pStyle w:val="FirstParagraph"/>
      </w:pPr>
      <w:r>
        <w:t xml:space="preserve">será insuficiente.</w:t>
      </w:r>
    </w:p>
    <w:p>
      <w:r>
        <w:pict>
          <v:rect style="width:0;height:1.5pt" o:hralign="center" o:hrstd="t" o:hr="t"/>
        </w:pict>
      </w:r>
    </w:p>
    <w:bookmarkEnd w:id="11"/>
    <w:bookmarkStart w:id="12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A autorização será composta por: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Resource State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Business Policy</w:t>
      </w:r>
    </w:p>
    <w:p>
      <w:r>
        <w:pict>
          <v:rect style="width:0;height:1.5pt" o:hralign="center" o:hrstd="t" o:hr="t"/>
        </w:pict>
      </w:r>
    </w:p>
    <w:bookmarkEnd w:id="12"/>
    <w:bookmarkStart w:id="13" w:name="authentication-authorization"/>
    <w:p>
      <w:pPr>
        <w:pStyle w:val="Heading1"/>
      </w:pPr>
      <w:r>
        <w:t xml:space="preserve">3. Authentication ≠ Authorization</w:t>
      </w:r>
    </w:p>
    <w:p>
      <w:pPr>
        <w:pStyle w:val="FirstParagraph"/>
      </w:pPr>
      <w:r>
        <w:t xml:space="preserve">Autenticação:</w:t>
      </w:r>
    </w:p>
    <w:p>
      <w:pPr>
        <w:pStyle w:val="SourceCode"/>
      </w:pPr>
      <w:r>
        <w:rPr>
          <w:rStyle w:val="VerbatimChar"/>
        </w:rPr>
        <w:t xml:space="preserve">Quem é?</w:t>
      </w:r>
    </w:p>
    <w:p>
      <w:pPr>
        <w:pStyle w:val="FirstParagraph"/>
      </w:pPr>
      <w:r>
        <w:t xml:space="preserve">Autorização:</w:t>
      </w:r>
    </w:p>
    <w:p>
      <w:pPr>
        <w:pStyle w:val="SourceCode"/>
      </w:pPr>
      <w:r>
        <w:rPr>
          <w:rStyle w:val="VerbatimChar"/>
        </w:rPr>
        <w:t xml:space="preserve">Pode executar esta ação?</w:t>
      </w:r>
    </w:p>
    <w:p>
      <w:pPr>
        <w:pStyle w:val="FirstParagraph"/>
      </w:pPr>
      <w:r>
        <w:t xml:space="preserve">Essa separação é fundamental para o projeto.</w:t>
      </w:r>
    </w:p>
    <w:p>
      <w:pPr>
        <w:pStyle w:val="BodyText"/>
      </w:pPr>
      <w:r>
        <w:t xml:space="preserve">OWASP define access control/authorization como a mediação do acesso aos recursos com base na identidade e em políticas de acesso.</w:t>
      </w:r>
    </w:p>
    <w:p>
      <w:r>
        <w:pict>
          <v:rect style="width:0;height:1.5pt" o:hralign="center" o:hrstd="t" o:hr="t"/>
        </w:pict>
      </w:r>
    </w:p>
    <w:bookmarkEnd w:id="13"/>
    <w:bookmarkStart w:id="14" w:name="roles"/>
    <w:p>
      <w:pPr>
        <w:pStyle w:val="Heading1"/>
      </w:pPr>
      <w:r>
        <w:t xml:space="preserve">4. Roles</w:t>
      </w:r>
    </w:p>
    <w:p>
      <w:pPr>
        <w:pStyle w:val="FirstParagraph"/>
      </w:pPr>
      <w:r>
        <w:t xml:space="preserve">Roles representam agrupamentos de responsabilidades.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14"/>
    <w:bookmarkStart w:id="15" w:name="role-não-é-permissão"/>
    <w:p>
      <w:pPr>
        <w:pStyle w:val="Heading1"/>
      </w:pPr>
      <w:r>
        <w:t xml:space="preserve">5. Role não é permissão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if user.role == ADMIN</w:t>
      </w:r>
    </w:p>
    <w:p>
      <w:pPr>
        <w:pStyle w:val="FirstParagraph"/>
      </w:pPr>
      <w:r>
        <w:t xml:space="preserve">como única regra de segurança.</w:t>
      </w:r>
    </w:p>
    <w:p>
      <w:pPr>
        <w:pStyle w:val="BodyText"/>
      </w:pPr>
      <w:r>
        <w:t xml:space="preserve">A autorização deverá considerar a ação que está sendo executada.</w:t>
      </w:r>
    </w:p>
    <w:p>
      <w:r>
        <w:pict>
          <v:rect style="width:0;height:1.5pt" o:hralign="center" o:hrstd="t" o:hr="t"/>
        </w:pict>
      </w:r>
    </w:p>
    <w:bookmarkEnd w:id="15"/>
    <w:bookmarkStart w:id="16" w:name="capabilities"/>
    <w:p>
      <w:pPr>
        <w:pStyle w:val="Heading1"/>
      </w:pPr>
      <w:r>
        <w:t xml:space="preserve">6. Capabilities</w:t>
      </w:r>
    </w:p>
    <w:p>
      <w:pPr>
        <w:pStyle w:val="FirstParagraph"/>
      </w:pPr>
      <w:r>
        <w:t xml:space="preserve">Capabilities representam ações permitidas.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CATALOG_SEARCH</w:t>
      </w:r>
      <w:r>
        <w:br/>
      </w:r>
      <w:r>
        <w:rPr>
          <w:rStyle w:val="VerbatimChar"/>
        </w:rPr>
        <w:t xml:space="preserve">CATALOG_REQUEST_CREATE</w:t>
      </w:r>
      <w:r>
        <w:br/>
      </w:r>
      <w:r>
        <w:br/>
      </w:r>
      <w:r>
        <w:rPr>
          <w:rStyle w:val="VerbatimChar"/>
        </w:rPr>
        <w:t xml:space="preserve">COLLECTION_VIEW</w:t>
      </w:r>
      <w:r>
        <w:br/>
      </w:r>
      <w:r>
        <w:rPr>
          <w:rStyle w:val="VerbatimChar"/>
        </w:rPr>
        <w:t xml:space="preserve">COLLECTION_CREATE</w:t>
      </w:r>
      <w:r>
        <w:br/>
      </w:r>
      <w:r>
        <w:rPr>
          <w:rStyle w:val="VerbatimChar"/>
        </w:rPr>
        <w:t xml:space="preserve">COLLECTION_UPDATE</w:t>
      </w:r>
      <w:r>
        <w:br/>
      </w:r>
      <w:r>
        <w:br/>
      </w:r>
      <w:r>
        <w:rPr>
          <w:rStyle w:val="VerbatimChar"/>
        </w:rPr>
        <w:t xml:space="preserve">WISHLIST_MANAGE</w:t>
      </w:r>
      <w:r>
        <w:br/>
      </w:r>
      <w:r>
        <w:br/>
      </w:r>
      <w:r>
        <w:rPr>
          <w:rStyle w:val="VerbatimChar"/>
        </w:rPr>
        <w:t xml:space="preserve">SELLER_PROFILE_MANAGE</w:t>
      </w:r>
      <w:r>
        <w:br/>
      </w:r>
      <w:r>
        <w:rPr>
          <w:rStyle w:val="VerbatimChar"/>
        </w:rPr>
        <w:t xml:space="preserve">OFFER_CREATE</w:t>
      </w:r>
      <w:r>
        <w:br/>
      </w:r>
      <w:r>
        <w:rPr>
          <w:rStyle w:val="VerbatimChar"/>
        </w:rPr>
        <w:t xml:space="preserve">OFFER_UPDATE</w:t>
      </w:r>
      <w:r>
        <w:br/>
      </w:r>
      <w:r>
        <w:br/>
      </w:r>
      <w:r>
        <w:rPr>
          <w:rStyle w:val="VerbatimChar"/>
        </w:rPr>
        <w:t xml:space="preserve">PRE_SALE_CREATE</w:t>
      </w:r>
      <w:r>
        <w:br/>
      </w:r>
      <w:r>
        <w:rPr>
          <w:rStyle w:val="VerbatimChar"/>
        </w:rPr>
        <w:t xml:space="preserve">PRE_SALE_PUBLISH</w:t>
      </w:r>
      <w:r>
        <w:br/>
      </w:r>
      <w:r>
        <w:br/>
      </w:r>
      <w:r>
        <w:rPr>
          <w:rStyle w:val="VerbatimChar"/>
        </w:rPr>
        <w:t xml:space="preserve">EXTERNAL_PROMOTION_CREATE</w:t>
      </w:r>
      <w:r>
        <w:br/>
      </w:r>
      <w:r>
        <w:rPr>
          <w:rStyle w:val="VerbatimChar"/>
        </w:rPr>
        <w:t xml:space="preserve">EXTERNAL_PROMOTION_PUBLISH</w:t>
      </w:r>
      <w:r>
        <w:br/>
      </w:r>
      <w:r>
        <w:br/>
      </w:r>
      <w:r>
        <w:rPr>
          <w:rStyle w:val="VerbatimChar"/>
        </w:rPr>
        <w:t xml:space="preserve">COMMUNITY_POST_CREATE</w:t>
      </w:r>
      <w:r>
        <w:br/>
      </w:r>
      <w:r>
        <w:rPr>
          <w:rStyle w:val="VerbatimChar"/>
        </w:rPr>
        <w:t xml:space="preserve">COMMUNITY_POST_MODERATE</w:t>
      </w:r>
      <w:r>
        <w:br/>
      </w:r>
      <w:r>
        <w:br/>
      </w:r>
      <w:r>
        <w:rPr>
          <w:rStyle w:val="VerbatimChar"/>
        </w:rPr>
        <w:t xml:space="preserve">ORDER_VIEW</w:t>
      </w:r>
      <w:r>
        <w:br/>
      </w:r>
      <w:r>
        <w:rPr>
          <w:rStyle w:val="VerbatimChar"/>
        </w:rPr>
        <w:t xml:space="preserve">ORDER_CANCEL</w:t>
      </w:r>
      <w:r>
        <w:br/>
      </w:r>
      <w:r>
        <w:br/>
      </w:r>
      <w:r>
        <w:rPr>
          <w:rStyle w:val="VerbatimChar"/>
        </w:rPr>
        <w:t xml:space="preserve">GARAGE_VIEW</w:t>
      </w:r>
      <w:r>
        <w:br/>
      </w:r>
      <w:r>
        <w:rPr>
          <w:rStyle w:val="VerbatimChar"/>
        </w:rPr>
        <w:t xml:space="preserve">GARAGE_DISPATCH</w:t>
      </w:r>
      <w:r>
        <w:br/>
      </w:r>
      <w:r>
        <w:br/>
      </w:r>
      <w:r>
        <w:rPr>
          <w:rStyle w:val="VerbatimChar"/>
        </w:rPr>
        <w:t xml:space="preserve">ADMIN_CATALOG_MANAGE</w:t>
      </w:r>
      <w:r>
        <w:br/>
      </w:r>
      <w:r>
        <w:rPr>
          <w:rStyle w:val="VerbatimChar"/>
        </w:rPr>
        <w:t xml:space="preserve">ADMIN_USER_MANAGE</w:t>
      </w:r>
    </w:p>
    <w:p>
      <w:r>
        <w:pict>
          <v:rect style="width:0;height:1.5pt" o:hralign="center" o:hrstd="t" o:hr="t"/>
        </w:pict>
      </w:r>
    </w:p>
    <w:bookmarkEnd w:id="16"/>
    <w:bookmarkStart w:id="17" w:name="ownership"/>
    <w:p>
      <w:pPr>
        <w:pStyle w:val="Heading1"/>
      </w:pPr>
      <w:r>
        <w:t xml:space="preserve">7. Ownership</w:t>
      </w:r>
    </w:p>
    <w:p>
      <w:pPr>
        <w:pStyle w:val="FirstParagraph"/>
      </w:pPr>
      <w:r>
        <w:t xml:space="preserve">Além da capability, será verificado se o usuário é proprietário ou participante autorizado do recurso.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/collection/exemplars/123</w:t>
      </w:r>
    </w:p>
    <w:p>
      <w:pPr>
        <w:pStyle w:val="FirstParagraph"/>
      </w:pPr>
      <w:r>
        <w:t xml:space="preserve">não significa que:</w:t>
      </w:r>
    </w:p>
    <w:p>
      <w:pPr>
        <w:pStyle w:val="SourceCode"/>
      </w:pPr>
      <w:r>
        <w:rPr>
          <w:rStyle w:val="VerbatimChar"/>
        </w:rPr>
        <w:t xml:space="preserve">user autenticado</w:t>
      </w:r>
    </w:p>
    <w:p>
      <w:pPr>
        <w:pStyle w:val="FirstParagraph"/>
      </w:pPr>
      <w:r>
        <w:t xml:space="preserve">possa visualizar qualquer exemplar.</w:t>
      </w:r>
    </w:p>
    <w:p>
      <w:pPr>
        <w:pStyle w:val="BodyText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owns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ou outra relação de acesso válida.</w:t>
      </w:r>
    </w:p>
    <w:p>
      <w:r>
        <w:pict>
          <v:rect style="width:0;height:1.5pt" o:hralign="center" o:hrstd="t" o:hr="t"/>
        </w:pict>
      </w:r>
    </w:p>
    <w:bookmarkEnd w:id="17"/>
    <w:bookmarkStart w:id="18" w:name="regra"/>
    <w:p>
      <w:pPr>
        <w:pStyle w:val="Heading1"/>
      </w:pPr>
      <w:r>
        <w:t xml:space="preserve">8. Regra</w:t>
      </w:r>
    </w:p>
    <w:p>
      <w:pPr>
        <w:pStyle w:val="FirstParagraph"/>
      </w:pPr>
      <w:r>
        <w:t xml:space="preserve">A decisão de autorização será conceitualmente:</w:t>
      </w:r>
    </w:p>
    <w:p>
      <w:pPr>
        <w:pStyle w:val="SourceCode"/>
      </w:pPr>
      <w:r>
        <w:rPr>
          <w:rStyle w:val="VerbatimChar"/>
        </w:rPr>
        <w:t xml:space="preserve">Authenticated?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SIM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Has Capability?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SIM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Resource Accessible?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SIM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 Rule Valid?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SIM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ALLOW</w:t>
      </w:r>
    </w:p>
    <w:p>
      <w:r>
        <w:pict>
          <v:rect style="width:0;height:1.5pt" o:hralign="center" o:hrstd="t" o:hr="t"/>
        </w:pict>
      </w:r>
    </w:p>
    <w:bookmarkEnd w:id="18"/>
    <w:bookmarkStart w:id="19" w:name="ownership-não-é-suficiente"/>
    <w:p>
      <w:pPr>
        <w:pStyle w:val="Heading1"/>
      </w:pPr>
      <w:r>
        <w:t xml:space="preserve">9. Ownership não é suficiente</w:t>
      </w:r>
    </w:p>
    <w:p>
      <w:pPr>
        <w:pStyle w:val="FirstParagraph"/>
      </w:pPr>
      <w:r>
        <w:t xml:space="preserve">Possuir um recurso não significa necessariamente poder executar qualquer 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Collector owns Collection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Collector can delete catalog variation</w:t>
      </w:r>
    </w:p>
    <w:p>
      <w:r>
        <w:pict>
          <v:rect style="width:0;height:1.5pt" o:hralign="center" o:hrstd="t" o:hr="t"/>
        </w:pict>
      </w:r>
    </w:p>
    <w:bookmarkEnd w:id="19"/>
    <w:bookmarkStart w:id="20" w:name="capability-não-é-suficiente"/>
    <w:p>
      <w:pPr>
        <w:pStyle w:val="Heading1"/>
      </w:pPr>
      <w:r>
        <w:t xml:space="preserve">10. Capability não é suficiente</w:t>
      </w:r>
    </w:p>
    <w:p>
      <w:pPr>
        <w:pStyle w:val="FirstParagraph"/>
      </w:pPr>
      <w:r>
        <w:t xml:space="preserve">Ter:</w:t>
      </w:r>
    </w:p>
    <w:p>
      <w:pPr>
        <w:pStyle w:val="SourceCode"/>
      </w:pPr>
      <w:r>
        <w:rPr>
          <w:rStyle w:val="VerbatimChar"/>
        </w:rPr>
        <w:t xml:space="preserve">OFFER_UPDATE</w:t>
      </w:r>
    </w:p>
    <w:p>
      <w:pPr>
        <w:pStyle w:val="FirstParagraph"/>
      </w:pPr>
      <w:r>
        <w:t xml:space="preserve">não significa poder alterar qualquer oferta.</w:t>
      </w:r>
    </w:p>
    <w:p>
      <w:pPr>
        <w:pStyle w:val="BodyText"/>
      </w:pPr>
      <w:r>
        <w:t xml:space="preserve">Também deverá existir:</w:t>
      </w:r>
    </w:p>
    <w:p>
      <w:pPr>
        <w:pStyle w:val="SourceCode"/>
      </w:pPr>
      <w:r>
        <w:rPr>
          <w:rStyle w:val="VerbatimChar"/>
        </w:rPr>
        <w:t xml:space="preserve">seller owns offer</w:t>
      </w:r>
    </w:p>
    <w:p>
      <w:pPr>
        <w:pStyle w:val="FirstParagraph"/>
      </w:pPr>
      <w:r>
        <w:t xml:space="preserve">ou uma autorização administrativa equivalente.</w:t>
      </w:r>
    </w:p>
    <w:p>
      <w:r>
        <w:pict>
          <v:rect style="width:0;height:1.5pt" o:hralign="center" o:hrstd="t" o:hr="t"/>
        </w:pict>
      </w:r>
    </w:p>
    <w:bookmarkEnd w:id="20"/>
    <w:bookmarkStart w:id="21" w:name="resource-state"/>
    <w:p>
      <w:pPr>
        <w:pStyle w:val="Heading1"/>
      </w:pPr>
      <w:r>
        <w:t xml:space="preserve">11. Resource State</w:t>
      </w:r>
    </w:p>
    <w:p>
      <w:pPr>
        <w:pStyle w:val="FirstParagraph"/>
      </w:pPr>
      <w:r>
        <w:t xml:space="preserve">O estado do recurso também influencia a autorização.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 = PUBLISHED</w:t>
      </w:r>
    </w:p>
    <w:p>
      <w:pPr>
        <w:pStyle w:val="FirstParagraph"/>
      </w:pPr>
      <w:r>
        <w:t xml:space="preserve">pode impedir certas alterações.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OFFER = DRAFT</w:t>
      </w:r>
    </w:p>
    <w:p>
      <w:pPr>
        <w:pStyle w:val="FirstParagraph"/>
      </w:pPr>
      <w:r>
        <w:t xml:space="preserve">pode permitir edição.</w:t>
      </w:r>
    </w:p>
    <w:p>
      <w:r>
        <w:pict>
          <v:rect style="width:0;height:1.5pt" o:hralign="center" o:hrstd="t" o:hr="t"/>
        </w:pict>
      </w:r>
    </w:p>
    <w:bookmarkEnd w:id="21"/>
    <w:bookmarkStart w:id="22" w:name="business-policy"/>
    <w:p>
      <w:pPr>
        <w:pStyle w:val="Heading1"/>
      </w:pPr>
      <w:r>
        <w:t xml:space="preserve">12. Business Policy</w:t>
      </w:r>
    </w:p>
    <w:p>
      <w:pPr>
        <w:pStyle w:val="FirstParagraph"/>
      </w:pPr>
      <w:r>
        <w:t xml:space="preserve">Algumas operações terão regras adicionais.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Pode publicar pré-venda?</w:t>
      </w:r>
    </w:p>
    <w:p>
      <w:pPr>
        <w:pStyle w:val="FirstParagraph"/>
      </w:pPr>
      <w:r>
        <w:t xml:space="preserve">Não basta:</w:t>
      </w:r>
    </w:p>
    <w:p>
      <w:pPr>
        <w:pStyle w:val="SourceCode"/>
      </w:pPr>
      <w:r>
        <w:rPr>
          <w:rStyle w:val="VerbatimChar"/>
        </w:rPr>
        <w:t xml:space="preserve">PRE_SALE_CREATE</w:t>
      </w:r>
    </w:p>
    <w:p>
      <w:pPr>
        <w:pStyle w:val="FirstParagraph"/>
      </w:pPr>
      <w:r>
        <w:t xml:space="preserve">Poderá ser necessário:</w:t>
      </w:r>
    </w:p>
    <w:p>
      <w:pPr>
        <w:pStyle w:val="SourceCode"/>
      </w:pPr>
      <w:r>
        <w:rPr>
          <w:rStyle w:val="VerbatimChar"/>
        </w:rPr>
        <w:t xml:space="preserve">SELLER_AUTHORIZED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SELLER_ACTIVE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OFFER_ACTIVE</w:t>
      </w:r>
    </w:p>
    <w:p>
      <w:r>
        <w:pict>
          <v:rect style="width:0;height:1.5pt" o:hralign="center" o:hrstd="t" o:hr="t"/>
        </w:pict>
      </w:r>
    </w:p>
    <w:bookmarkEnd w:id="22"/>
    <w:bookmarkStart w:id="23" w:name="external-promotions"/>
    <w:p>
      <w:pPr>
        <w:pStyle w:val="Heading1"/>
      </w:pPr>
      <w:r>
        <w:t xml:space="preserve">13. External Promotions</w:t>
      </w:r>
    </w:p>
    <w:p>
      <w:pPr>
        <w:pStyle w:val="FirstParagraph"/>
      </w:pPr>
      <w:r>
        <w:t xml:space="preserve">Para E19:</w:t>
      </w:r>
    </w:p>
    <w:p>
      <w:pPr>
        <w:pStyle w:val="SourceCode"/>
      </w:pPr>
      <w:r>
        <w:rPr>
          <w:rStyle w:val="VerbatimChar"/>
        </w:rPr>
        <w:t xml:space="preserve">CAN_PUBLISH_EXTERNAL_PROMOTION</w:t>
      </w:r>
    </w:p>
    <w:p>
      <w:pPr>
        <w:pStyle w:val="FirstParagraph"/>
      </w:pPr>
      <w:r>
        <w:t xml:space="preserve">será uma capability específica.</w:t>
      </w:r>
    </w:p>
    <w:p>
      <w:pPr>
        <w:pStyle w:val="BodyText"/>
      </w:pPr>
      <w:r>
        <w:t xml:space="preserve">O usuário não ganhará automaticamente essa capacidade por possuir:</w:t>
      </w:r>
    </w:p>
    <w:p>
      <w:pPr>
        <w:pStyle w:val="SourceCode"/>
      </w:pPr>
      <w:r>
        <w:rPr>
          <w:rStyle w:val="VerbatimChar"/>
        </w:rPr>
        <w:t xml:space="preserve">SELLER</w:t>
      </w:r>
    </w:p>
    <w:p>
      <w:r>
        <w:pict>
          <v:rect style="width:0;height:1.5pt" o:hralign="center" o:hrstd="t" o:hr="t"/>
        </w:pict>
      </w:r>
    </w:p>
    <w:bookmarkEnd w:id="23"/>
    <w:bookmarkStart w:id="24" w:name="pre-sales"/>
    <w:p>
      <w:pPr>
        <w:pStyle w:val="Heading1"/>
      </w:pPr>
      <w:r>
        <w:t xml:space="preserve">14. Pre-Sales</w:t>
      </w:r>
    </w:p>
    <w:p>
      <w:pPr>
        <w:pStyle w:val="FirstParagraph"/>
      </w:pPr>
      <w:r>
        <w:t xml:space="preserve">Para publicar pré-vendas:</w:t>
      </w:r>
    </w:p>
    <w:p>
      <w:pPr>
        <w:pStyle w:val="SourceCode"/>
      </w:pPr>
      <w:r>
        <w:rPr>
          <w:rStyle w:val="VerbatimChar"/>
        </w:rPr>
        <w:t xml:space="preserve">CAN_PUBLISH_PRE_SALE</w:t>
      </w:r>
    </w:p>
    <w:p>
      <w:pPr>
        <w:pStyle w:val="FirstParagraph"/>
      </w:pPr>
      <w:r>
        <w:t xml:space="preserve">será separada de:</w:t>
      </w:r>
    </w:p>
    <w:p>
      <w:pPr>
        <w:pStyle w:val="SourceCode"/>
      </w:pPr>
      <w:r>
        <w:rPr>
          <w:rStyle w:val="VerbatimChar"/>
        </w:rPr>
        <w:t xml:space="preserve">CAN_CREATE_PRE_SALE</w:t>
      </w:r>
    </w:p>
    <w:p>
      <w:pPr>
        <w:pStyle w:val="FirstParagraph"/>
      </w:pPr>
      <w:r>
        <w:t xml:space="preserve">Assim podemos ter:</w:t>
      </w:r>
    </w:p>
    <w:p>
      <w:pPr>
        <w:pStyle w:val="SourceCode"/>
      </w:pPr>
      <w:r>
        <w:rPr>
          <w:rStyle w:val="VerbatimChar"/>
        </w:rPr>
        <w:t xml:space="preserve">criar rascunho</w:t>
      </w:r>
    </w:p>
    <w:p>
      <w:pPr>
        <w:pStyle w:val="FirstParagraph"/>
      </w:pPr>
      <w:r>
        <w:t xml:space="preserve">sem necessariamente permitir:</w:t>
      </w:r>
    </w:p>
    <w:p>
      <w:pPr>
        <w:pStyle w:val="SourceCode"/>
      </w:pPr>
      <w:r>
        <w:rPr>
          <w:rStyle w:val="VerbatimChar"/>
        </w:rPr>
        <w:t xml:space="preserve">publicar</w:t>
      </w:r>
    </w:p>
    <w:p>
      <w:r>
        <w:pict>
          <v:rect style="width:0;height:1.5pt" o:hralign="center" o:hrstd="t" o:hr="t"/>
        </w:pict>
      </w:r>
    </w:p>
    <w:bookmarkEnd w:id="24"/>
    <w:bookmarkStart w:id="25" w:name="marketplace"/>
    <w:p>
      <w:pPr>
        <w:pStyle w:val="Heading1"/>
      </w:pPr>
      <w:r>
        <w:t xml:space="preserve">15. Marketplace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OFFER_CREATE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 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OFFER_PUBLISH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 Offer</w:t>
      </w:r>
    </w:p>
    <w:p>
      <w:pPr>
        <w:pStyle w:val="FirstParagraph"/>
      </w:pPr>
      <w:r>
        <w:t xml:space="preserve">A autorização será aplicada em cada operação.</w:t>
      </w:r>
    </w:p>
    <w:p>
      <w:r>
        <w:pict>
          <v:rect style="width:0;height:1.5pt" o:hralign="center" o:hrstd="t" o:hr="t"/>
        </w:pict>
      </w:r>
    </w:p>
    <w:bookmarkEnd w:id="25"/>
    <w:bookmarkStart w:id="26" w:name="administração"/>
    <w:p>
      <w:pPr>
        <w:pStyle w:val="Heading1"/>
      </w:pPr>
      <w:r>
        <w:t xml:space="preserve">16. Administração</w:t>
      </w:r>
    </w:p>
    <w:p>
      <w:pPr>
        <w:pStyle w:val="FirstParagraph"/>
      </w:pPr>
      <w:r>
        <w:t xml:space="preserve">Área administrativa: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não deverá simplesmente ignorar as regras.</w:t>
      </w:r>
    </w:p>
    <w:p>
      <w:pPr>
        <w:pStyle w:val="BodyText"/>
      </w:pPr>
      <w:r>
        <w:t xml:space="preserve">Cada ação administrativa deverá possuir capability própria.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CATALOG_MANAGE</w:t>
      </w:r>
      <w:r>
        <w:br/>
      </w:r>
      <w:r>
        <w:rPr>
          <w:rStyle w:val="VerbatimChar"/>
        </w:rPr>
        <w:t xml:space="preserve">USER_MANAGE</w:t>
      </w:r>
      <w:r>
        <w:br/>
      </w:r>
      <w:r>
        <w:rPr>
          <w:rStyle w:val="VerbatimChar"/>
        </w:rPr>
        <w:t xml:space="preserve">SELLER_MANAGE</w:t>
      </w:r>
      <w:r>
        <w:br/>
      </w:r>
      <w:r>
        <w:rPr>
          <w:rStyle w:val="VerbatimChar"/>
        </w:rPr>
        <w:t xml:space="preserve">MODERATION_MANAGE</w:t>
      </w:r>
      <w:r>
        <w:br/>
      </w:r>
      <w:r>
        <w:rPr>
          <w:rStyle w:val="VerbatimChar"/>
        </w:rPr>
        <w:t xml:space="preserve">FINANCE_VIEW</w:t>
      </w:r>
      <w:r>
        <w:br/>
      </w:r>
      <w:r>
        <w:rPr>
          <w:rStyle w:val="VerbatimChar"/>
        </w:rPr>
        <w:t xml:space="preserve">AUDIT_VIEW</w:t>
      </w:r>
    </w:p>
    <w:p>
      <w:r>
        <w:pict>
          <v:rect style="width:0;height:1.5pt" o:hralign="center" o:hrstd="t" o:hr="t"/>
        </w:pict>
      </w:r>
    </w:p>
    <w:bookmarkEnd w:id="26"/>
    <w:bookmarkStart w:id="27" w:name="separação-de-poderes"/>
    <w:p>
      <w:pPr>
        <w:pStyle w:val="Heading1"/>
      </w:pPr>
      <w:r>
        <w:t xml:space="preserve">17. Separação de poderes</w:t>
      </w:r>
    </w:p>
    <w:p>
      <w:pPr>
        <w:pStyle w:val="FirstParagraph"/>
      </w:pPr>
      <w:r>
        <w:t xml:space="preserve">Operações altamente sensíveis poderão exigir capabilities específicas e, futuramente, dupla aprovação.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FINANCE_ADJUSTMENT_CREATE</w:t>
      </w:r>
    </w:p>
    <w:p>
      <w:pPr>
        <w:pStyle w:val="FirstParagraph"/>
      </w:pPr>
      <w:r>
        <w:t xml:space="preserve">não deverá ser concedida automaticamente a todos os administradores.</w:t>
      </w:r>
    </w:p>
    <w:p>
      <w:r>
        <w:pict>
          <v:rect style="width:0;height:1.5pt" o:hralign="center" o:hrstd="t" o:hr="t"/>
        </w:pict>
      </w:r>
    </w:p>
    <w:bookmarkEnd w:id="27"/>
    <w:bookmarkStart w:id="28" w:name="finance"/>
    <w:p>
      <w:pPr>
        <w:pStyle w:val="Heading1"/>
      </w:pPr>
      <w:r>
        <w:t xml:space="preserve">18. Finance</w:t>
      </w:r>
    </w:p>
    <w:p>
      <w:pPr>
        <w:pStyle w:val="FirstParagraph"/>
      </w:pPr>
      <w:r>
        <w:t xml:space="preserve">Acesso financeiro será explicitamente controlado.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FINANCE_VIEW</w:t>
      </w:r>
      <w:r>
        <w:br/>
      </w:r>
      <w:r>
        <w:rPr>
          <w:rStyle w:val="VerbatimChar"/>
        </w:rPr>
        <w:t xml:space="preserve">FINANCE_RECONCILE</w:t>
      </w:r>
      <w:r>
        <w:br/>
      </w:r>
      <w:r>
        <w:rPr>
          <w:rStyle w:val="VerbatimChar"/>
        </w:rPr>
        <w:t xml:space="preserve">FINANCE_ADJUST</w:t>
      </w:r>
      <w:r>
        <w:br/>
      </w:r>
      <w:r>
        <w:rPr>
          <w:rStyle w:val="VerbatimChar"/>
        </w:rPr>
        <w:t xml:space="preserve">SELLER_SETTLEMENT_VIEW</w:t>
      </w:r>
    </w:p>
    <w:p>
      <w:r>
        <w:pict>
          <v:rect style="width:0;height:1.5pt" o:hralign="center" o:hrstd="t" o:hr="t"/>
        </w:pict>
      </w:r>
    </w:p>
    <w:bookmarkEnd w:id="28"/>
    <w:bookmarkStart w:id="29" w:name="ledger"/>
    <w:p>
      <w:pPr>
        <w:pStyle w:val="Heading1"/>
      </w:pPr>
      <w:r>
        <w:t xml:space="preserve">19. Ledger</w:t>
      </w:r>
    </w:p>
    <w:p>
      <w:pPr>
        <w:pStyle w:val="FirstParagraph"/>
      </w:pPr>
      <w:r>
        <w:t xml:space="preserve">Nenhum usuário externo poderá executar:</w:t>
      </w:r>
    </w:p>
    <w:p>
      <w:pPr>
        <w:pStyle w:val="SourceCode"/>
      </w:pPr>
      <w:r>
        <w:rPr>
          <w:rStyle w:val="VerbatimChar"/>
        </w:rPr>
        <w:t xml:space="preserve">POST /ledger/entries</w:t>
      </w:r>
    </w:p>
    <w:p>
      <w:pPr>
        <w:pStyle w:val="FirstParagraph"/>
      </w:pPr>
      <w:r>
        <w:t xml:space="preserve">O Ledger não terá endpoint genérico para usuários.</w:t>
      </w:r>
    </w:p>
    <w:p>
      <w:pPr>
        <w:pStyle w:val="BodyText"/>
      </w:pPr>
      <w:r>
        <w:t xml:space="preserve">Lançamentos serão consequência de operações de domínio autorizadas.</w:t>
      </w:r>
    </w:p>
    <w:p>
      <w:r>
        <w:pict>
          <v:rect style="width:0;height:1.5pt" o:hralign="center" o:hrstd="t" o:hr="t"/>
        </w:pict>
      </w:r>
    </w:p>
    <w:bookmarkEnd w:id="29"/>
    <w:bookmarkStart w:id="30" w:name="authorization-service"/>
    <w:p>
      <w:pPr>
        <w:pStyle w:val="Heading1"/>
      </w:pPr>
      <w:r>
        <w:t xml:space="preserve">20. Authorization Service</w:t>
      </w:r>
    </w:p>
    <w:p>
      <w:pPr>
        <w:pStyle w:val="FirstParagraph"/>
      </w:pPr>
      <w:r>
        <w:t xml:space="preserve">Será criado um componente central:</w:t>
      </w:r>
    </w:p>
    <w:p>
      <w:pPr>
        <w:pStyle w:val="SourceCode"/>
      </w:pPr>
      <w:r>
        <w:rPr>
          <w:rStyle w:val="VerbatimChar"/>
        </w:rPr>
        <w:t xml:space="preserve">AuthorizationService</w:t>
      </w:r>
    </w:p>
    <w:p>
      <w:pPr>
        <w:pStyle w:val="FirstParagraph"/>
      </w:pPr>
      <w:r>
        <w:t xml:space="preserve">Responsável por avaliar políticas.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authorization.can(</w:t>
      </w:r>
      <w:r>
        <w:br/>
      </w:r>
      <w:r>
        <w:rPr>
          <w:rStyle w:val="VerbatimChar"/>
        </w:rPr>
        <w:t xml:space="preserve">    user,</w:t>
      </w:r>
      <w:r>
        <w:br/>
      </w:r>
      <w:r>
        <w:rPr>
          <w:rStyle w:val="VerbatimChar"/>
        </w:rPr>
        <w:t xml:space="preserve">    capability,</w:t>
      </w:r>
      <w:r>
        <w:br/>
      </w:r>
      <w:r>
        <w:rPr>
          <w:rStyle w:val="VerbatimChar"/>
        </w:rPr>
        <w:t xml:space="preserve">    resource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policy"/>
    <w:p>
      <w:pPr>
        <w:pStyle w:val="Heading1"/>
      </w:pPr>
      <w:r>
        <w:t xml:space="preserve">21. Policy</w:t>
      </w:r>
    </w:p>
    <w:p>
      <w:pPr>
        <w:pStyle w:val="FirstParagraph"/>
      </w:pPr>
      <w:r>
        <w:t xml:space="preserve">Regras mais complexas poderão utilizar policies.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CanPublishOfferPolicy</w:t>
      </w:r>
      <w:r>
        <w:br/>
      </w:r>
      <w:r>
        <w:rPr>
          <w:rStyle w:val="VerbatimChar"/>
        </w:rPr>
        <w:t xml:space="preserve">CanPublishPreSalePolicy</w:t>
      </w:r>
      <w:r>
        <w:br/>
      </w:r>
      <w:r>
        <w:rPr>
          <w:rStyle w:val="VerbatimChar"/>
        </w:rPr>
        <w:t xml:space="preserve">CanPublishExternalPromotionPolicy</w:t>
      </w:r>
      <w:r>
        <w:br/>
      </w:r>
      <w:r>
        <w:rPr>
          <w:rStyle w:val="VerbatimChar"/>
        </w:rPr>
        <w:t xml:space="preserve">CanManageSellerPolicy</w:t>
      </w:r>
      <w:r>
        <w:br/>
      </w:r>
      <w:r>
        <w:rPr>
          <w:rStyle w:val="VerbatimChar"/>
        </w:rPr>
        <w:t xml:space="preserve">CanViewFinancialDataPolicy</w:t>
      </w:r>
    </w:p>
    <w:p>
      <w:r>
        <w:pict>
          <v:rect style="width:0;height:1.5pt" o:hralign="center" o:hrstd="t" o:hr="t"/>
        </w:pict>
      </w:r>
    </w:p>
    <w:bookmarkEnd w:id="31"/>
    <w:bookmarkStart w:id="32" w:name="não-duplicar-autorização"/>
    <w:p>
      <w:pPr>
        <w:pStyle w:val="Heading1"/>
      </w:pPr>
      <w:r>
        <w:t xml:space="preserve">22. Não duplicar autorização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de autorização A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de autorização B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de autorização C</w:t>
      </w:r>
    </w:p>
    <w:p>
      <w:pPr>
        <w:pStyle w:val="FirstParagraph"/>
      </w:pPr>
      <w:r>
        <w:t xml:space="preserve">A autorização deverá possuir uma arquitetura consistente.</w:t>
      </w:r>
    </w:p>
    <w:p>
      <w:r>
        <w:pict>
          <v:rect style="width:0;height:1.5pt" o:hralign="center" o:hrstd="t" o:hr="t"/>
        </w:pict>
      </w:r>
    </w:p>
    <w:bookmarkEnd w:id="32"/>
    <w:bookmarkStart w:id="33" w:name="controller"/>
    <w:p>
      <w:pPr>
        <w:pStyle w:val="Heading1"/>
      </w:pPr>
      <w:r>
        <w:t xml:space="preserve">23. Controller</w:t>
      </w:r>
    </w:p>
    <w:p>
      <w:pPr>
        <w:pStyle w:val="FirstParagraph"/>
      </w:pPr>
      <w:r>
        <w:t xml:space="preserve">O controller deverá iniciar a operação: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</w:p>
    <w:p>
      <w:r>
        <w:pict>
          <v:rect style="width:0;height:1.5pt" o:hralign="center" o:hrstd="t" o:hr="t"/>
        </w:pict>
      </w:r>
    </w:p>
    <w:bookmarkEnd w:id="33"/>
    <w:bookmarkStart w:id="34" w:name="application-service"/>
    <w:p>
      <w:pPr>
        <w:pStyle w:val="Heading1"/>
      </w:pPr>
      <w:r>
        <w:t xml:space="preserve">24. Application Service</w:t>
      </w:r>
    </w:p>
    <w:p>
      <w:pPr>
        <w:pStyle w:val="FirstParagraph"/>
      </w:pPr>
      <w:r>
        <w:t xml:space="preserve">O Application Service deverá continuar protegendo invariantes de negócio.</w:t>
      </w:r>
    </w:p>
    <w:p>
      <w:pPr>
        <w:pStyle w:val="BodyText"/>
      </w:pPr>
      <w:r>
        <w:t xml:space="preserve">Isso evita depender exclusivamente do controller.</w:t>
      </w:r>
    </w:p>
    <w:p>
      <w:r>
        <w:pict>
          <v:rect style="width:0;height:1.5pt" o:hralign="center" o:hrstd="t" o:hr="t"/>
        </w:pict>
      </w:r>
    </w:p>
    <w:bookmarkEnd w:id="34"/>
    <w:bookmarkStart w:id="35" w:name="database"/>
    <w:p>
      <w:pPr>
        <w:pStyle w:val="Heading1"/>
      </w:pPr>
      <w:r>
        <w:t xml:space="preserve">25. Database</w:t>
      </w:r>
    </w:p>
    <w:p>
      <w:pPr>
        <w:pStyle w:val="FirstParagraph"/>
      </w:pPr>
      <w:r>
        <w:t xml:space="preserve">Foreign keys e constraints deverão proteger integridade.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Database constraint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A autorização é responsabilidade da aplicação.</w:t>
      </w:r>
    </w:p>
    <w:p>
      <w:r>
        <w:pict>
          <v:rect style="width:0;height:1.5pt" o:hralign="center" o:hrstd="t" o:hr="t"/>
        </w:pict>
      </w:r>
    </w:p>
    <w:bookmarkEnd w:id="35"/>
    <w:bookmarkStart w:id="36" w:name="idor"/>
    <w:p>
      <w:pPr>
        <w:pStyle w:val="Heading1"/>
      </w:pPr>
      <w:r>
        <w:t xml:space="preserve">26. IDOR</w:t>
      </w:r>
    </w:p>
    <w:p>
      <w:pPr>
        <w:pStyle w:val="FirstParagraph"/>
      </w:pPr>
      <w:r>
        <w:t xml:space="preserve">Endpoints não deverão assumir que possuir o UUID significa possuir autorização.</w:t>
      </w:r>
    </w:p>
    <w:p>
      <w:pPr>
        <w:pStyle w:val="BodyText"/>
      </w:pPr>
      <w:r>
        <w:t xml:space="preserve">Exemplo perigoso:</w:t>
      </w:r>
    </w:p>
    <w:p>
      <w:pPr>
        <w:pStyle w:val="SourceCode"/>
      </w:pPr>
      <w:r>
        <w:rPr>
          <w:rStyle w:val="VerbatimChar"/>
        </w:rPr>
        <w:t xml:space="preserve">GET /collection/exemplars/{uuid}</w:t>
      </w:r>
    </w:p>
    <w:p>
      <w:pPr>
        <w:pStyle w:val="FirstParagraph"/>
      </w:pPr>
      <w:r>
        <w:t xml:space="preserve">O UUID não é autorização.</w:t>
      </w:r>
    </w:p>
    <w:p>
      <w:pPr>
        <w:pStyle w:val="BodyText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resource.owner_id == authenticated_user.id</w:t>
      </w:r>
    </w:p>
    <w:p>
      <w:pPr>
        <w:pStyle w:val="FirstParagraph"/>
      </w:pPr>
      <w:r>
        <w:t xml:space="preserve">ou política equivalente.</w:t>
      </w:r>
    </w:p>
    <w:p>
      <w:r>
        <w:pict>
          <v:rect style="width:0;height:1.5pt" o:hralign="center" o:hrstd="t" o:hr="t"/>
        </w:pict>
      </w:r>
    </w:p>
    <w:bookmarkEnd w:id="36"/>
    <w:bookmarkStart w:id="37" w:name="mass-assignment"/>
    <w:p>
      <w:pPr>
        <w:pStyle w:val="Heading1"/>
      </w:pPr>
      <w:r>
        <w:t xml:space="preserve">27. Mass Assignment</w:t>
      </w:r>
    </w:p>
    <w:p>
      <w:pPr>
        <w:pStyle w:val="FirstParagraph"/>
      </w:pPr>
      <w:r>
        <w:t xml:space="preserve">Requests não deverão permitir que o usuário envie diretamente campos sensíveis.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sistema não deverá aceitar esses campos simplesmente porque existem no DTO interno.</w:t>
      </w:r>
    </w:p>
    <w:p>
      <w:r>
        <w:pict>
          <v:rect style="width:0;height:1.5pt" o:hralign="center" o:hrstd="t" o:hr="t"/>
        </w:pict>
      </w:r>
    </w:p>
    <w:bookmarkEnd w:id="37"/>
    <w:bookmarkStart w:id="38" w:name="dto-de-entrada"/>
    <w:p>
      <w:pPr>
        <w:pStyle w:val="Heading1"/>
      </w:pPr>
      <w:r>
        <w:t xml:space="preserve">28. DTO de entrada</w:t>
      </w:r>
    </w:p>
    <w:p>
      <w:pPr>
        <w:pStyle w:val="FirstParagraph"/>
      </w:pPr>
      <w:r>
        <w:t xml:space="preserve">Preferir DTOs específicos:</w:t>
      </w:r>
    </w:p>
    <w:p>
      <w:pPr>
        <w:pStyle w:val="SourceCode"/>
      </w:pPr>
      <w:r>
        <w:rPr>
          <w:rStyle w:val="VerbatimChar"/>
        </w:rPr>
        <w:t xml:space="preserve">CreateOfferRequest</w:t>
      </w:r>
      <w:r>
        <w:br/>
      </w:r>
      <w:r>
        <w:rPr>
          <w:rStyle w:val="VerbatimChar"/>
        </w:rPr>
        <w:t xml:space="preserve">UpdateOfferRequest</w:t>
      </w:r>
      <w:r>
        <w:br/>
      </w:r>
      <w:r>
        <w:rPr>
          <w:rStyle w:val="VerbatimChar"/>
        </w:rPr>
        <w:t xml:space="preserve">PublishOfferRequest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GenericOfferRequest</w:t>
      </w:r>
    </w:p>
    <w:p>
      <w:pPr>
        <w:pStyle w:val="FirstParagraph"/>
      </w:pPr>
      <w:r>
        <w:t xml:space="preserve">com dezenas de campos.</w:t>
      </w:r>
    </w:p>
    <w:p>
      <w:r>
        <w:pict>
          <v:rect style="width:0;height:1.5pt" o:hralign="center" o:hrstd="t" o:hr="t"/>
        </w:pict>
      </w:r>
    </w:p>
    <w:bookmarkEnd w:id="38"/>
    <w:bookmarkStart w:id="39" w:name="command"/>
    <w:p>
      <w:pPr>
        <w:pStyle w:val="Heading1"/>
      </w:pPr>
      <w:r>
        <w:t xml:space="preserve">29. Command</w:t>
      </w:r>
    </w:p>
    <w:p>
      <w:pPr>
        <w:pStyle w:val="FirstParagraph"/>
      </w:pPr>
      <w:r>
        <w:t xml:space="preserve">Operações de negócio serão expressas como commands.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PublishOffer</w:t>
      </w:r>
      <w:r>
        <w:br/>
      </w:r>
      <w:r>
        <w:rPr>
          <w:rStyle w:val="VerbatimChar"/>
        </w:rPr>
        <w:t xml:space="preserve">ApproveSeller</w:t>
      </w:r>
      <w:r>
        <w:br/>
      </w:r>
      <w:r>
        <w:rPr>
          <w:rStyle w:val="VerbatimChar"/>
        </w:rPr>
        <w:t xml:space="preserve">PublishPreSale</w:t>
      </w:r>
      <w:r>
        <w:br/>
      </w:r>
      <w:r>
        <w:rPr>
          <w:rStyle w:val="VerbatimChar"/>
        </w:rPr>
        <w:t xml:space="preserve">PublishExternalPromotion</w:t>
      </w:r>
      <w:r>
        <w:br/>
      </w:r>
      <w:r>
        <w:rPr>
          <w:rStyle w:val="VerbatimChar"/>
        </w:rPr>
        <w:t xml:space="preserve">MoveGarageItem</w:t>
      </w:r>
      <w:r>
        <w:br/>
      </w:r>
      <w:r>
        <w:rPr>
          <w:rStyle w:val="VerbatimChar"/>
        </w:rPr>
        <w:t xml:space="preserve">ConfirmOrder</w:t>
      </w:r>
      <w:r>
        <w:br/>
      </w:r>
      <w:r>
        <w:rPr>
          <w:rStyle w:val="VerbatimChar"/>
        </w:rPr>
        <w:t xml:space="preserve">CancelOrder</w:t>
      </w:r>
    </w:p>
    <w:p>
      <w:r>
        <w:pict>
          <v:rect style="width:0;height:1.5pt" o:hralign="center" o:hrstd="t" o:hr="t"/>
        </w:pict>
      </w:r>
    </w:p>
    <w:bookmarkEnd w:id="39"/>
    <w:bookmarkStart w:id="40" w:name="proibição-de-patch-genérico"/>
    <w:p>
      <w:pPr>
        <w:pStyle w:val="Heading1"/>
      </w:pPr>
      <w:r>
        <w:t xml:space="preserve">30. Proibição de PATCH genérico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PATCH /offers/{id}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POST /offers/{id}/publish</w:t>
      </w:r>
    </w:p>
    <w:p>
      <w:r>
        <w:pict>
          <v:rect style="width:0;height:1.5pt" o:hralign="center" o:hrstd="t" o:hr="t"/>
        </w:pict>
      </w:r>
    </w:p>
    <w:bookmarkEnd w:id="40"/>
    <w:bookmarkStart w:id="41" w:name="ownership-e-seller"/>
    <w:p>
      <w:pPr>
        <w:pStyle w:val="Heading1"/>
      </w:pPr>
      <w:r>
        <w:t xml:space="preserve">31. Ownership e seller</w:t>
      </w:r>
    </w:p>
    <w:p>
      <w:pPr>
        <w:pStyle w:val="FirstParagraph"/>
      </w:pPr>
      <w:r>
        <w:t xml:space="preserve">Um seller poderá ter:</w:t>
      </w:r>
    </w:p>
    <w:p>
      <w:pPr>
        <w:pStyle w:val="SourceCode"/>
      </w:pP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e recursos: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A autorização deverá verificar a relação correta com cada recurso.</w:t>
      </w:r>
    </w:p>
    <w:p>
      <w:r>
        <w:pict>
          <v:rect style="width:0;height:1.5pt" o:hralign="center" o:hrstd="t" o:hr="t"/>
        </w:pict>
      </w:r>
    </w:p>
    <w:bookmarkEnd w:id="41"/>
    <w:bookmarkStart w:id="42" w:name="seller-profile-user"/>
    <w:p>
      <w:pPr>
        <w:pStyle w:val="Heading1"/>
      </w:pPr>
      <w:r>
        <w:t xml:space="preserve">32. Seller Profile ≠ User</w:t>
      </w:r>
    </w:p>
    <w:p>
      <w:pPr>
        <w:pStyle w:val="FirstParagraph"/>
      </w:pPr>
      <w:r>
        <w:t xml:space="preserve">Um usuário poderá existir sem ser seller.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não deverá ser confundido com:</w:t>
      </w:r>
    </w:p>
    <w:p>
      <w:pPr>
        <w:pStyle w:val="SourceCode"/>
      </w:pPr>
      <w:r>
        <w:rPr>
          <w:rStyle w:val="VerbatimChar"/>
        </w:rPr>
        <w:t xml:space="preserve">SELLER_PROFILE</w:t>
      </w:r>
    </w:p>
    <w:p>
      <w:r>
        <w:pict>
          <v:rect style="width:0;height:1.5pt" o:hralign="center" o:hrstd="t" o:hr="t"/>
        </w:pict>
      </w:r>
    </w:p>
    <w:bookmarkEnd w:id="42"/>
    <w:bookmarkStart w:id="43" w:name="seller-authorization"/>
    <w:p>
      <w:pPr>
        <w:pStyle w:val="Heading1"/>
      </w:pPr>
      <w:r>
        <w:t xml:space="preserve">33. Seller Authorization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não significa automaticamente:</w:t>
      </w:r>
    </w:p>
    <w:p>
      <w:pPr>
        <w:pStyle w:val="SourceCode"/>
      </w:pP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O seller poderá possuir capabilities específicas.</w:t>
      </w:r>
    </w:p>
    <w:p>
      <w:r>
        <w:pict>
          <v:rect style="width:0;height:1.5pt" o:hralign="center" o:hrstd="t" o:hr="t"/>
        </w:pict>
      </w:r>
    </w:p>
    <w:bookmarkEnd w:id="43"/>
    <w:bookmarkStart w:id="44" w:name="contexto-1"/>
    <w:p>
      <w:pPr>
        <w:pStyle w:val="Heading1"/>
      </w:pPr>
      <w:r>
        <w:t xml:space="preserve">34. Contexto</w:t>
      </w:r>
    </w:p>
    <w:p>
      <w:pPr>
        <w:pStyle w:val="FirstParagraph"/>
      </w:pPr>
      <w:r>
        <w:t xml:space="preserve">A autorização poderá considerar: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resource_owner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resource_state</w:t>
      </w:r>
      <w:r>
        <w:br/>
      </w:r>
      <w:r>
        <w:rPr>
          <w:rStyle w:val="VerbatimChar"/>
        </w:rPr>
        <w:t xml:space="preserve">business_policy</w:t>
      </w:r>
    </w:p>
    <w:p>
      <w:r>
        <w:pict>
          <v:rect style="width:0;height:1.5pt" o:hralign="center" o:hrstd="t" o:hr="t"/>
        </w:pict>
      </w:r>
    </w:p>
    <w:bookmarkEnd w:id="44"/>
    <w:bookmarkStart w:id="45" w:name="cache-de-autorização"/>
    <w:p>
      <w:pPr>
        <w:pStyle w:val="Heading1"/>
      </w:pPr>
      <w:r>
        <w:t xml:space="preserve">35. Cache de autorização</w:t>
      </w:r>
    </w:p>
    <w:p>
      <w:pPr>
        <w:pStyle w:val="FirstParagraph"/>
      </w:pPr>
      <w:r>
        <w:t xml:space="preserve">Decisões de autorização poderão futuramente utilizar cache.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source of truth</w:t>
      </w:r>
    </w:p>
    <w:p>
      <w:pPr>
        <w:pStyle w:val="FirstParagraph"/>
      </w:pPr>
      <w:r>
        <w:t xml:space="preserve">Mudanças críticas deverão invalidar os caches correspondentes.</w:t>
      </w:r>
    </w:p>
    <w:p>
      <w:r>
        <w:pict>
          <v:rect style="width:0;height:1.5pt" o:hralign="center" o:hrstd="t" o:hr="t"/>
        </w:pict>
      </w:r>
    </w:p>
    <w:bookmarkEnd w:id="45"/>
    <w:bookmarkStart w:id="46" w:name="revogação"/>
    <w:p>
      <w:pPr>
        <w:pStyle w:val="Heading1"/>
      </w:pPr>
      <w:r>
        <w:t xml:space="preserve">36. Revogação</w:t>
      </w:r>
    </w:p>
    <w:p>
      <w:pPr>
        <w:pStyle w:val="FirstParagraph"/>
      </w:pPr>
      <w:r>
        <w:t xml:space="preserve">Quando uma capability for removida: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CAN_PUBLISH_PRE_SALE</w:t>
      </w:r>
    </w:p>
    <w:p>
      <w:pPr>
        <w:pStyle w:val="FirstParagraph"/>
      </w:pPr>
      <w:r>
        <w:t xml:space="preserve">o acesso deverá ser revogado conforme as regras de sessão/token/cache.</w:t>
      </w:r>
    </w:p>
    <w:p>
      <w:r>
        <w:pict>
          <v:rect style="width:0;height:1.5pt" o:hralign="center" o:hrstd="t" o:hr="t"/>
        </w:pict>
      </w:r>
    </w:p>
    <w:bookmarkEnd w:id="46"/>
    <w:bookmarkStart w:id="47" w:name="auditoria"/>
    <w:p>
      <w:pPr>
        <w:pStyle w:val="Heading1"/>
      </w:pPr>
      <w:r>
        <w:t xml:space="preserve">37. Auditoria</w:t>
      </w:r>
    </w:p>
    <w:p>
      <w:pPr>
        <w:pStyle w:val="FirstParagraph"/>
      </w:pPr>
      <w:r>
        <w:t xml:space="preserve">Mudanças de autorização deverão ser auditadas.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previous_state</w:t>
      </w:r>
      <w:r>
        <w:br/>
      </w:r>
      <w:r>
        <w:rPr>
          <w:rStyle w:val="VerbatimChar"/>
        </w:rPr>
        <w:t xml:space="preserve">new_state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47"/>
    <w:bookmarkStart w:id="48" w:name="logs-de-segurança"/>
    <w:p>
      <w:pPr>
        <w:pStyle w:val="Heading1"/>
      </w:pPr>
      <w:r>
        <w:t xml:space="preserve">38. Logs de segurança</w:t>
      </w:r>
    </w:p>
    <w:p>
      <w:pPr>
        <w:pStyle w:val="FirstParagraph"/>
      </w:pPr>
      <w:r>
        <w:t xml:space="preserve">Tentativas relevantes poderão gerar logs:</w:t>
      </w:r>
    </w:p>
    <w:p>
      <w:pPr>
        <w:pStyle w:val="SourceCode"/>
      </w:pPr>
      <w:r>
        <w:rPr>
          <w:rStyle w:val="VerbatimChar"/>
        </w:rPr>
        <w:t xml:space="preserve">AUTHORIZATION_DENIED</w:t>
      </w:r>
      <w:r>
        <w:br/>
      </w:r>
      <w:r>
        <w:rPr>
          <w:rStyle w:val="VerbatimChar"/>
        </w:rPr>
        <w:t xml:space="preserve">OWNERSHIP_DENIED</w:t>
      </w:r>
      <w:r>
        <w:br/>
      </w:r>
      <w:r>
        <w:rPr>
          <w:rStyle w:val="VerbatimChar"/>
        </w:rPr>
        <w:t xml:space="preserve">CAPABILITY_DENIED</w:t>
      </w:r>
      <w:r>
        <w:br/>
      </w:r>
      <w:r>
        <w:rPr>
          <w:rStyle w:val="VerbatimChar"/>
        </w:rPr>
        <w:t xml:space="preserve">ROLE_CHANGED</w:t>
      </w:r>
      <w:r>
        <w:br/>
      </w:r>
      <w:r>
        <w:rPr>
          <w:rStyle w:val="VerbatimChar"/>
        </w:rPr>
        <w:t xml:space="preserve">SELLER_AUTHORIZATION_CHANGED</w:t>
      </w:r>
    </w:p>
    <w:p>
      <w:pPr>
        <w:pStyle w:val="FirstParagraph"/>
      </w:pPr>
      <w:r>
        <w:t xml:space="preserve">Logs técnicos não substituem auditoria.</w:t>
      </w:r>
    </w:p>
    <w:p>
      <w:r>
        <w:pict>
          <v:rect style="width:0;height:1.5pt" o:hralign="center" o:hrstd="t" o:hr="t"/>
        </w:pict>
      </w:r>
    </w:p>
    <w:bookmarkEnd w:id="48"/>
    <w:bookmarkStart w:id="49" w:name="multi-tenant-futuro"/>
    <w:p>
      <w:pPr>
        <w:pStyle w:val="Heading1"/>
      </w:pPr>
      <w:r>
        <w:t xml:space="preserve">39. Multi-tenant futuro</w:t>
      </w:r>
    </w:p>
    <w:p>
      <w:pPr>
        <w:pStyle w:val="FirstParagraph"/>
      </w:pPr>
      <w:r>
        <w:t xml:space="preserve">A arquitetura deverá permitir futura inclusão de contexto:</w:t>
      </w:r>
    </w:p>
    <w:p>
      <w:pPr>
        <w:pStyle w:val="SourceCode"/>
      </w:pPr>
      <w:r>
        <w:rPr>
          <w:rStyle w:val="VerbatimChar"/>
        </w:rPr>
        <w:t xml:space="preserve">tenant_id</w:t>
      </w:r>
    </w:p>
    <w:p>
      <w:pPr>
        <w:pStyle w:val="FirstParagraph"/>
      </w:pPr>
      <w:r>
        <w:t xml:space="preserve">na política de autorização.</w:t>
      </w:r>
    </w:p>
    <w:p>
      <w:pPr>
        <w:pStyle w:val="BodyText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Multi-tenancy não será implementado no MVP sem decisão arquitetural específica.</w:t>
      </w:r>
    </w:p>
    <w:p>
      <w:r>
        <w:pict>
          <v:rect style="width:0;height:1.5pt" o:hralign="center" o:hrstd="t" o:hr="t"/>
        </w:pict>
      </w:r>
    </w:p>
    <w:bookmarkEnd w:id="49"/>
    <w:bookmarkStart w:id="50" w:name="regra-central"/>
    <w:p>
      <w:pPr>
        <w:pStyle w:val="Heading1"/>
      </w:pPr>
      <w:r>
        <w:t xml:space="preserve">40. Regra central</w:t>
      </w:r>
    </w:p>
    <w:p>
      <w:pPr>
        <w:pStyle w:val="FirstParagraph"/>
      </w:pPr>
      <w:r>
        <w:t xml:space="preserve">A decisão será: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CAPABILITY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POLICY</w:t>
      </w:r>
    </w:p>
    <w:p>
      <w:pPr>
        <w:pStyle w:val="FirstParagraph"/>
      </w:pPr>
      <w:r>
        <w:t xml:space="preserve">Não existe uma única camada responsável por toda autorização.</w:t>
      </w:r>
    </w:p>
    <w:p>
      <w:r>
        <w:pict>
          <v:rect style="width:0;height:1.5pt" o:hralign="center" o:hrstd="t" o:hr="t"/>
        </w:pict>
      </w:r>
    </w:p>
    <w:bookmarkEnd w:id="50"/>
    <w:bookmarkStart w:id="51" w:name="exemplo-completo"/>
    <w:p>
      <w:pPr>
        <w:pStyle w:val="Heading1"/>
      </w:pPr>
      <w:r>
        <w:t xml:space="preserve">41. Exemplo completo</w:t>
      </w:r>
    </w:p>
    <w:p>
      <w:pPr>
        <w:pStyle w:val="FirstParagraph"/>
      </w:pPr>
      <w:r>
        <w:t xml:space="preserve">Usuário:</w:t>
      </w:r>
    </w:p>
    <w:p>
      <w:pPr>
        <w:pStyle w:val="SourceCode"/>
      </w:pPr>
      <w:r>
        <w:rPr>
          <w:rStyle w:val="VerbatimChar"/>
        </w:rPr>
        <w:t xml:space="preserve">Carlos</w:t>
      </w:r>
    </w:p>
    <w:p>
      <w:pPr>
        <w:pStyle w:val="FirstParagraph"/>
      </w:pPr>
      <w:r>
        <w:t xml:space="preserve">possui: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CAN_CREATE_OFFER</w:t>
      </w:r>
      <w:r>
        <w:br/>
      </w:r>
      <w:r>
        <w:rPr>
          <w:rStyle w:val="VerbatimChar"/>
        </w:rPr>
        <w:t xml:space="preserve">CAN_PUBLISH_OFFER</w:t>
      </w:r>
    </w:p>
    <w:p>
      <w:pPr>
        <w:pStyle w:val="FirstParagraph"/>
      </w:pPr>
      <w:r>
        <w:t xml:space="preserve">Tenta publicar:</w:t>
      </w:r>
    </w:p>
    <w:p>
      <w:pPr>
        <w:pStyle w:val="SourceCode"/>
      </w:pPr>
      <w:r>
        <w:rPr>
          <w:rStyle w:val="VerbatimChar"/>
        </w:rPr>
        <w:t xml:space="preserve">Offer #123</w:t>
      </w:r>
    </w:p>
    <w:p>
      <w:pPr>
        <w:pStyle w:val="FirstParagraph"/>
      </w:pPr>
      <w:r>
        <w:t xml:space="preserve">Sistema verifica:</w:t>
      </w:r>
    </w:p>
    <w:p>
      <w:pPr>
        <w:pStyle w:val="SourceCode"/>
      </w:pPr>
      <w:r>
        <w:rPr>
          <w:rStyle w:val="VerbatimChar"/>
        </w:rPr>
        <w:t xml:space="preserve">1. Usuário autenticado?</w:t>
      </w:r>
      <w:r>
        <w:br/>
      </w:r>
      <w:r>
        <w:rPr>
          <w:rStyle w:val="VerbatimChar"/>
        </w:rPr>
        <w:t xml:space="preserve">2. Possui CAN_PUBLISH_OFFER?</w:t>
      </w:r>
      <w:r>
        <w:br/>
      </w:r>
      <w:r>
        <w:rPr>
          <w:rStyle w:val="VerbatimChar"/>
        </w:rPr>
        <w:t xml:space="preserve">3. Offer pertence ao seller?</w:t>
      </w:r>
      <w:r>
        <w:br/>
      </w:r>
      <w:r>
        <w:rPr>
          <w:rStyle w:val="VerbatimChar"/>
        </w:rPr>
        <w:t xml:space="preserve">4. Seller está ativo?</w:t>
      </w:r>
      <w:r>
        <w:br/>
      </w:r>
      <w:r>
        <w:rPr>
          <w:rStyle w:val="VerbatimChar"/>
        </w:rPr>
        <w:t xml:space="preserve">5. Offer está em estado compatível?</w:t>
      </w:r>
      <w:r>
        <w:br/>
      </w:r>
      <w:r>
        <w:rPr>
          <w:rStyle w:val="VerbatimChar"/>
        </w:rPr>
        <w:t xml:space="preserve">6. Variation está ativa?</w:t>
      </w:r>
      <w:r>
        <w:br/>
      </w:r>
      <w:r>
        <w:rPr>
          <w:rStyle w:val="VerbatimChar"/>
        </w:rPr>
        <w:t xml:space="preserve">7. Regras comerciais estão válidas?</w:t>
      </w:r>
    </w:p>
    <w:p>
      <w:pPr>
        <w:pStyle w:val="FirstParagraph"/>
      </w:pPr>
      <w:r>
        <w:t xml:space="preserve">Somente então:</w:t>
      </w:r>
    </w:p>
    <w:p>
      <w:pPr>
        <w:pStyle w:val="SourceCode"/>
      </w:pPr>
      <w:r>
        <w:rPr>
          <w:rStyle w:val="VerbatimChar"/>
        </w:rPr>
        <w:t xml:space="preserve">ALLOW</w:t>
      </w:r>
    </w:p>
    <w:p>
      <w:r>
        <w:pict>
          <v:rect style="width:0;height:1.5pt" o:hralign="center" o:hrstd="t" o:hr="t"/>
        </w:pict>
      </w:r>
    </w:p>
    <w:bookmarkEnd w:id="51"/>
    <w:bookmarkStart w:id="52" w:name="exemplo-de-negação"/>
    <w:p>
      <w:pPr>
        <w:pStyle w:val="Heading1"/>
      </w:pPr>
      <w:r>
        <w:t xml:space="preserve">42. Exemplo de negação</w:t>
      </w:r>
    </w:p>
    <w:p>
      <w:pPr>
        <w:pStyle w:val="FirstParagraph"/>
      </w:pPr>
      <w:r>
        <w:t xml:space="preserve">Usuário possui:</w:t>
      </w:r>
    </w:p>
    <w:p>
      <w:pPr>
        <w:pStyle w:val="SourceCode"/>
      </w:pPr>
      <w:r>
        <w:rPr>
          <w:rStyle w:val="VerbatimChar"/>
        </w:rPr>
        <w:t xml:space="preserve">CAN_PUBLISH_OFFER</w:t>
      </w:r>
    </w:p>
    <w:p>
      <w:pPr>
        <w:pStyle w:val="FirstParagraph"/>
      </w:pPr>
      <w:r>
        <w:t xml:space="preserve">mas tenta publicar oferta pertencente a outro seller.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A aplicação não deverá simplesmente retornar os dados do recurso.</w:t>
      </w:r>
    </w:p>
    <w:p>
      <w:r>
        <w:pict>
          <v:rect style="width:0;height:1.5pt" o:hralign="center" o:hrstd="t" o:hr="t"/>
        </w:pict>
      </w:r>
    </w:p>
    <w:bookmarkEnd w:id="52"/>
    <w:bookmarkStart w:id="53" w:name="versus-403"/>
    <w:p>
      <w:pPr>
        <w:pStyle w:val="Heading1"/>
      </w:pPr>
      <w:r>
        <w:t xml:space="preserve">43. 401 versus 403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401</w:t>
      </w:r>
    </w:p>
    <w:p>
      <w:pPr>
        <w:pStyle w:val="FirstParagraph"/>
      </w:pPr>
      <w:r>
        <w:t xml:space="preserve">quando a requisição não possui autenticação válida.</w:t>
      </w:r>
    </w:p>
    <w:p>
      <w:pPr>
        <w:pStyle w:val="SourceCode"/>
      </w:pPr>
      <w:r>
        <w:rPr>
          <w:rStyle w:val="VerbatimChar"/>
        </w:rPr>
        <w:t xml:space="preserve">403</w:t>
      </w:r>
    </w:p>
    <w:p>
      <w:pPr>
        <w:pStyle w:val="FirstParagraph"/>
      </w:pPr>
      <w:r>
        <w:t xml:space="preserve">quando o usuário está autenticado, mas não possui autorização para a operação.</w:t>
      </w:r>
    </w:p>
    <w:p>
      <w:r>
        <w:pict>
          <v:rect style="width:0;height:1.5pt" o:hralign="center" o:hrstd="t" o:hr="t"/>
        </w:pict>
      </w:r>
    </w:p>
    <w:bookmarkEnd w:id="53"/>
    <w:bookmarkStart w:id="54" w:name="não-revelar-informações"/>
    <w:p>
      <w:pPr>
        <w:pStyle w:val="Heading1"/>
      </w:pPr>
      <w:r>
        <w:t xml:space="preserve">44. Não revelar informações</w:t>
      </w:r>
    </w:p>
    <w:p>
      <w:pPr>
        <w:pStyle w:val="FirstParagraph"/>
      </w:pPr>
      <w:r>
        <w:t xml:space="preserve">Quando apropriado, o sistema poderá retornar: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em vez de revelar a existência de um recurso que o usuário não deveria conhecer.</w:t>
      </w:r>
    </w:p>
    <w:p>
      <w:pPr>
        <w:pStyle w:val="BodyText"/>
      </w:pPr>
      <w:r>
        <w:t xml:space="preserve">A decisão dependerá do contexto de segurança.</w:t>
      </w:r>
    </w:p>
    <w:p>
      <w:r>
        <w:pict>
          <v:rect style="width:0;height:1.5pt" o:hralign="center" o:hrstd="t" o:hr="t"/>
        </w:pict>
      </w:r>
    </w:p>
    <w:bookmarkEnd w:id="54"/>
    <w:bookmarkStart w:id="55" w:name="matriz-inicial"/>
    <w:p>
      <w:pPr>
        <w:pStyle w:val="Heading1"/>
      </w:pPr>
      <w:r>
        <w:t xml:space="preserve">45. Matriz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CATALOG_SEARCH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CATALOG_REQUEST_CREATE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Coleção</w:t>
            </w:r>
          </w:p>
        </w:tc>
        <w:tc>
          <w:tcPr/>
          <w:p>
            <w:pPr>
              <w:pStyle w:val="Compact"/>
            </w:pPr>
            <w:r>
              <w:t xml:space="preserve">COLLECTION_VIEW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Coleção</w:t>
            </w:r>
          </w:p>
        </w:tc>
        <w:tc>
          <w:tcPr/>
          <w:p>
            <w:pPr>
              <w:pStyle w:val="Compact"/>
            </w:pPr>
            <w:r>
              <w:t xml:space="preserve">COLLECTION_MANAGE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</w:pPr>
            <w:r>
              <w:t xml:space="preserve">WISHLIST_MANAGE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SELLER_PROFILE_MANAGE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OFFER_CREATE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OFFER_UPDATE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OFFER_PUBLISH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</w:pPr>
            <w:r>
              <w:t xml:space="preserve">PRE_SALE_CREATE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Pré-venda</w:t>
            </w:r>
          </w:p>
        </w:tc>
        <w:tc>
          <w:tcPr/>
          <w:p>
            <w:pPr>
              <w:pStyle w:val="Compact"/>
            </w:pPr>
            <w:r>
              <w:t xml:space="preserve">PRE_SALE_PUBLISH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Promoções</w:t>
            </w:r>
          </w:p>
        </w:tc>
        <w:tc>
          <w:tcPr/>
          <w:p>
            <w:pPr>
              <w:pStyle w:val="Compact"/>
            </w:pPr>
            <w:r>
              <w:t xml:space="preserve">EXTERNAL_PROMOTION_CREATE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Promoções</w:t>
            </w:r>
          </w:p>
        </w:tc>
        <w:tc>
          <w:tcPr/>
          <w:p>
            <w:pPr>
              <w:pStyle w:val="Compact"/>
            </w:pPr>
            <w:r>
              <w:t xml:space="preserve">EXTERNAL_PROMOTION_PUBLISH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COMMUNITY_POST_CREATE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COMMUNITY_MODERATE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ORDER_VIEW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ORDER_MANAGE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GARAGE_VIEW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GARAGE_DISPATCH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FINANCE_VIEW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FINANCE_RECONCILE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t xml:space="preserve">USER_MANAGE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t xml:space="preserve">CATALOG_MANAGE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</w:pPr>
            <w:r>
              <w:t xml:space="preserve">SELLER_MANAGE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AUDIT_VIEW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decisão-final"/>
    <w:p>
      <w:pPr>
        <w:pStyle w:val="Heading1"/>
      </w:pPr>
      <w:r>
        <w:t xml:space="preserve">46. Decisão final</w:t>
      </w:r>
    </w:p>
    <w:p>
      <w:pPr>
        <w:pStyle w:val="BlockText"/>
      </w:pPr>
      <w:r>
        <w:rPr>
          <w:b/>
          <w:bCs/>
        </w:rPr>
        <w:t xml:space="preserve">A autorização do MiniHub será baseada em uma combinação de identidade, roles, capabilities, ownership, estado do recurso e políticas de negócio. Nenhum desses elementos, isoladamente, será considerado suficiente para autorizar operações sensíveis.</w:t>
      </w:r>
    </w:p>
    <w:p>
      <w:pPr>
        <w:pStyle w:val="FirstParagraph"/>
      </w:pPr>
      <w:r>
        <w:t xml:space="preserve">A autorização será sempre aplicada no backend.</w:t>
      </w:r>
    </w:p>
    <w:p>
      <w:r>
        <w:pict>
          <v:rect style="width:0;height:1.5pt" o:hralign="center" o:hrstd="t" o:hr="t"/>
        </w:pict>
      </w:r>
    </w:p>
    <w:bookmarkEnd w:id="56"/>
    <w:bookmarkStart w:id="57" w:name="status"/>
    <w:p>
      <w:pPr>
        <w:pStyle w:val="Heading1"/>
      </w:pPr>
      <w:r>
        <w:t xml:space="preserve">47. Status</w:t>
      </w:r>
    </w:p>
    <w:p>
      <w:pPr>
        <w:pStyle w:val="SourceCode"/>
      </w:pPr>
      <w:r>
        <w:rPr>
          <w:rStyle w:val="VerbatimChar"/>
        </w:rPr>
        <w:t xml:space="preserve">ACEITO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