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adr-007-estratégia-de-multi-tenancy"/>
    <w:p>
      <w:pPr>
        <w:pStyle w:val="Heading2"/>
      </w:pPr>
      <w:r>
        <w:t xml:space="preserve">ADR-007 — Estratégia de Multi-Tenancy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 — MVP sem Multi-Tenancy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O MiniHub será inicialmente desenvolvido como uma aplicação single-tenant lógica, preparada arquiteturalmente para futura evolução para multi-tenancy sem obrigar a implementação dessa complexidade no MVP.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poderá futuramente evoluir para diferentes modelos de negócio: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├── usuários</w:t>
      </w:r>
      <w:r>
        <w:br/>
      </w:r>
      <w:r>
        <w:rPr>
          <w:rStyle w:val="VerbatimChar"/>
        </w:rPr>
        <w:t xml:space="preserve"> ├── colecionadores</w:t>
      </w:r>
      <w:r>
        <w:br/>
      </w:r>
      <w:r>
        <w:rPr>
          <w:rStyle w:val="VerbatimChar"/>
        </w:rPr>
        <w:t xml:space="preserve"> ├── vendedores</w:t>
      </w:r>
      <w:r>
        <w:br/>
      </w:r>
      <w:r>
        <w:rPr>
          <w:rStyle w:val="VerbatimChar"/>
        </w:rPr>
        <w:t xml:space="preserve"> ├── administradores</w:t>
      </w:r>
      <w:r>
        <w:br/>
      </w:r>
      <w:r>
        <w:rPr>
          <w:rStyle w:val="VerbatimChar"/>
        </w:rPr>
        <w:t xml:space="preserve"> ├── parceiros</w:t>
      </w:r>
      <w:r>
        <w:br/>
      </w:r>
      <w:r>
        <w:rPr>
          <w:rStyle w:val="VerbatimChar"/>
        </w:rPr>
        <w:t xml:space="preserve"> └── possíveis organizações</w:t>
      </w:r>
    </w:p>
    <w:p>
      <w:pPr>
        <w:pStyle w:val="FirstParagraph"/>
      </w:pPr>
      <w:r>
        <w:t xml:space="preserve">Existe, portanto, a possibilidade futura de atender:</w:t>
      </w:r>
    </w:p>
    <w:p>
      <w:pPr>
        <w:pStyle w:val="SourceCode"/>
      </w:pPr>
      <w:r>
        <w:rPr>
          <w:rStyle w:val="VerbatimChar"/>
        </w:rPr>
        <w:t xml:space="preserve">Tenant A</w:t>
      </w:r>
      <w:r>
        <w:br/>
      </w:r>
      <w:r>
        <w:rPr>
          <w:rStyle w:val="VerbatimChar"/>
        </w:rPr>
        <w:t xml:space="preserve">Tenant B</w:t>
      </w:r>
      <w:r>
        <w:br/>
      </w:r>
      <w:r>
        <w:rPr>
          <w:rStyle w:val="VerbatimChar"/>
        </w:rPr>
        <w:t xml:space="preserve">Tenant C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Porém, essa necessidade ainda não pertence ao MVP.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O MVP utilizará:</w:t>
      </w:r>
    </w:p>
    <w:p>
      <w:pPr>
        <w:pStyle w:val="SourceCode"/>
      </w:pPr>
      <w:r>
        <w:rPr>
          <w:rStyle w:val="VerbatimChar"/>
        </w:rPr>
        <w:t xml:space="preserve">1 aplicação</w:t>
      </w:r>
      <w:r>
        <w:br/>
      </w:r>
      <w:r>
        <w:rPr>
          <w:rStyle w:val="VerbatimChar"/>
        </w:rPr>
        <w:t xml:space="preserve">1 banco PostgreSQL</w:t>
      </w:r>
      <w:r>
        <w:br/>
      </w:r>
      <w:r>
        <w:rPr>
          <w:rStyle w:val="VerbatimChar"/>
        </w:rPr>
        <w:t xml:space="preserve">1 contexto lógico de aplicação</w:t>
      </w:r>
    </w:p>
    <w:p>
      <w:pPr>
        <w:pStyle w:val="FirstParagraph"/>
      </w:pPr>
      <w:r>
        <w:t xml:space="preserve">Sem obrigar todas as entidades a possuírem: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desde o primeiro dia.</w:t>
      </w:r>
    </w:p>
    <w:p>
      <w:r>
        <w:pict>
          <v:rect style="width:0;height:1.5pt" o:hralign="center" o:hrstd="t" o:hr="t"/>
        </w:pict>
      </w:r>
    </w:p>
    <w:bookmarkEnd w:id="12"/>
    <w:bookmarkStart w:id="13" w:name="o-que-não-será-feito-no-mvp"/>
    <w:p>
      <w:pPr>
        <w:pStyle w:val="Heading1"/>
      </w:pPr>
      <w:r>
        <w:t xml:space="preserve">3. O que NÃO será feito no MVP</w:t>
      </w:r>
    </w:p>
    <w:p>
      <w:pPr>
        <w:pStyle w:val="FirstParagraph"/>
      </w:pPr>
      <w:r>
        <w:t xml:space="preserve">Não serão implementados inicialmente:</w:t>
      </w:r>
    </w:p>
    <w:p>
      <w:pPr>
        <w:pStyle w:val="SourceCode"/>
      </w:pPr>
      <w:r>
        <w:rPr>
          <w:rStyle w:val="VerbatimChar"/>
        </w:rPr>
        <w:t xml:space="preserve">database por tenant</w:t>
      </w:r>
      <w:r>
        <w:br/>
      </w:r>
      <w:r>
        <w:rPr>
          <w:rStyle w:val="VerbatimChar"/>
        </w:rPr>
        <w:t xml:space="preserve">schema por tenant</w:t>
      </w:r>
      <w:r>
        <w:br/>
      </w:r>
      <w:r>
        <w:rPr>
          <w:rStyle w:val="VerbatimChar"/>
        </w:rPr>
        <w:t xml:space="preserve">tenant_id obrigatório em todas as tabelas</w:t>
      </w:r>
      <w:r>
        <w:br/>
      </w:r>
      <w:r>
        <w:rPr>
          <w:rStyle w:val="VerbatimChar"/>
        </w:rPr>
        <w:t xml:space="preserve">RLS obrigatório em todas as tabelas</w:t>
      </w:r>
      <w:r>
        <w:br/>
      </w:r>
      <w:r>
        <w:rPr>
          <w:rStyle w:val="VerbatimChar"/>
        </w:rPr>
        <w:t xml:space="preserve">roteamento por subdomínio</w:t>
      </w:r>
      <w:r>
        <w:br/>
      </w:r>
      <w:r>
        <w:rPr>
          <w:rStyle w:val="VerbatimChar"/>
        </w:rPr>
        <w:t xml:space="preserve">billing por tenant</w:t>
      </w:r>
      <w:r>
        <w:br/>
      </w:r>
      <w:r>
        <w:rPr>
          <w:rStyle w:val="VerbatimChar"/>
        </w:rPr>
        <w:t xml:space="preserve">isolamento operacional por tenant</w:t>
      </w:r>
    </w:p>
    <w:p>
      <w:r>
        <w:pict>
          <v:rect style="width:0;height:1.5pt" o:hralign="center" o:hrstd="t" o:hr="t"/>
        </w:pict>
      </w:r>
    </w:p>
    <w:bookmarkEnd w:id="13"/>
    <w:bookmarkStart w:id="14" w:name="por-que-não-implementar-imediatamente"/>
    <w:p>
      <w:pPr>
        <w:pStyle w:val="Heading1"/>
      </w:pPr>
      <w:r>
        <w:t xml:space="preserve">4. Por que não implementar imediatamente?</w:t>
      </w:r>
    </w:p>
    <w:p>
      <w:pPr>
        <w:pStyle w:val="FirstParagraph"/>
      </w:pPr>
      <w:r>
        <w:t xml:space="preserve">Adicionar multi-tenancy a todas as entidades aumenta a complexidade de:</w:t>
      </w:r>
    </w:p>
    <w:p>
      <w:pPr>
        <w:pStyle w:val="SourceCode"/>
      </w:pP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foreign keys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relatórios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migrações</w:t>
      </w:r>
    </w:p>
    <w:p>
      <w:pPr>
        <w:pStyle w:val="FirstParagraph"/>
      </w:pPr>
      <w:r>
        <w:t xml:space="preserve">O MVP deve resolver primeiro o domínio real do MiniHub.</w:t>
      </w:r>
    </w:p>
    <w:p>
      <w:r>
        <w:pict>
          <v:rect style="width:0;height:1.5pt" o:hralign="center" o:hrstd="t" o:hr="t"/>
        </w:pict>
      </w:r>
    </w:p>
    <w:bookmarkEnd w:id="14"/>
    <w:bookmarkStart w:id="15" w:name="preparação-arquitetural"/>
    <w:p>
      <w:pPr>
        <w:pStyle w:val="Heading1"/>
      </w:pPr>
      <w:r>
        <w:t xml:space="preserve">5. Preparação arquitetural</w:t>
      </w:r>
    </w:p>
    <w:p>
      <w:pPr>
        <w:pStyle w:val="FirstParagraph"/>
      </w:pPr>
      <w:r>
        <w:t xml:space="preserve">Embora não seja implementado, a arquitetura deverá evitar decisões que impossibilitem sua futura adoção.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não deverão depender de identificadores globais que impeçam uma futura associação contextual.</w:t>
      </w:r>
    </w:p>
    <w:p>
      <w:r>
        <w:pict>
          <v:rect style="width:0;height:1.5pt" o:hralign="center" o:hrstd="t" o:hr="t"/>
        </w:pict>
      </w:r>
    </w:p>
    <w:bookmarkEnd w:id="15"/>
    <w:bookmarkStart w:id="16" w:name="tenant-futuro"/>
    <w:p>
      <w:pPr>
        <w:pStyle w:val="Heading1"/>
      </w:pPr>
      <w:r>
        <w:t xml:space="preserve">6. Tenant futuro</w:t>
      </w:r>
    </w:p>
    <w:p>
      <w:pPr>
        <w:pStyle w:val="FirstParagraph"/>
      </w:pPr>
      <w:r>
        <w:t xml:space="preserve">Caso a necessidade seja confirmada posteriormente, poderá ser criada uma entidade:</w:t>
      </w:r>
    </w:p>
    <w:p>
      <w:pPr>
        <w:pStyle w:val="SourceCode"/>
      </w:pPr>
      <w:r>
        <w:rPr>
          <w:rStyle w:val="VerbatimChar"/>
        </w:rPr>
        <w:t xml:space="preserve">TENANT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name</w:t>
      </w:r>
      <w:r>
        <w:br/>
      </w:r>
      <w:r>
        <w:rPr>
          <w:rStyle w:val="VerbatimChar"/>
        </w:rPr>
        <w:t xml:space="preserve">├── slug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└── timestamps</w:t>
      </w:r>
    </w:p>
    <w:p>
      <w:r>
        <w:pict>
          <v:rect style="width:0;height:1.5pt" o:hralign="center" o:hrstd="t" o:hr="t"/>
        </w:pict>
      </w:r>
    </w:p>
    <w:bookmarkEnd w:id="16"/>
    <w:bookmarkStart w:id="17" w:name="contexto-de-execução"/>
    <w:p>
      <w:pPr>
        <w:pStyle w:val="Heading1"/>
      </w:pPr>
      <w:r>
        <w:t xml:space="preserve">7. Contexto de execução</w:t>
      </w:r>
    </w:p>
    <w:p>
      <w:pPr>
        <w:pStyle w:val="FirstParagraph"/>
      </w:pPr>
      <w:r>
        <w:t xml:space="preserve">O contexto futuro poderá ser: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Tenant 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</w:p>
    <w:p>
      <w:r>
        <w:pict>
          <v:rect style="width:0;height:1.5pt" o:hralign="center" o:hrstd="t" o:hr="t"/>
        </w:pict>
      </w:r>
    </w:p>
    <w:bookmarkEnd w:id="17"/>
    <w:bookmarkStart w:id="18" w:name="tenant-user"/>
    <w:p>
      <w:pPr>
        <w:pStyle w:val="Heading1"/>
      </w:pPr>
      <w:r>
        <w:t xml:space="preserve">8. Tenant ≠ User</w:t>
      </w:r>
    </w:p>
    <w:p>
      <w:pPr>
        <w:pStyle w:val="FirstParagraph"/>
      </w:pPr>
      <w:r>
        <w:t xml:space="preserve">Um usuário poderá futuramente participar de mais de um tenant.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Tenant A</w:t>
      </w:r>
      <w:r>
        <w:br/>
      </w:r>
      <w:r>
        <w:rPr>
          <w:rStyle w:val="VerbatimChar"/>
        </w:rPr>
        <w:t xml:space="preserve"> └── Tenant B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não deverá ser transformado em:</w:t>
      </w:r>
    </w:p>
    <w:p>
      <w:pPr>
        <w:pStyle w:val="SourceCode"/>
      </w:pPr>
      <w:r>
        <w:rPr>
          <w:rStyle w:val="VerbatimChar"/>
        </w:rPr>
        <w:t xml:space="preserve">TENANT</w:t>
      </w:r>
    </w:p>
    <w:p>
      <w:r>
        <w:pict>
          <v:rect style="width:0;height:1.5pt" o:hralign="center" o:hrstd="t" o:hr="t"/>
        </w:pict>
      </w:r>
    </w:p>
    <w:bookmarkEnd w:id="18"/>
    <w:bookmarkStart w:id="19" w:name="membership"/>
    <w:p>
      <w:pPr>
        <w:pStyle w:val="Heading1"/>
      </w:pPr>
      <w:r>
        <w:t xml:space="preserve">9. Membership</w:t>
      </w:r>
    </w:p>
    <w:p>
      <w:pPr>
        <w:pStyle w:val="FirstParagraph"/>
      </w:pPr>
      <w:r>
        <w:t xml:space="preserve">Em um modelo futuro poderá existir:</w:t>
      </w:r>
    </w:p>
    <w:p>
      <w:pPr>
        <w:pStyle w:val="SourceCode"/>
      </w:pPr>
      <w:r>
        <w:rPr>
          <w:rStyle w:val="VerbatimChar"/>
        </w:rPr>
        <w:t xml:space="preserve">TENANT_MEMBERSHIP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Isso permitirá: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Tenant</w:t>
      </w:r>
    </w:p>
    <w:p>
      <w:r>
        <w:pict>
          <v:rect style="width:0;height:1.5pt" o:hralign="center" o:hrstd="t" o:hr="t"/>
        </w:pict>
      </w:r>
    </w:p>
    <w:bookmarkEnd w:id="19"/>
    <w:bookmarkStart w:id="20" w:name="seller"/>
    <w:p>
      <w:pPr>
        <w:pStyle w:val="Heading1"/>
      </w:pPr>
      <w:r>
        <w:t xml:space="preserve">10. Seller</w:t>
      </w:r>
    </w:p>
    <w:p>
      <w:pPr>
        <w:pStyle w:val="FirstParagraph"/>
      </w:pPr>
      <w:r>
        <w:t xml:space="preserve">Também deverá ser preservada a distinção: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Um seller poderá futuramente pertencer a uma organização/tenant.</w:t>
      </w:r>
    </w:p>
    <w:p>
      <w:r>
        <w:pict>
          <v:rect style="width:0;height:1.5pt" o:hralign="center" o:hrstd="t" o:hr="t"/>
        </w:pict>
      </w:r>
    </w:p>
    <w:bookmarkEnd w:id="20"/>
    <w:bookmarkStart w:id="21" w:name="authorization"/>
    <w:p>
      <w:pPr>
        <w:pStyle w:val="Heading1"/>
      </w:pPr>
      <w:r>
        <w:t xml:space="preserve">11. Authorization</w:t>
      </w:r>
    </w:p>
    <w:p>
      <w:pPr>
        <w:pStyle w:val="FirstParagraph"/>
      </w:pPr>
      <w:r>
        <w:t xml:space="preserve">O ADR-006 já estabelece: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Policy</w:t>
      </w:r>
    </w:p>
    <w:p>
      <w:pPr>
        <w:pStyle w:val="FirstParagraph"/>
      </w:pPr>
      <w:r>
        <w:t xml:space="preserve">No futuro poderá ser acrescentado:</w:t>
      </w:r>
    </w:p>
    <w:p>
      <w:pPr>
        <w:pStyle w:val="SourceCode"/>
      </w:pP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Tenant Context</w:t>
      </w:r>
    </w:p>
    <w:p>
      <w:pPr>
        <w:pStyle w:val="FirstParagraph"/>
      </w:pPr>
      <w:r>
        <w:t xml:space="preserve">Resultando em: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</w:t>
      </w:r>
    </w:p>
    <w:p>
      <w:r>
        <w:pict>
          <v:rect style="width:0;height:1.5pt" o:hralign="center" o:hrstd="t" o:hr="t"/>
        </w:pict>
      </w:r>
    </w:p>
    <w:bookmarkEnd w:id="21"/>
    <w:bookmarkStart w:id="22" w:name="banco-de-dados"/>
    <w:p>
      <w:pPr>
        <w:pStyle w:val="Heading1"/>
      </w:pPr>
      <w:r>
        <w:t xml:space="preserve">12. Banco de dados</w:t>
      </w:r>
    </w:p>
    <w:p>
      <w:pPr>
        <w:pStyle w:val="FirstParagraph"/>
      </w:pPr>
      <w:r>
        <w:t xml:space="preserve">O PostgreSQL possui Row-Level Security (RLS), que permite restringir linhas por políticas de acesso e aplicar condições diferentes para SELECT, INSERT, UPDATE e DELETE.</w:t>
      </w:r>
    </w:p>
    <w:p>
      <w:pPr>
        <w:pStyle w:val="BodyText"/>
      </w:pPr>
      <w:r>
        <w:t xml:space="preserve">Entretanto:</w:t>
      </w:r>
    </w:p>
    <w:p>
      <w:pPr>
        <w:pStyle w:val="BlockText"/>
      </w:pPr>
      <w:r>
        <w:rPr>
          <w:b/>
          <w:bCs/>
        </w:rPr>
        <w:t xml:space="preserve">RLS não será utilizado como mecanismo obrigatório de multi-tenancy no MVP.</w:t>
      </w:r>
    </w:p>
    <w:p>
      <w:r>
        <w:pict>
          <v:rect style="width:0;height:1.5pt" o:hralign="center" o:hrstd="t" o:hr="t"/>
        </w:pict>
      </w:r>
    </w:p>
    <w:bookmarkEnd w:id="22"/>
    <w:bookmarkStart w:id="23" w:name="futuro-uso-de-rls"/>
    <w:p>
      <w:pPr>
        <w:pStyle w:val="Heading1"/>
      </w:pPr>
      <w:r>
        <w:t xml:space="preserve">13. Futuro uso de RLS</w:t>
      </w:r>
    </w:p>
    <w:p>
      <w:pPr>
        <w:pStyle w:val="FirstParagraph"/>
      </w:pPr>
      <w:r>
        <w:t xml:space="preserve">Se multi-tenancy for adotado, uma possibilidade será: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RLS Policy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isolamento de linhas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implementação definitiva dependerá de uma ADR específica.</w:t>
      </w:r>
    </w:p>
    <w:p>
      <w:r>
        <w:pict>
          <v:rect style="width:0;height:1.5pt" o:hralign="center" o:hrstd="t" o:hr="t"/>
        </w:pict>
      </w:r>
    </w:p>
    <w:bookmarkEnd w:id="23"/>
    <w:bookmarkStart w:id="24" w:name="rls-não-substitui-autorização"/>
    <w:p>
      <w:pPr>
        <w:pStyle w:val="Heading1"/>
      </w:pPr>
      <w:r>
        <w:t xml:space="preserve">14. RLS não substitui autorização</w:t>
      </w:r>
    </w:p>
    <w:p>
      <w:pPr>
        <w:pStyle w:val="FirstParagraph"/>
      </w:pPr>
      <w:r>
        <w:t xml:space="preserve">Mesmo no futuro:</w:t>
      </w:r>
    </w:p>
    <w:p>
      <w:pPr>
        <w:pStyle w:val="SourceCode"/>
      </w:pPr>
      <w:r>
        <w:rPr>
          <w:rStyle w:val="VerbatimChar"/>
        </w:rPr>
        <w:t xml:space="preserve">RLS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AuthorizationService</w:t>
      </w:r>
    </w:p>
    <w:p>
      <w:pPr>
        <w:pStyle w:val="FirstParagraph"/>
      </w:pPr>
      <w:r>
        <w:t xml:space="preserve">RLS protege o acesso no banco.</w:t>
      </w:r>
    </w:p>
    <w:p>
      <w:pPr>
        <w:pStyle w:val="BodyText"/>
      </w:pPr>
      <w:r>
        <w:t xml:space="preserve">AuthorizationService protege a operação de negócio.</w:t>
      </w:r>
    </w:p>
    <w:p>
      <w:pPr>
        <w:pStyle w:val="BodyText"/>
      </w:pPr>
      <w:r>
        <w:t xml:space="preserve">Os dois podem coexistir.</w:t>
      </w:r>
    </w:p>
    <w:p>
      <w:r>
        <w:pict>
          <v:rect style="width:0;height:1.5pt" o:hralign="center" o:hrstd="t" o:hr="t"/>
        </w:pict>
      </w:r>
    </w:p>
    <w:bookmarkEnd w:id="24"/>
    <w:bookmarkStart w:id="25" w:name="tabelas-públicas"/>
    <w:p>
      <w:pPr>
        <w:pStyle w:val="Heading1"/>
      </w:pPr>
      <w:r>
        <w:t xml:space="preserve">15. Tabelas públicas</w:t>
      </w:r>
    </w:p>
    <w:p>
      <w:pPr>
        <w:pStyle w:val="FirstParagraph"/>
      </w:pPr>
      <w:r>
        <w:t xml:space="preserve">Nem todo dado precisa necessariamente pertencer a um tenant.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SERIES</w:t>
      </w:r>
    </w:p>
    <w:p>
      <w:pPr>
        <w:pStyle w:val="FirstParagraph"/>
      </w:pPr>
      <w:r>
        <w:t xml:space="preserve">O catálogo oficial do MiniHub poderá permanecer global.</w:t>
      </w:r>
    </w:p>
    <w:p>
      <w:pPr>
        <w:pStyle w:val="BodyText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Tenant A</w:t>
      </w:r>
      <w:r>
        <w:br/>
      </w:r>
      <w:r>
        <w:rPr>
          <w:rStyle w:val="VerbatimChar"/>
        </w:rPr>
        <w:t xml:space="preserve"> └── utiliza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Catálogo global</w:t>
      </w:r>
      <w:r>
        <w:br/>
      </w:r>
      <w:r>
        <w:br/>
      </w:r>
      <w:r>
        <w:rPr>
          <w:rStyle w:val="VerbatimChar"/>
        </w:rPr>
        <w:t xml:space="preserve">Tenant B</w:t>
      </w:r>
      <w:r>
        <w:br/>
      </w:r>
      <w:r>
        <w:rPr>
          <w:rStyle w:val="VerbatimChar"/>
        </w:rPr>
        <w:t xml:space="preserve"> └── utiliza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Catálogo global</w:t>
      </w:r>
    </w:p>
    <w:p>
      <w:r>
        <w:pict>
          <v:rect style="width:0;height:1.5pt" o:hralign="center" o:hrstd="t" o:hr="t"/>
        </w:pict>
      </w:r>
    </w:p>
    <w:bookmarkEnd w:id="25"/>
    <w:bookmarkStart w:id="26" w:name="dados-pertencentes-ao-usuário"/>
    <w:p>
      <w:pPr>
        <w:pStyle w:val="Heading1"/>
      </w:pPr>
      <w:r>
        <w:t xml:space="preserve">16. Dados pertencentes ao usuário</w:t>
      </w:r>
    </w:p>
    <w:p>
      <w:pPr>
        <w:pStyle w:val="FirstParagraph"/>
      </w:pPr>
      <w:r>
        <w:t xml:space="preserve">Dados como: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USER_PREFERENCES</w:t>
      </w:r>
    </w:p>
    <w:p>
      <w:pPr>
        <w:pStyle w:val="FirstParagraph"/>
      </w:pPr>
      <w:r>
        <w:t xml:space="preserve">são inicialmente relacionados diretamente ao usuário.</w:t>
      </w:r>
    </w:p>
    <w:p>
      <w:pPr>
        <w:pStyle w:val="BodyText"/>
      </w:pPr>
      <w:r>
        <w:t xml:space="preserve">Não será criada uma artificialidade de tenant onde não existe necessidade real.</w:t>
      </w:r>
    </w:p>
    <w:p>
      <w:r>
        <w:pict>
          <v:rect style="width:0;height:1.5pt" o:hralign="center" o:hrstd="t" o:hr="t"/>
        </w:pict>
      </w:r>
    </w:p>
    <w:bookmarkEnd w:id="26"/>
    <w:bookmarkStart w:id="27" w:name="marketplace"/>
    <w:p>
      <w:pPr>
        <w:pStyle w:val="Heading1"/>
      </w:pPr>
      <w:r>
        <w:t xml:space="preserve">17. Marketplace</w:t>
      </w:r>
    </w:p>
    <w:p>
      <w:pPr>
        <w:pStyle w:val="FirstParagraph"/>
      </w:pPr>
      <w:r>
        <w:t xml:space="preserve">O marketplace deverá continuar global: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A existência de um tenant futuro não deverá duplicar o catálogo.</w:t>
      </w:r>
    </w:p>
    <w:p>
      <w:r>
        <w:pict>
          <v:rect style="width:0;height:1.5pt" o:hralign="center" o:hrstd="t" o:hr="t"/>
        </w:pict>
      </w:r>
    </w:p>
    <w:bookmarkEnd w:id="27"/>
    <w:bookmarkStart w:id="28" w:name="finance"/>
    <w:p>
      <w:pPr>
        <w:pStyle w:val="Heading1"/>
      </w:pPr>
      <w:r>
        <w:t xml:space="preserve">18. Finance</w:t>
      </w:r>
    </w:p>
    <w:p>
      <w:pPr>
        <w:pStyle w:val="FirstParagraph"/>
      </w:pPr>
      <w:r>
        <w:t xml:space="preserve">Dados financeiros serão tratados com isolamento rigoroso.</w:t>
      </w:r>
    </w:p>
    <w:p>
      <w:pPr>
        <w:pStyle w:val="BodyText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Accounts</w:t>
      </w:r>
    </w:p>
    <w:p>
      <w:pPr>
        <w:pStyle w:val="FirstParagraph"/>
      </w:pPr>
      <w:r>
        <w:t xml:space="preserve">Porém o Ledger continuará sendo governado pelo domínio financeiro.</w:t>
      </w:r>
    </w:p>
    <w:p>
      <w:r>
        <w:pict>
          <v:rect style="width:0;height:1.5pt" o:hralign="center" o:hrstd="t" o:hr="t"/>
        </w:pict>
      </w:r>
    </w:p>
    <w:bookmarkEnd w:id="28"/>
    <w:bookmarkStart w:id="29" w:name="events"/>
    <w:p>
      <w:pPr>
        <w:pStyle w:val="Heading1"/>
      </w:pPr>
      <w:r>
        <w:t xml:space="preserve">19. Events</w:t>
      </w:r>
    </w:p>
    <w:p>
      <w:pPr>
        <w:pStyle w:val="FirstParagraph"/>
      </w:pPr>
      <w:r>
        <w:t xml:space="preserve">Eventos futuros poderão carregar: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quando o contexto realmente existir.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MVP,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poderá simplesmente não existir.</w:t>
      </w:r>
    </w:p>
    <w:p>
      <w:r>
        <w:pict>
          <v:rect style="width:0;height:1.5pt" o:hralign="center" o:hrstd="t" o:hr="t"/>
        </w:pict>
      </w:r>
    </w:p>
    <w:bookmarkEnd w:id="29"/>
    <w:bookmarkStart w:id="30" w:name="cache"/>
    <w:p>
      <w:pPr>
        <w:pStyle w:val="Heading1"/>
      </w:pPr>
      <w:r>
        <w:t xml:space="preserve">20. Cache</w:t>
      </w:r>
    </w:p>
    <w:p>
      <w:pPr>
        <w:pStyle w:val="FirstParagraph"/>
      </w:pPr>
      <w:r>
        <w:t xml:space="preserve">O cache futuro deverá considerar tenant quando o recurso for tenant-scoped.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cache:user-data:{id}</w:t>
      </w:r>
    </w:p>
    <w:p>
      <w:pPr>
        <w:pStyle w:val="FirstParagraph"/>
      </w:pPr>
      <w:r>
        <w:t xml:space="preserve">quando o mesmo ID puder existir em diferentes contextos.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cache:tenant:{tenantId}:resource:{id}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30"/>
    <w:bookmarkStart w:id="31" w:name="busca"/>
    <w:p>
      <w:pPr>
        <w:pStyle w:val="Heading1"/>
      </w:pPr>
      <w:r>
        <w:t xml:space="preserve">21. Busca</w:t>
      </w:r>
    </w:p>
    <w:p>
      <w:pPr>
        <w:pStyle w:val="FirstParagraph"/>
      </w:pPr>
      <w:r>
        <w:t xml:space="preserve">Índices futuros poderão considerar: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key</w:t>
      </w:r>
    </w:p>
    <w:p>
      <w:pPr>
        <w:pStyle w:val="FirstParagraph"/>
      </w:pPr>
      <w:r>
        <w:t xml:space="preserve">somente quando o domínio realmente for tenant-scoped.</w:t>
      </w:r>
    </w:p>
    <w:p>
      <w:r>
        <w:pict>
          <v:rect style="width:0;height:1.5pt" o:hralign="center" o:hrstd="t" o:hr="t"/>
        </w:pict>
      </w:r>
    </w:p>
    <w:bookmarkEnd w:id="31"/>
    <w:bookmarkStart w:id="32" w:name="api"/>
    <w:p>
      <w:pPr>
        <w:pStyle w:val="Heading1"/>
      </w:pPr>
      <w:r>
        <w:t xml:space="preserve">22. API</w:t>
      </w:r>
    </w:p>
    <w:p>
      <w:pPr>
        <w:pStyle w:val="FirstParagraph"/>
      </w:pPr>
      <w:r>
        <w:t xml:space="preserve">A API do MVP não exigirá:</w:t>
      </w:r>
    </w:p>
    <w:p>
      <w:pPr>
        <w:pStyle w:val="SourceCode"/>
      </w:pPr>
      <w:r>
        <w:rPr>
          <w:rStyle w:val="VerbatimChar"/>
        </w:rPr>
        <w:t xml:space="preserve">X-Tenant-ID</w:t>
      </w:r>
    </w:p>
    <w:p>
      <w:pPr>
        <w:pStyle w:val="FirstParagraph"/>
      </w:pPr>
      <w:r>
        <w:t xml:space="preserve">em todas as requisições.</w:t>
      </w:r>
    </w:p>
    <w:p>
      <w:pPr>
        <w:pStyle w:val="BodyText"/>
      </w:pPr>
      <w:r>
        <w:t xml:space="preserve">Não criar esse header apenas para</w:t>
      </w:r>
      <w:r>
        <w:t xml:space="preserve"> </w:t>
      </w:r>
      <w:r>
        <w:t xml:space="preserve">“deixar preparado”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ubdomínios"/>
    <w:p>
      <w:pPr>
        <w:pStyle w:val="Heading1"/>
      </w:pPr>
      <w:r>
        <w:t xml:space="preserve">23. Subdomínios</w:t>
      </w:r>
    </w:p>
    <w:p>
      <w:pPr>
        <w:pStyle w:val="FirstParagraph"/>
      </w:pPr>
      <w:r>
        <w:t xml:space="preserve">Não será adotado inicialmente:</w:t>
      </w:r>
    </w:p>
    <w:p>
      <w:pPr>
        <w:pStyle w:val="SourceCode"/>
      </w:pPr>
      <w:r>
        <w:rPr>
          <w:rStyle w:val="VerbatimChar"/>
        </w:rPr>
        <w:t xml:space="preserve">tenant-a.minihubcar.com.br</w:t>
      </w:r>
      <w:r>
        <w:br/>
      </w:r>
      <w:r>
        <w:rPr>
          <w:rStyle w:val="VerbatimChar"/>
        </w:rPr>
        <w:t xml:space="preserve">tenant-b.minihubcar.com.br</w:t>
      </w:r>
    </w:p>
    <w:p>
      <w:pPr>
        <w:pStyle w:val="FirstParagraph"/>
      </w:pPr>
      <w:r>
        <w:t xml:space="preserve">Essa decisão poderá ser reavaliada posteriormente.</w:t>
      </w:r>
    </w:p>
    <w:p>
      <w:r>
        <w:pict>
          <v:rect style="width:0;height:1.5pt" o:hralign="center" o:hrstd="t" o:hr="t"/>
        </w:pict>
      </w:r>
    </w:p>
    <w:bookmarkEnd w:id="33"/>
    <w:bookmarkStart w:id="34" w:name="migração-futura"/>
    <w:p>
      <w:pPr>
        <w:pStyle w:val="Heading1"/>
      </w:pPr>
      <w:r>
        <w:t xml:space="preserve">24. Migração futura</w:t>
      </w:r>
    </w:p>
    <w:p>
      <w:pPr>
        <w:pStyle w:val="FirstParagraph"/>
      </w:pPr>
      <w:r>
        <w:t xml:space="preserve">Caso multi-tenancy seja adotado, a migração poderá seguir: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Criar TENANT</w:t>
      </w:r>
      <w:r>
        <w:br/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Criar memberships</w:t>
      </w:r>
      <w:r>
        <w:br/>
      </w:r>
      <w:r>
        <w:br/>
      </w:r>
      <w:r>
        <w:rPr>
          <w:rStyle w:val="VerbatimChar"/>
        </w:rPr>
        <w:t xml:space="preserve">Fase 3</w:t>
      </w:r>
      <w:r>
        <w:br/>
      </w:r>
      <w:r>
        <w:rPr>
          <w:rStyle w:val="VerbatimChar"/>
        </w:rPr>
        <w:t xml:space="preserve">Identificar recursos tenant-scoped</w:t>
      </w:r>
      <w:r>
        <w:br/>
      </w:r>
      <w:r>
        <w:br/>
      </w:r>
      <w:r>
        <w:rPr>
          <w:rStyle w:val="VerbatimChar"/>
        </w:rPr>
        <w:t xml:space="preserve">Fase 4</w:t>
      </w:r>
      <w:r>
        <w:br/>
      </w:r>
      <w:r>
        <w:rPr>
          <w:rStyle w:val="VerbatimChar"/>
        </w:rPr>
        <w:t xml:space="preserve">Adicionar tenant_id</w:t>
      </w:r>
      <w:r>
        <w:br/>
      </w:r>
      <w:r>
        <w:br/>
      </w:r>
      <w:r>
        <w:rPr>
          <w:rStyle w:val="VerbatimChar"/>
        </w:rPr>
        <w:t xml:space="preserve">Fase 5</w:t>
      </w:r>
      <w:r>
        <w:br/>
      </w:r>
      <w:r>
        <w:rPr>
          <w:rStyle w:val="VerbatimChar"/>
        </w:rPr>
        <w:t xml:space="preserve">Migrar dados</w:t>
      </w:r>
      <w:r>
        <w:br/>
      </w:r>
      <w:r>
        <w:br/>
      </w:r>
      <w:r>
        <w:rPr>
          <w:rStyle w:val="VerbatimChar"/>
        </w:rPr>
        <w:t xml:space="preserve">Fase 6</w:t>
      </w:r>
      <w:r>
        <w:br/>
      </w:r>
      <w:r>
        <w:rPr>
          <w:rStyle w:val="VerbatimChar"/>
        </w:rPr>
        <w:t xml:space="preserve">Criar índices</w:t>
      </w:r>
      <w:r>
        <w:br/>
      </w:r>
      <w:r>
        <w:br/>
      </w:r>
      <w:r>
        <w:rPr>
          <w:rStyle w:val="VerbatimChar"/>
        </w:rPr>
        <w:t xml:space="preserve">Fase 7</w:t>
      </w:r>
      <w:r>
        <w:br/>
      </w:r>
      <w:r>
        <w:rPr>
          <w:rStyle w:val="VerbatimChar"/>
        </w:rPr>
        <w:t xml:space="preserve">Aplicar policies</w:t>
      </w:r>
      <w:r>
        <w:br/>
      </w:r>
      <w:r>
        <w:br/>
      </w:r>
      <w:r>
        <w:rPr>
          <w:rStyle w:val="VerbatimChar"/>
        </w:rPr>
        <w:t xml:space="preserve">Fase 8</w:t>
      </w:r>
      <w:r>
        <w:br/>
      </w:r>
      <w:r>
        <w:rPr>
          <w:rStyle w:val="VerbatimChar"/>
        </w:rPr>
        <w:t xml:space="preserve">Ativar isolamento</w:t>
      </w:r>
      <w:r>
        <w:br/>
      </w:r>
      <w:r>
        <w:br/>
      </w:r>
      <w:r>
        <w:rPr>
          <w:rStyle w:val="VerbatimChar"/>
        </w:rPr>
        <w:t xml:space="preserve">Fase 9</w:t>
      </w:r>
      <w:r>
        <w:br/>
      </w:r>
      <w:r>
        <w:rPr>
          <w:rStyle w:val="VerbatimChar"/>
        </w:rPr>
        <w:t xml:space="preserve">Testar cross-tenant access</w:t>
      </w:r>
    </w:p>
    <w:p>
      <w:r>
        <w:pict>
          <v:rect style="width:0;height:1.5pt" o:hralign="center" o:hrstd="t" o:hr="t"/>
        </w:pict>
      </w:r>
    </w:p>
    <w:bookmarkEnd w:id="34"/>
    <w:bookmarkStart w:id="35" w:name="regra-de-segurança"/>
    <w:p>
      <w:pPr>
        <w:pStyle w:val="Heading1"/>
      </w:pPr>
      <w:r>
        <w:t xml:space="preserve">25. Regra de segurança</w:t>
      </w:r>
    </w:p>
    <w:p>
      <w:pPr>
        <w:pStyle w:val="FirstParagraph"/>
      </w:pPr>
      <w:r>
        <w:t xml:space="preserve">A evolução para multi-tenancy deverá incluir testes explícitos contra:</w:t>
      </w:r>
    </w:p>
    <w:p>
      <w:pPr>
        <w:pStyle w:val="SourceCode"/>
      </w:pPr>
      <w:r>
        <w:rPr>
          <w:rStyle w:val="VerbatimChar"/>
        </w:rPr>
        <w:t xml:space="preserve">cross-tenant read</w:t>
      </w:r>
      <w:r>
        <w:br/>
      </w:r>
      <w:r>
        <w:rPr>
          <w:rStyle w:val="VerbatimChar"/>
        </w:rPr>
        <w:t xml:space="preserve">cross-tenant update</w:t>
      </w:r>
      <w:r>
        <w:br/>
      </w:r>
      <w:r>
        <w:rPr>
          <w:rStyle w:val="VerbatimChar"/>
        </w:rPr>
        <w:t xml:space="preserve">cross-tenant delete</w:t>
      </w:r>
      <w:r>
        <w:br/>
      </w:r>
      <w:r>
        <w:rPr>
          <w:rStyle w:val="VerbatimChar"/>
        </w:rPr>
        <w:t xml:space="preserve">cross-tenant reference</w:t>
      </w:r>
      <w:r>
        <w:br/>
      </w:r>
      <w:r>
        <w:rPr>
          <w:rStyle w:val="VerbatimChar"/>
        </w:rPr>
        <w:t xml:space="preserve">cross-tenant event</w:t>
      </w:r>
      <w:r>
        <w:br/>
      </w:r>
      <w:r>
        <w:rPr>
          <w:rStyle w:val="VerbatimChar"/>
        </w:rPr>
        <w:t xml:space="preserve">cross-tenant cache</w:t>
      </w:r>
      <w:r>
        <w:br/>
      </w:r>
      <w:r>
        <w:rPr>
          <w:rStyle w:val="VerbatimChar"/>
        </w:rPr>
        <w:t xml:space="preserve">cross-tenant file access</w:t>
      </w:r>
    </w:p>
    <w:p>
      <w:r>
        <w:pict>
          <v:rect style="width:0;height:1.5pt" o:hralign="center" o:hrstd="t" o:hr="t"/>
        </w:pict>
      </w:r>
    </w:p>
    <w:bookmarkEnd w:id="35"/>
    <w:bookmarkStart w:id="36" w:name="decisão-final"/>
    <w:p>
      <w:pPr>
        <w:pStyle w:val="Heading1"/>
      </w:pPr>
      <w:r>
        <w:t xml:space="preserve">26. Decisão final</w:t>
      </w:r>
    </w:p>
    <w:p>
      <w:pPr>
        <w:pStyle w:val="BlockText"/>
      </w:pPr>
      <w:r>
        <w:rPr>
          <w:b/>
          <w:bCs/>
        </w:rPr>
        <w:t xml:space="preserve">O MiniHub não será multi-tenant no MVP. A arquitetura será preparada para permitir essa evolução, mas não introduzirá tenant_id, RLS ou isolamento artificial onde o domínio ainda não exige.</w:t>
      </w:r>
    </w:p>
    <w:p>
      <w:pPr>
        <w:pStyle w:val="FirstParagraph"/>
      </w:pPr>
      <w:r>
        <w:t xml:space="preserve">A futura adoção de multi-tenancy deverá gerar uma nova ADR específica.</w:t>
      </w:r>
    </w:p>
    <w:p>
      <w:r>
        <w:pict>
          <v:rect style="width:0;height:1.5pt" o:hralign="center" o:hrstd="t" o:hr="t"/>
        </w:pict>
      </w:r>
    </w:p>
    <w:bookmarkEnd w:id="36"/>
    <w:bookmarkStart w:id="37" w:name="status"/>
    <w:p>
      <w:pPr>
        <w:pStyle w:val="Heading1"/>
      </w:pPr>
      <w:r>
        <w:t xml:space="preserve">27.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p>
      <w:pPr>
        <w:pStyle w:val="FirstParagraph"/>
      </w:pPr>
      <w:r>
        <w:rPr>
          <w:b/>
          <w:bCs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Single-Tenant lógico</w:t>
      </w:r>
      <w:r>
        <w:br/>
      </w:r>
      <w:r>
        <w:br/>
      </w:r>
      <w:r>
        <w:rPr>
          <w:rStyle w:val="VerbatimChar"/>
        </w:rPr>
        <w:t xml:space="preserve">Futuro</w:t>
      </w:r>
      <w:r>
        <w:br/>
      </w:r>
      <w:r>
        <w:rPr>
          <w:rStyle w:val="VerbatimChar"/>
        </w:rPr>
        <w:t xml:space="preserve">Multi-Tenant opcional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