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"/>
    <w:p>
      <w:pPr>
        <w:pStyle w:val="Heading1"/>
      </w:pPr>
      <w:r>
        <w:t xml:space="preserve">MiniHub</w:t>
      </w:r>
    </w:p>
    <w:bookmarkStart w:id="9" w:name="X9bdb24c9209a5720ae20c49ba80580d445e241e"/>
    <w:p>
      <w:pPr>
        <w:pStyle w:val="Heading2"/>
      </w:pPr>
      <w:r>
        <w:t xml:space="preserve">ADR-008 — Estratégia de Versionamento da API REST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2026-09-16</w:t>
      </w:r>
      <w:r>
        <w:br/>
      </w:r>
      <w:r>
        <w:rPr>
          <w:b/>
          <w:bCs/>
        </w:rPr>
        <w:t xml:space="preserve">Decisão:</w:t>
      </w:r>
      <w:r>
        <w:t xml:space="preserve"> </w:t>
      </w:r>
      <w:r>
        <w:t xml:space="preserve">A API pública do MiniHub utilizará versionamento explícito por URL, iniciado em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 MiniHub terá múltiplos clientes:</w:t>
      </w:r>
    </w:p>
    <w:p>
      <w:pPr>
        <w:pStyle w:val="SourceCode"/>
      </w:pPr>
      <w:r>
        <w:rPr>
          <w:rStyle w:val="VerbatimChar"/>
        </w:rPr>
        <w:t xml:space="preserve">Frontend Web</w:t>
      </w:r>
      <w:r>
        <w:br/>
      </w:r>
      <w:r>
        <w:rPr>
          <w:rStyle w:val="VerbatimChar"/>
        </w:rPr>
        <w:t xml:space="preserve">Mobile futuro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Painéis administrativos</w:t>
      </w:r>
      <w:r>
        <w:br/>
      </w:r>
      <w:r>
        <w:rPr>
          <w:rStyle w:val="VerbatimChar"/>
        </w:rPr>
        <w:t xml:space="preserve">Serviços externos</w:t>
      </w:r>
    </w:p>
    <w:p>
      <w:pPr>
        <w:pStyle w:val="FirstParagraph"/>
      </w:pPr>
      <w:r>
        <w:t xml:space="preserve">Mudanças na API não poderão quebrar todos os consumidores simultaneamente.</w:t>
      </w:r>
    </w:p>
    <w:p>
      <w:r>
        <w:pict>
          <v:rect style="width:0;height:1.5pt" o:hralign="center" o:hrstd="t" o:hr="t"/>
        </w:pict>
      </w:r>
    </w:p>
    <w:bookmarkEnd w:id="11"/>
    <w:bookmarkStart w:id="12" w:name="decisão"/>
    <w:p>
      <w:pPr>
        <w:pStyle w:val="Heading1"/>
      </w:pPr>
      <w:r>
        <w:t xml:space="preserve">2. Decisão</w:t>
      </w:r>
    </w:p>
    <w:p>
      <w:pPr>
        <w:pStyle w:val="FirstParagraph"/>
      </w:pPr>
      <w:r>
        <w:t xml:space="preserve">A API utilizará: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</w:t>
      </w:r>
    </w:p>
    <w:p>
      <w:r>
        <w:pict>
          <v:rect style="width:0;height:1.5pt" o:hralign="center" o:hrstd="t" o:hr="t"/>
        </w:pict>
      </w:r>
    </w:p>
    <w:bookmarkEnd w:id="12"/>
    <w:bookmarkStart w:id="13" w:name="por-que-versionar"/>
    <w:p>
      <w:pPr>
        <w:pStyle w:val="Heading1"/>
      </w:pPr>
      <w:r>
        <w:t xml:space="preserve">3. Por que versionar?</w:t>
      </w:r>
    </w:p>
    <w:p>
      <w:pPr>
        <w:pStyle w:val="FirstParagraph"/>
      </w:pPr>
      <w:r>
        <w:t xml:space="preserve">Permitir evolução controlada: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v3</w:t>
      </w:r>
    </w:p>
    <w:p>
      <w:pPr>
        <w:pStyle w:val="FirstParagraph"/>
      </w:pPr>
      <w:r>
        <w:t xml:space="preserve">sem exigir que todos os consumidores sejam atualizados simultaneamente.</w:t>
      </w:r>
    </w:p>
    <w:p>
      <w:r>
        <w:pict>
          <v:rect style="width:0;height:1.5pt" o:hralign="center" o:hrstd="t" o:hr="t"/>
        </w:pict>
      </w:r>
    </w:p>
    <w:bookmarkEnd w:id="13"/>
    <w:bookmarkStart w:id="14" w:name="X47d8697febbcde1deec8c846b54c1c7a09d08c4"/>
    <w:p>
      <w:pPr>
        <w:pStyle w:val="Heading1"/>
      </w:pPr>
      <w:r>
        <w:t xml:space="preserve">4. Versionamento não será por endpoint individual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/catalog-v1</w:t>
      </w:r>
      <w:r>
        <w:br/>
      </w:r>
      <w:r>
        <w:rPr>
          <w:rStyle w:val="VerbatimChar"/>
        </w:rPr>
        <w:t xml:space="preserve">/catalog-v2</w:t>
      </w:r>
      <w:r>
        <w:br/>
      </w:r>
      <w:r>
        <w:rPr>
          <w:rStyle w:val="VerbatimChar"/>
        </w:rPr>
        <w:t xml:space="preserve">/orders-v1</w:t>
      </w:r>
    </w:p>
    <w:p>
      <w:pPr>
        <w:pStyle w:val="FirstParagraph"/>
      </w:pPr>
      <w:r>
        <w:t xml:space="preserve">A versão representa o contrato da API.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/api/v1/catalog</w:t>
      </w:r>
      <w:r>
        <w:br/>
      </w:r>
      <w:r>
        <w:rPr>
          <w:rStyle w:val="VerbatimChar"/>
        </w:rPr>
        <w:t xml:space="preserve">/api/v1/orders</w:t>
      </w:r>
      <w:r>
        <w:br/>
      </w:r>
      <w:r>
        <w:rPr>
          <w:rStyle w:val="VerbatimChar"/>
        </w:rPr>
        <w:t xml:space="preserve">/api/v1/payments</w:t>
      </w:r>
    </w:p>
    <w:p>
      <w:r>
        <w:pict>
          <v:rect style="width:0;height:1.5pt" o:hralign="center" o:hrstd="t" o:hr="t"/>
        </w:pict>
      </w:r>
    </w:p>
    <w:bookmarkEnd w:id="14"/>
    <w:bookmarkStart w:id="15" w:name="v1"/>
    <w:p>
      <w:pPr>
        <w:pStyle w:val="Heading1"/>
      </w:pPr>
      <w:r>
        <w:t xml:space="preserve">5. V1</w:t>
      </w:r>
    </w:p>
    <w:p>
      <w:pPr>
        <w:pStyle w:val="FirstParagraph"/>
      </w:pPr>
      <w:r>
        <w:t xml:space="preserve">A primeira versão pública será: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Ela representará o contrato inicial estável.</w:t>
      </w:r>
    </w:p>
    <w:p>
      <w:r>
        <w:pict>
          <v:rect style="width:0;height:1.5pt" o:hralign="center" o:hrstd="t" o:hr="t"/>
        </w:pict>
      </w:r>
    </w:p>
    <w:bookmarkEnd w:id="15"/>
    <w:bookmarkStart w:id="16" w:name="mudanças-compatíveis"/>
    <w:p>
      <w:pPr>
        <w:pStyle w:val="Heading1"/>
      </w:pPr>
      <w:r>
        <w:t xml:space="preserve">6. Mudanças compatíveis</w:t>
      </w:r>
    </w:p>
    <w:p>
      <w:pPr>
        <w:pStyle w:val="FirstParagraph"/>
      </w:pPr>
      <w:r>
        <w:t xml:space="preserve">Podem permanecer em: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novo campo opcional</w:t>
      </w:r>
      <w:r>
        <w:br/>
      </w:r>
      <w:r>
        <w:rPr>
          <w:rStyle w:val="VerbatimChar"/>
        </w:rPr>
        <w:t xml:space="preserve">novo endpoint</w:t>
      </w:r>
      <w:r>
        <w:br/>
      </w:r>
      <w:r>
        <w:rPr>
          <w:rStyle w:val="VerbatimChar"/>
        </w:rPr>
        <w:t xml:space="preserve">novo filtro opcional</w:t>
      </w:r>
      <w:r>
        <w:br/>
      </w:r>
      <w:r>
        <w:rPr>
          <w:rStyle w:val="VerbatimChar"/>
        </w:rPr>
        <w:t xml:space="preserve">novo valor documentado quando não quebra consumidores</w:t>
      </w:r>
    </w:p>
    <w:p>
      <w:r>
        <w:pict>
          <v:rect style="width:0;height:1.5pt" o:hralign="center" o:hrstd="t" o:hr="t"/>
        </w:pict>
      </w:r>
    </w:p>
    <w:bookmarkEnd w:id="16"/>
    <w:bookmarkStart w:id="17" w:name="mudanças-incompatíveis"/>
    <w:p>
      <w:pPr>
        <w:pStyle w:val="Heading1"/>
      </w:pPr>
      <w:r>
        <w:t xml:space="preserve">7. Mudanças incompatíveis</w:t>
      </w:r>
    </w:p>
    <w:p>
      <w:pPr>
        <w:pStyle w:val="FirstParagraph"/>
      </w:pPr>
      <w:r>
        <w:t xml:space="preserve">Poderão exigir:</w:t>
      </w:r>
    </w:p>
    <w:p>
      <w:pPr>
        <w:pStyle w:val="SourceCode"/>
      </w:pPr>
      <w:r>
        <w:rPr>
          <w:rStyle w:val="VerbatimChar"/>
        </w:rPr>
        <w:t xml:space="preserve">v2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remoção de campo</w:t>
      </w:r>
      <w:r>
        <w:br/>
      </w:r>
      <w:r>
        <w:rPr>
          <w:rStyle w:val="VerbatimChar"/>
        </w:rPr>
        <w:t xml:space="preserve">mudança de tipo</w:t>
      </w:r>
      <w:r>
        <w:br/>
      </w:r>
      <w:r>
        <w:rPr>
          <w:rStyle w:val="VerbatimChar"/>
        </w:rPr>
        <w:t xml:space="preserve">mudança de significado</w:t>
      </w:r>
      <w:r>
        <w:br/>
      </w:r>
      <w:r>
        <w:rPr>
          <w:rStyle w:val="VerbatimChar"/>
        </w:rPr>
        <w:t xml:space="preserve">mudança de comportamento incompatível</w:t>
      </w:r>
      <w:r>
        <w:br/>
      </w:r>
      <w:r>
        <w:rPr>
          <w:rStyle w:val="VerbatimChar"/>
        </w:rPr>
        <w:t xml:space="preserve">mudança de autenticação incompatível</w:t>
      </w:r>
      <w:r>
        <w:br/>
      </w:r>
      <w:r>
        <w:rPr>
          <w:rStyle w:val="VerbatimChar"/>
        </w:rPr>
        <w:t xml:space="preserve">mudança estrutural relevante</w:t>
      </w:r>
    </w:p>
    <w:p>
      <w:r>
        <w:pict>
          <v:rect style="width:0;height:1.5pt" o:hralign="center" o:hrstd="t" o:hr="t"/>
        </w:pict>
      </w:r>
    </w:p>
    <w:bookmarkEnd w:id="17"/>
    <w:bookmarkStart w:id="18" w:name="exemplo"/>
    <w:p>
      <w:pPr>
        <w:pStyle w:val="Heading1"/>
      </w:pPr>
      <w:r>
        <w:t xml:space="preserve">8. Exemplo</w:t>
      </w:r>
    </w:p>
    <w:p>
      <w:pPr>
        <w:pStyle w:val="FirstParagraph"/>
      </w:pPr>
      <w:r>
        <w:t xml:space="preserve">V1: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"manufacturer"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pode continuar em: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r>
        <w:pict>
          <v:rect style="width:0;height:1.5pt" o:hralign="center" o:hrstd="t" o:hr="t"/>
        </w:pict>
      </w:r>
    </w:p>
    <w:bookmarkEnd w:id="18"/>
    <w:bookmarkStart w:id="19" w:name="breaking-change"/>
    <w:p>
      <w:pPr>
        <w:pStyle w:val="Heading1"/>
      </w:pPr>
      <w:r>
        <w:t xml:space="preserve">9. Breaking Change</w:t>
      </w:r>
    </w:p>
    <w:p>
      <w:pPr>
        <w:pStyle w:val="FirstParagraph"/>
      </w:pPr>
      <w:r>
        <w:t xml:space="preserve">Se o contrato passar para: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 isso quebrar consumidores existentes:</w:t>
      </w:r>
    </w:p>
    <w:p>
      <w:pPr>
        <w:pStyle w:val="SourceCode"/>
      </w:pPr>
      <w:r>
        <w:rPr>
          <w:rStyle w:val="VerbatimChar"/>
        </w:rPr>
        <w:t xml:space="preserve">v2</w:t>
      </w:r>
    </w:p>
    <w:p>
      <w:pPr>
        <w:pStyle w:val="FirstParagraph"/>
      </w:pPr>
      <w:r>
        <w:t xml:space="preserve">poderá ser criada.</w:t>
      </w:r>
    </w:p>
    <w:p>
      <w:r>
        <w:pict>
          <v:rect style="width:0;height:1.5pt" o:hralign="center" o:hrstd="t" o:hr="t"/>
        </w:pict>
      </w:r>
    </w:p>
    <w:bookmarkEnd w:id="19"/>
    <w:bookmarkStart w:id="20" w:name="deprecation"/>
    <w:p>
      <w:pPr>
        <w:pStyle w:val="Heading1"/>
      </w:pPr>
      <w:r>
        <w:t xml:space="preserve">10. Deprecation</w:t>
      </w:r>
    </w:p>
    <w:p>
      <w:pPr>
        <w:pStyle w:val="FirstParagraph"/>
      </w:pPr>
      <w:r>
        <w:t xml:space="preserve">Uma versão antiga poderá ser marcada como:</w:t>
      </w:r>
    </w:p>
    <w:p>
      <w:pPr>
        <w:pStyle w:val="SourceCode"/>
      </w:pPr>
      <w:r>
        <w:rPr>
          <w:rStyle w:val="VerbatimChar"/>
        </w:rPr>
        <w:t xml:space="preserve">DEPRECATED</w:t>
      </w:r>
    </w:p>
    <w:p>
      <w:pPr>
        <w:pStyle w:val="FirstParagraph"/>
      </w:pPr>
      <w:r>
        <w:t xml:space="preserve">antes de ser removida.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SUNSET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REMOVED</w:t>
      </w:r>
    </w:p>
    <w:p>
      <w:r>
        <w:pict>
          <v:rect style="width:0;height:1.5pt" o:hralign="center" o:hrstd="t" o:hr="t"/>
        </w:pict>
      </w:r>
    </w:p>
    <w:bookmarkEnd w:id="20"/>
    <w:bookmarkStart w:id="21" w:name="comunicação"/>
    <w:p>
      <w:pPr>
        <w:pStyle w:val="Heading1"/>
      </w:pPr>
      <w:r>
        <w:t xml:space="preserve">11. Comunicação</w:t>
      </w:r>
    </w:p>
    <w:p>
      <w:pPr>
        <w:pStyle w:val="FirstParagraph"/>
      </w:pPr>
      <w:r>
        <w:t xml:space="preserve">A remoção de uma versão deverá possuir:</w:t>
      </w:r>
    </w:p>
    <w:p>
      <w:pPr>
        <w:pStyle w:val="SourceCode"/>
      </w:pPr>
      <w:r>
        <w:rPr>
          <w:rStyle w:val="VerbatimChar"/>
        </w:rPr>
        <w:t xml:space="preserve">prazo</w:t>
      </w:r>
      <w:r>
        <w:br/>
      </w:r>
      <w:r>
        <w:rPr>
          <w:rStyle w:val="VerbatimChar"/>
        </w:rPr>
        <w:t xml:space="preserve">documentação</w:t>
      </w:r>
      <w:r>
        <w:br/>
      </w:r>
      <w:r>
        <w:rPr>
          <w:rStyle w:val="VerbatimChar"/>
        </w:rPr>
        <w:t xml:space="preserve">comunicação</w:t>
      </w:r>
      <w:r>
        <w:br/>
      </w:r>
      <w:r>
        <w:rPr>
          <w:rStyle w:val="VerbatimChar"/>
        </w:rPr>
        <w:t xml:space="preserve">migração</w:t>
      </w:r>
      <w:r>
        <w:br/>
      </w:r>
      <w:r>
        <w:rPr>
          <w:rStyle w:val="VerbatimChar"/>
        </w:rPr>
        <w:t xml:space="preserve">monitoramento</w:t>
      </w:r>
    </w:p>
    <w:p>
      <w:r>
        <w:pict>
          <v:rect style="width:0;height:1.5pt" o:hralign="center" o:hrstd="t" o:hr="t"/>
        </w:pict>
      </w:r>
    </w:p>
    <w:bookmarkEnd w:id="21"/>
    <w:bookmarkStart w:id="22" w:name="openapi"/>
    <w:p>
      <w:pPr>
        <w:pStyle w:val="Heading1"/>
      </w:pPr>
      <w:r>
        <w:t xml:space="preserve">12. OpenAPI</w:t>
      </w:r>
    </w:p>
    <w:p>
      <w:pPr>
        <w:pStyle w:val="FirstParagraph"/>
      </w:pPr>
      <w:r>
        <w:t xml:space="preserve">Cada versão possuirá contrato OpenAPI.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/api/v1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OpenAPI v1</w:t>
      </w:r>
    </w:p>
    <w:p>
      <w:pPr>
        <w:pStyle w:val="FirstParagraph"/>
      </w:pPr>
      <w:r>
        <w:t xml:space="preserve">O contrato deverá ser utilizado para:</w:t>
      </w:r>
    </w:p>
    <w:p>
      <w:pPr>
        <w:pStyle w:val="SourceCode"/>
      </w:pPr>
      <w:r>
        <w:rPr>
          <w:rStyle w:val="VerbatimChar"/>
        </w:rPr>
        <w:t xml:space="preserve">documentação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geração de clientes quando apropriado</w:t>
      </w:r>
    </w:p>
    <w:p>
      <w:r>
        <w:pict>
          <v:rect style="width:0;height:1.5pt" o:hralign="center" o:hrstd="t" o:hr="t"/>
        </w:pict>
      </w:r>
    </w:p>
    <w:bookmarkEnd w:id="22"/>
    <w:bookmarkStart w:id="23" w:name="rest"/>
    <w:p>
      <w:pPr>
        <w:pStyle w:val="Heading1"/>
      </w:pPr>
      <w:r>
        <w:t xml:space="preserve">13. REST</w:t>
      </w:r>
    </w:p>
    <w:p>
      <w:pPr>
        <w:pStyle w:val="FirstParagraph"/>
      </w:pPr>
      <w:r>
        <w:t xml:space="preserve">A API utilizará semântica HTTP consistente.</w:t>
      </w:r>
    </w:p>
    <w:p>
      <w:pPr>
        <w:pStyle w:val="BodyText"/>
      </w:pPr>
      <w:r>
        <w:t xml:space="preserve">RFC 9110 define as semânticas dos métodos HTTP, incluindo GET, POST, PUT e DELETE; GET é usado para obter a representação do recurso, enquanto POST representa processamento específico do recurso. PUT e DELETE são definidos como métodos idempotentes.</w:t>
      </w:r>
    </w:p>
    <w:p>
      <w:r>
        <w:pict>
          <v:rect style="width:0;height:1.5pt" o:hralign="center" o:hrstd="t" o:hr="t"/>
        </w:pict>
      </w:r>
    </w:p>
    <w:bookmarkEnd w:id="23"/>
    <w:bookmarkStart w:id="24" w:name="commands"/>
    <w:p>
      <w:pPr>
        <w:pStyle w:val="Heading1"/>
      </w:pPr>
      <w:r>
        <w:t xml:space="preserve">14. Commands</w:t>
      </w:r>
    </w:p>
    <w:p>
      <w:pPr>
        <w:pStyle w:val="FirstParagraph"/>
      </w:pPr>
      <w:r>
        <w:t xml:space="preserve">Embora a API siga princípios REST, operações de negócio poderão possuir endpoints explícitos.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/api/v1/offers/{id}/publish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PATCH /api/v1/offers/{id}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"PUBLISHED"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recursos"/>
    <w:p>
      <w:pPr>
        <w:pStyle w:val="Heading1"/>
      </w:pPr>
      <w:r>
        <w:t xml:space="preserve">15. Recursos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/api/v1/catalog/brands</w:t>
      </w:r>
      <w:r>
        <w:br/>
      </w:r>
      <w:r>
        <w:rPr>
          <w:rStyle w:val="VerbatimChar"/>
        </w:rPr>
        <w:t xml:space="preserve">/api/v1/catalog/variations</w:t>
      </w:r>
      <w:r>
        <w:br/>
      </w:r>
      <w:r>
        <w:rPr>
          <w:rStyle w:val="VerbatimChar"/>
        </w:rPr>
        <w:t xml:space="preserve">/api/v1/collection/exemplars</w:t>
      </w:r>
      <w:r>
        <w:br/>
      </w:r>
      <w:r>
        <w:rPr>
          <w:rStyle w:val="VerbatimChar"/>
        </w:rPr>
        <w:t xml:space="preserve">/api/v1/wishlist/items</w:t>
      </w:r>
      <w:r>
        <w:br/>
      </w:r>
      <w:r>
        <w:rPr>
          <w:rStyle w:val="VerbatimChar"/>
        </w:rPr>
        <w:t xml:space="preserve">/api/v1/offers</w:t>
      </w:r>
      <w:r>
        <w:br/>
      </w:r>
      <w:r>
        <w:rPr>
          <w:rStyle w:val="VerbatimChar"/>
        </w:rPr>
        <w:t xml:space="preserve">/api/v1/orders</w:t>
      </w:r>
      <w:r>
        <w:br/>
      </w:r>
      <w:r>
        <w:rPr>
          <w:rStyle w:val="VerbatimChar"/>
        </w:rPr>
        <w:t xml:space="preserve">/api/v1/payments</w:t>
      </w:r>
      <w:r>
        <w:br/>
      </w:r>
      <w:r>
        <w:rPr>
          <w:rStyle w:val="VerbatimChar"/>
        </w:rPr>
        <w:t xml:space="preserve">/api/v1/garage/items</w:t>
      </w:r>
    </w:p>
    <w:p>
      <w:r>
        <w:pict>
          <v:rect style="width:0;height:1.5pt" o:hralign="center" o:hrstd="t" o:hr="t"/>
        </w:pict>
      </w:r>
    </w:p>
    <w:bookmarkEnd w:id="25"/>
    <w:bookmarkStart w:id="26" w:name="paginação"/>
    <w:p>
      <w:pPr>
        <w:pStyle w:val="Heading1"/>
      </w:pPr>
      <w:r>
        <w:t xml:space="preserve">16. Paginação</w:t>
      </w:r>
    </w:p>
    <w:p>
      <w:pPr>
        <w:pStyle w:val="FirstParagraph"/>
      </w:pPr>
      <w:r>
        <w:t xml:space="preserve">Endpoints de coleção deverão suportar paginação.</w:t>
      </w:r>
    </w:p>
    <w:p>
      <w:pPr>
        <w:pStyle w:val="BodyText"/>
      </w:pPr>
      <w:r>
        <w:t xml:space="preserve">MVP poderá utilizar: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page_size</w:t>
      </w:r>
    </w:p>
    <w:p>
      <w:pPr>
        <w:pStyle w:val="FirstParagraph"/>
      </w:pPr>
      <w:r>
        <w:t xml:space="preserve">Quando necessário, poderá evoluir para:</w:t>
      </w:r>
    </w:p>
    <w:p>
      <w:pPr>
        <w:pStyle w:val="SourceCode"/>
      </w:pP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limit</w:t>
      </w:r>
    </w:p>
    <w:p>
      <w:r>
        <w:pict>
          <v:rect style="width:0;height:1.5pt" o:hralign="center" o:hrstd="t" o:hr="t"/>
        </w:pict>
      </w:r>
    </w:p>
    <w:bookmarkEnd w:id="26"/>
    <w:bookmarkStart w:id="27" w:name="filtros"/>
    <w:p>
      <w:pPr>
        <w:pStyle w:val="Heading1"/>
      </w:pPr>
      <w:r>
        <w:t xml:space="preserve">17. Filtros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/api/v1/catalog/variations?</w:t>
      </w:r>
      <w:r>
        <w:br/>
      </w:r>
      <w:r>
        <w:rPr>
          <w:rStyle w:val="VerbatimChar"/>
        </w:rPr>
        <w:t xml:space="preserve">brand_id=...&amp;</w:t>
      </w:r>
      <w:r>
        <w:br/>
      </w:r>
      <w:r>
        <w:rPr>
          <w:rStyle w:val="VerbatimChar"/>
        </w:rPr>
        <w:t xml:space="preserve">scale=1:64&amp;</w:t>
      </w:r>
      <w:r>
        <w:br/>
      </w:r>
      <w:r>
        <w:rPr>
          <w:rStyle w:val="VerbatimChar"/>
        </w:rPr>
        <w:t xml:space="preserve">year=2026</w:t>
      </w:r>
    </w:p>
    <w:p>
      <w:pPr>
        <w:pStyle w:val="FirstParagraph"/>
      </w:pPr>
      <w:r>
        <w:t xml:space="preserve">Filtros deverão ser documentados.</w:t>
      </w:r>
    </w:p>
    <w:p>
      <w:r>
        <w:pict>
          <v:rect style="width:0;height:1.5pt" o:hralign="center" o:hrstd="t" o:hr="t"/>
        </w:pict>
      </w:r>
    </w:p>
    <w:bookmarkEnd w:id="27"/>
    <w:bookmarkStart w:id="28" w:name="ordenação"/>
    <w:p>
      <w:pPr>
        <w:pStyle w:val="Heading1"/>
      </w:pPr>
      <w:r>
        <w:t xml:space="preserve">18. Ordenação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sort=name</w:t>
      </w:r>
      <w:r>
        <w:br/>
      </w:r>
      <w:r>
        <w:rPr>
          <w:rStyle w:val="VerbatimChar"/>
        </w:rPr>
        <w:t xml:space="preserve">sort=-created_at</w:t>
      </w:r>
    </w:p>
    <w:p>
      <w:pPr>
        <w:pStyle w:val="FirstParagraph"/>
      </w:pPr>
      <w:r>
        <w:t xml:space="preserve">A API deverá possuir conjunto controlado de campos permitidos.</w:t>
      </w:r>
    </w:p>
    <w:p>
      <w:pPr>
        <w:pStyle w:val="BodyText"/>
      </w:pPr>
      <w:r>
        <w:t xml:space="preserve">Não permitir que o consumidor envie livremente expressões SQL.</w:t>
      </w:r>
    </w:p>
    <w:p>
      <w:r>
        <w:pict>
          <v:rect style="width:0;height:1.5pt" o:hralign="center" o:hrstd="t" o:hr="t"/>
        </w:pict>
      </w:r>
    </w:p>
    <w:bookmarkEnd w:id="28"/>
    <w:bookmarkStart w:id="29" w:name="busca"/>
    <w:p>
      <w:pPr>
        <w:pStyle w:val="Heading1"/>
      </w:pPr>
      <w:r>
        <w:t xml:space="preserve">19. Busca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/api/v1/catalog/variations/search?q=Skyline</w:t>
      </w:r>
    </w:p>
    <w:p>
      <w:pPr>
        <w:pStyle w:val="FirstParagraph"/>
      </w:pPr>
      <w:r>
        <w:t xml:space="preserve">A implementação interna poderá evoluir sem alterar o contrato.</w:t>
      </w:r>
    </w:p>
    <w:p>
      <w:r>
        <w:pict>
          <v:rect style="width:0;height:1.5pt" o:hralign="center" o:hrstd="t" o:hr="t"/>
        </w:pict>
      </w:r>
    </w:p>
    <w:bookmarkEnd w:id="29"/>
    <w:bookmarkStart w:id="30" w:name="content-type"/>
    <w:p>
      <w:pPr>
        <w:pStyle w:val="Heading1"/>
      </w:pPr>
      <w:r>
        <w:t xml:space="preserve">20. Content-Type</w:t>
      </w:r>
    </w:p>
    <w:p>
      <w:pPr>
        <w:pStyle w:val="FirstParagraph"/>
      </w:pPr>
      <w:r>
        <w:t xml:space="preserve">Requests JSON: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Responses: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30"/>
    <w:bookmarkStart w:id="31" w:name="error-contract"/>
    <w:p>
      <w:pPr>
        <w:pStyle w:val="Heading1"/>
      </w:pPr>
      <w:r>
        <w:t xml:space="preserve">21. Error Contract</w:t>
      </w:r>
    </w:p>
    <w:p>
      <w:pPr>
        <w:pStyle w:val="FirstParagraph"/>
      </w:pPr>
      <w:r>
        <w:t xml:space="preserve">Todas as APIs deverão utilizar um formato consistente.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"Oferta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status-http"/>
    <w:p>
      <w:pPr>
        <w:pStyle w:val="Heading1"/>
      </w:pPr>
      <w:r>
        <w:t xml:space="preserve">22. Status HTTP</w:t>
      </w:r>
    </w:p>
    <w:p>
      <w:pPr>
        <w:pStyle w:val="FirstParagraph"/>
      </w:pPr>
      <w:r>
        <w:t xml:space="preserve">Uso consistente:</w:t>
      </w:r>
    </w:p>
    <w:p>
      <w:pPr>
        <w:pStyle w:val="SourceCode"/>
      </w:pPr>
      <w:r>
        <w:rPr>
          <w:rStyle w:val="VerbatimChar"/>
        </w:rPr>
        <w:t xml:space="preserve">200 OK</w:t>
      </w:r>
      <w:r>
        <w:br/>
      </w: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202 Accepted</w:t>
      </w:r>
      <w:r>
        <w:br/>
      </w:r>
      <w:r>
        <w:rPr>
          <w:rStyle w:val="VerbatimChar"/>
        </w:rPr>
        <w:t xml:space="preserve">204 No Content</w:t>
      </w:r>
      <w:r>
        <w:br/>
      </w:r>
      <w:r>
        <w:br/>
      </w: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422 Unprocessable Content</w:t>
      </w:r>
      <w:r>
        <w:br/>
      </w:r>
      <w:r>
        <w:rPr>
          <w:rStyle w:val="VerbatimChar"/>
        </w:rPr>
        <w:t xml:space="preserve">429 Too Many Requests</w:t>
      </w:r>
      <w:r>
        <w:br/>
      </w:r>
      <w:r>
        <w:br/>
      </w:r>
      <w:r>
        <w:rPr>
          <w:rStyle w:val="VerbatimChar"/>
        </w:rPr>
        <w:t xml:space="preserve">500 Internal Server Error</w:t>
      </w:r>
      <w:r>
        <w:br/>
      </w:r>
      <w:r>
        <w:rPr>
          <w:rStyle w:val="VerbatimChar"/>
        </w:rPr>
        <w:t xml:space="preserve">503 Service Unavailable</w:t>
      </w:r>
    </w:p>
    <w:p>
      <w:r>
        <w:pict>
          <v:rect style="width:0;height:1.5pt" o:hralign="center" o:hrstd="t" o:hr="t"/>
        </w:pict>
      </w:r>
    </w:p>
    <w:bookmarkEnd w:id="32"/>
    <w:bookmarkStart w:id="33" w:name="correlation-id"/>
    <w:p>
      <w:pPr>
        <w:pStyle w:val="Heading1"/>
      </w:pPr>
      <w:r>
        <w:t xml:space="preserve">23. Correlation ID</w:t>
      </w:r>
    </w:p>
    <w:p>
      <w:pPr>
        <w:pStyle w:val="FirstParagraph"/>
      </w:pPr>
      <w:r>
        <w:t xml:space="preserve">Cada requisição deverá possuir: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ou receber um novo caso não tenha sido fornecido.</w:t>
      </w:r>
    </w:p>
    <w:p>
      <w:pPr>
        <w:pStyle w:val="BodyText"/>
      </w:pPr>
      <w:r>
        <w:t xml:space="preserve">Ele deverá atravessar: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33"/>
    <w:bookmarkStart w:id="34" w:name="idempotency-key"/>
    <w:p>
      <w:pPr>
        <w:pStyle w:val="Heading1"/>
      </w:pPr>
      <w:r>
        <w:t xml:space="preserve">24. Idempotency-Key</w:t>
      </w:r>
    </w:p>
    <w:p>
      <w:pPr>
        <w:pStyle w:val="FirstParagraph"/>
      </w:pPr>
      <w:r>
        <w:t xml:space="preserve">Operações críticas via POST poderão utilizar:</w:t>
      </w:r>
    </w:p>
    <w:p>
      <w:pPr>
        <w:pStyle w:val="SourceCode"/>
      </w:pPr>
      <w:r>
        <w:rPr>
          <w:rStyle w:val="VerbatimChar"/>
        </w:rPr>
        <w:t xml:space="preserve">Idempotency-Key: &lt;unique-key&gt;</w:t>
      </w:r>
    </w:p>
    <w:p>
      <w:pPr>
        <w:pStyle w:val="FirstParagraph"/>
      </w:pPr>
      <w:r>
        <w:t xml:space="preserve">Esse mecanismo será detalhado no ADR-009.</w:t>
      </w:r>
    </w:p>
    <w:p>
      <w:r>
        <w:pict>
          <v:rect style="width:0;height:1.5pt" o:hralign="center" o:hrstd="t" o:hr="t"/>
        </w:pict>
      </w:r>
    </w:p>
    <w:bookmarkEnd w:id="34"/>
    <w:bookmarkStart w:id="35" w:name="autenticação"/>
    <w:p>
      <w:pPr>
        <w:pStyle w:val="Heading1"/>
      </w:pPr>
      <w:r>
        <w:t xml:space="preserve">25. Autenticação</w:t>
      </w:r>
    </w:p>
    <w:p>
      <w:pPr>
        <w:pStyle w:val="FirstParagraph"/>
      </w:pPr>
      <w:r>
        <w:t xml:space="preserve">A API será protegida conforme:</w:t>
      </w:r>
    </w:p>
    <w:p>
      <w:pPr>
        <w:pStyle w:val="SourceCode"/>
      </w:pPr>
      <w:r>
        <w:rPr>
          <w:rStyle w:val="VerbatimChar"/>
        </w:rPr>
        <w:t xml:space="preserve">ADR-005</w:t>
      </w:r>
    </w:p>
    <w:p>
      <w:r>
        <w:pict>
          <v:rect style="width:0;height:1.5pt" o:hralign="center" o:hrstd="t" o:hr="t"/>
        </w:pict>
      </w:r>
    </w:p>
    <w:bookmarkEnd w:id="35"/>
    <w:bookmarkStart w:id="36" w:name="autorização"/>
    <w:p>
      <w:pPr>
        <w:pStyle w:val="Heading1"/>
      </w:pPr>
      <w:r>
        <w:t xml:space="preserve">26. Autorização</w:t>
      </w:r>
    </w:p>
    <w:p>
      <w:pPr>
        <w:pStyle w:val="FirstParagraph"/>
      </w:pPr>
      <w:r>
        <w:t xml:space="preserve">A API será protegida conforme:</w:t>
      </w:r>
    </w:p>
    <w:p>
      <w:pPr>
        <w:pStyle w:val="SourceCode"/>
      </w:pPr>
      <w:r>
        <w:rPr>
          <w:rStyle w:val="VerbatimChar"/>
        </w:rPr>
        <w:t xml:space="preserve">ADR-006</w:t>
      </w:r>
    </w:p>
    <w:p>
      <w:r>
        <w:pict>
          <v:rect style="width:0;height:1.5pt" o:hralign="center" o:hrstd="t" o:hr="t"/>
        </w:pict>
      </w:r>
    </w:p>
    <w:bookmarkEnd w:id="36"/>
    <w:bookmarkStart w:id="37" w:name="não-expor-banco"/>
    <w:p>
      <w:pPr>
        <w:pStyle w:val="Heading1"/>
      </w:pPr>
      <w:r>
        <w:t xml:space="preserve">27. Não expor banco</w:t>
      </w:r>
    </w:p>
    <w:p>
      <w:pPr>
        <w:pStyle w:val="FirstParagraph"/>
      </w:pPr>
      <w:r>
        <w:t xml:space="preserve">A API não deverá reproduzir diretamente o modelo físico do PostgreSQL.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37"/>
    <w:bookmarkStart w:id="38" w:name="dtos"/>
    <w:p>
      <w:pPr>
        <w:pStyle w:val="Heading1"/>
      </w:pPr>
      <w:r>
        <w:t xml:space="preserve">28. DTOs</w:t>
      </w:r>
    </w:p>
    <w:p>
      <w:pPr>
        <w:pStyle w:val="FirstParagraph"/>
      </w:pPr>
      <w:r>
        <w:t xml:space="preserve">Os contratos públicos deverão utilizar DTOs específicos.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CreateOfferRequest</w:t>
      </w:r>
      <w:r>
        <w:br/>
      </w:r>
      <w:r>
        <w:rPr>
          <w:rStyle w:val="VerbatimChar"/>
        </w:rPr>
        <w:t xml:space="preserve">UpdateOfferRequest</w:t>
      </w:r>
      <w:r>
        <w:br/>
      </w:r>
      <w:r>
        <w:rPr>
          <w:rStyle w:val="VerbatimChar"/>
        </w:rPr>
        <w:t xml:space="preserve">OfferResponse</w:t>
      </w:r>
      <w:r>
        <w:br/>
      </w:r>
      <w:r>
        <w:rPr>
          <w:rStyle w:val="VerbatimChar"/>
        </w:rPr>
        <w:t xml:space="preserve">PublishOfferResponse</w:t>
      </w:r>
    </w:p>
    <w:p>
      <w:pPr>
        <w:pStyle w:val="FirstParagraph"/>
      </w:pPr>
      <w:r>
        <w:t xml:space="preserve">Não expor entidades ORM diretamente.</w:t>
      </w:r>
    </w:p>
    <w:p>
      <w:r>
        <w:pict>
          <v:rect style="width:0;height:1.5pt" o:hralign="center" o:hrstd="t" o:hr="t"/>
        </w:pict>
      </w:r>
    </w:p>
    <w:bookmarkEnd w:id="38"/>
    <w:bookmarkStart w:id="39" w:name="evolução-interna"/>
    <w:p>
      <w:pPr>
        <w:pStyle w:val="Heading1"/>
      </w:pPr>
      <w:r>
        <w:t xml:space="preserve">29. Evolução interna</w:t>
      </w:r>
    </w:p>
    <w:p>
      <w:pPr>
        <w:pStyle w:val="FirstParagraph"/>
      </w:pPr>
      <w:r>
        <w:t xml:space="preserve">A implementação poderá mudar:</w:t>
      </w:r>
    </w:p>
    <w:p>
      <w:pPr>
        <w:pStyle w:val="SourceCode"/>
      </w:pPr>
      <w:r>
        <w:rPr>
          <w:rStyle w:val="VerbatimChar"/>
        </w:rPr>
        <w:t xml:space="preserve">ORM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database structure</w:t>
      </w:r>
    </w:p>
    <w:p>
      <w:pPr>
        <w:pStyle w:val="FirstParagraph"/>
      </w:pPr>
      <w:r>
        <w:t xml:space="preserve">sem necessariamente mudar:</w:t>
      </w:r>
    </w:p>
    <w:p>
      <w:pPr>
        <w:pStyle w:val="SourceCode"/>
      </w:pPr>
      <w:r>
        <w:rPr>
          <w:rStyle w:val="VerbatimChar"/>
        </w:rPr>
        <w:t xml:space="preserve">API v1</w:t>
      </w:r>
    </w:p>
    <w:p>
      <w:r>
        <w:pict>
          <v:rect style="width:0;height:1.5pt" o:hralign="center" o:hrstd="t" o:hr="t"/>
        </w:pict>
      </w:r>
    </w:p>
    <w:bookmarkEnd w:id="39"/>
    <w:bookmarkStart w:id="40" w:name="backward-compatibility"/>
    <w:p>
      <w:pPr>
        <w:pStyle w:val="Heading1"/>
      </w:pPr>
      <w:r>
        <w:t xml:space="preserve">30. Backward Compatibility</w:t>
      </w:r>
    </w:p>
    <w:p>
      <w:pPr>
        <w:pStyle w:val="FirstParagraph"/>
      </w:pPr>
      <w:r>
        <w:t xml:space="preserve">Alterações deverão ser avaliadas como:</w:t>
      </w:r>
    </w:p>
    <w:p>
      <w:pPr>
        <w:pStyle w:val="SourceCode"/>
      </w:pPr>
      <w:r>
        <w:rPr>
          <w:rStyle w:val="VerbatimChar"/>
        </w:rPr>
        <w:t xml:space="preserve">Compatible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Breaking</w:t>
      </w:r>
    </w:p>
    <w:p>
      <w:pPr>
        <w:pStyle w:val="FirstParagraph"/>
      </w:pPr>
      <w:r>
        <w:t xml:space="preserve">antes de serem implementadas.</w:t>
      </w:r>
    </w:p>
    <w:p>
      <w:r>
        <w:pict>
          <v:rect style="width:0;height:1.5pt" o:hralign="center" o:hrstd="t" o:hr="t"/>
        </w:pict>
      </w:r>
    </w:p>
    <w:bookmarkEnd w:id="40"/>
    <w:bookmarkStart w:id="41" w:name="sdk-futuro"/>
    <w:p>
      <w:pPr>
        <w:pStyle w:val="Heading1"/>
      </w:pPr>
      <w:r>
        <w:t xml:space="preserve">31. SDK futuro</w:t>
      </w:r>
    </w:p>
    <w:p>
      <w:pPr>
        <w:pStyle w:val="FirstParagraph"/>
      </w:pPr>
      <w:r>
        <w:t xml:space="preserve">Caso o MiniHub disponibilize SDK:</w:t>
      </w:r>
    </w:p>
    <w:p>
      <w:pPr>
        <w:pStyle w:val="SourceCode"/>
      </w:pPr>
      <w:r>
        <w:rPr>
          <w:rStyle w:val="VerbatimChar"/>
        </w:rPr>
        <w:t xml:space="preserve">minihub-js</w:t>
      </w:r>
      <w:r>
        <w:br/>
      </w:r>
      <w:r>
        <w:rPr>
          <w:rStyle w:val="VerbatimChar"/>
        </w:rPr>
        <w:t xml:space="preserve">minihub-mobile</w:t>
      </w:r>
    </w:p>
    <w:p>
      <w:pPr>
        <w:pStyle w:val="FirstParagraph"/>
      </w:pPr>
      <w:r>
        <w:t xml:space="preserve">o SDK deverá declarar qual versão da API utiliza.</w:t>
      </w:r>
    </w:p>
    <w:p>
      <w:r>
        <w:pict>
          <v:rect style="width:0;height:1.5pt" o:hralign="center" o:hrstd="t" o:hr="t"/>
        </w:pict>
      </w:r>
    </w:p>
    <w:bookmarkEnd w:id="41"/>
    <w:bookmarkStart w:id="42" w:name="webhooks"/>
    <w:p>
      <w:pPr>
        <w:pStyle w:val="Heading1"/>
      </w:pPr>
      <w:r>
        <w:t xml:space="preserve">32. Webhooks</w:t>
      </w:r>
    </w:p>
    <w:p>
      <w:pPr>
        <w:pStyle w:val="FirstParagraph"/>
      </w:pPr>
      <w:r>
        <w:t xml:space="preserve">Webhooks também deverão possuir contrato versionado.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event_version = 1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API version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Event version</w:t>
      </w:r>
    </w:p>
    <w:p>
      <w:r>
        <w:pict>
          <v:rect style="width:0;height:1.5pt" o:hralign="center" o:hrstd="t" o:hr="t"/>
        </w:pict>
      </w:r>
    </w:p>
    <w:bookmarkEnd w:id="42"/>
    <w:bookmarkStart w:id="43" w:name="eventos"/>
    <w:p>
      <w:pPr>
        <w:pStyle w:val="Heading1"/>
      </w:pPr>
      <w:r>
        <w:t xml:space="preserve">33. Eventos</w:t>
      </w:r>
    </w:p>
    <w:p>
      <w:pPr>
        <w:pStyle w:val="FirstParagraph"/>
      </w:pPr>
      <w:r>
        <w:t xml:space="preserve">Um evento:</w:t>
      </w:r>
    </w:p>
    <w:p>
      <w:pPr>
        <w:pStyle w:val="SourceCode"/>
      </w:pPr>
      <w:r>
        <w:rPr>
          <w:rStyle w:val="VerbatimChar"/>
        </w:rPr>
        <w:t xml:space="preserve">OfferPublished</w:t>
      </w:r>
    </w:p>
    <w:p>
      <w:pPr>
        <w:pStyle w:val="FirstParagraph"/>
      </w:pPr>
      <w:r>
        <w:t xml:space="preserve">poderá possuir:</w:t>
      </w:r>
    </w:p>
    <w:p>
      <w:pPr>
        <w:pStyle w:val="SourceCode"/>
      </w:pP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</w:p>
    <w:p>
      <w:pPr>
        <w:pStyle w:val="FirstParagraph"/>
      </w:pPr>
      <w:r>
        <w:t xml:space="preserve">independentemente da: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r>
        <w:pict>
          <v:rect style="width:0;height:1.5pt" o:hralign="center" o:hrstd="t" o:hr="t"/>
        </w:pict>
      </w:r>
    </w:p>
    <w:bookmarkEnd w:id="43"/>
    <w:bookmarkStart w:id="44" w:name="versionamento-interno"/>
    <w:p>
      <w:pPr>
        <w:pStyle w:val="Heading1"/>
      </w:pPr>
      <w:r>
        <w:t xml:space="preserve">34. Versionamento interno</w:t>
      </w:r>
    </w:p>
    <w:p>
      <w:pPr>
        <w:pStyle w:val="FirstParagraph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ServiceV1</w:t>
      </w:r>
      <w:r>
        <w:br/>
      </w:r>
      <w:r>
        <w:rPr>
          <w:rStyle w:val="VerbatimChar"/>
        </w:rPr>
        <w:t xml:space="preserve">ServiceV2</w:t>
      </w:r>
    </w:p>
    <w:p>
      <w:pPr>
        <w:pStyle w:val="FirstParagraph"/>
      </w:pPr>
      <w:r>
        <w:t xml:space="preserve">automaticamente.</w:t>
      </w:r>
    </w:p>
    <w:p>
      <w:pPr>
        <w:pStyle w:val="BodyText"/>
      </w:pPr>
      <w:r>
        <w:t xml:space="preserve">Versionamento deverá existir onde houver contrato externo que realmente precise coexistir.</w:t>
      </w:r>
    </w:p>
    <w:p>
      <w:r>
        <w:pict>
          <v:rect style="width:0;height:1.5pt" o:hralign="center" o:hrstd="t" o:hr="t"/>
        </w:pict>
      </w:r>
    </w:p>
    <w:bookmarkEnd w:id="44"/>
    <w:bookmarkStart w:id="45" w:name="deprecation-1"/>
    <w:p>
      <w:pPr>
        <w:pStyle w:val="Heading1"/>
      </w:pPr>
      <w:r>
        <w:t xml:space="preserve">35. Deprecation</w:t>
      </w:r>
    </w:p>
    <w:p>
      <w:pPr>
        <w:pStyle w:val="FirstParagraph"/>
      </w:pPr>
      <w:r>
        <w:t xml:space="preserve">Quando uma API for descontinuada: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migration window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v2</w:t>
      </w:r>
    </w:p>
    <w:p>
      <w:pPr>
        <w:pStyle w:val="FirstParagraph"/>
      </w:pPr>
      <w:r>
        <w:t xml:space="preserve">O período será definido de acordo com o impacto real.</w:t>
      </w:r>
    </w:p>
    <w:p>
      <w:r>
        <w:pict>
          <v:rect style="width:0;height:1.5pt" o:hralign="center" o:hrstd="t" o:hr="t"/>
        </w:pict>
      </w:r>
    </w:p>
    <w:bookmarkEnd w:id="45"/>
    <w:bookmarkStart w:id="46" w:name="regra-de-ouro"/>
    <w:p>
      <w:pPr>
        <w:pStyle w:val="Heading1"/>
      </w:pPr>
      <w:r>
        <w:t xml:space="preserve">36. Regra de ouro</w:t>
      </w:r>
    </w:p>
    <w:p>
      <w:pPr>
        <w:pStyle w:val="BlockText"/>
      </w:pPr>
      <w:r>
        <w:rPr>
          <w:b/>
          <w:bCs/>
        </w:rPr>
        <w:t xml:space="preserve">Versionar contratos públicos, não classes internas.</w:t>
      </w:r>
    </w:p>
    <w:p>
      <w:r>
        <w:pict>
          <v:rect style="width:0;height:1.5pt" o:hralign="center" o:hrstd="t" o:hr="t"/>
        </w:pict>
      </w:r>
    </w:p>
    <w:bookmarkEnd w:id="46"/>
    <w:bookmarkStart w:id="47" w:name="decisão-final"/>
    <w:p>
      <w:pPr>
        <w:pStyle w:val="Heading1"/>
      </w:pPr>
      <w:r>
        <w:t xml:space="preserve">37. Decisão final</w:t>
      </w:r>
    </w:p>
    <w:p>
      <w:pPr>
        <w:pStyle w:val="FirstParagraph"/>
      </w:pPr>
      <w:r>
        <w:t xml:space="preserve">A API será iniciada em: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REST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OpenAPI</w:t>
      </w:r>
      <w:r>
        <w:br/>
      </w:r>
      <w:r>
        <w:rPr>
          <w:rStyle w:val="VerbatimChar"/>
        </w:rPr>
        <w:t xml:space="preserve">DTOs</w:t>
      </w:r>
      <w:r>
        <w:br/>
      </w:r>
      <w:r>
        <w:rPr>
          <w:rStyle w:val="VerbatimChar"/>
        </w:rPr>
        <w:t xml:space="preserve">Error Contract</w:t>
      </w:r>
      <w:r>
        <w:br/>
      </w: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Idempotência para operações críticas</w:t>
      </w:r>
    </w:p>
    <w:p>
      <w:r>
        <w:pict>
          <v:rect style="width:0;height:1.5pt" o:hralign="center" o:hrstd="t" o:hr="t"/>
        </w:pict>
      </w:r>
    </w:p>
    <w:bookmarkEnd w:id="47"/>
    <w:bookmarkStart w:id="48" w:name="status"/>
    <w:p>
      <w:pPr>
        <w:pStyle w:val="Heading1"/>
      </w:pPr>
      <w:r>
        <w:t xml:space="preserve">38. Status</w:t>
      </w:r>
    </w:p>
    <w:p>
      <w:pPr>
        <w:pStyle w:val="SourceCode"/>
      </w:pPr>
      <w:r>
        <w:rPr>
          <w:rStyle w:val="VerbatimChar"/>
        </w:rPr>
        <w:t xml:space="preserve">ACEITO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