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10-transactional-outbox"/>
    <w:p>
      <w:pPr>
        <w:pStyle w:val="Heading1"/>
      </w:pPr>
      <w:r>
        <w:t xml:space="preserve">ADR-010 — Transactional Outbox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ADR-010</w:t>
      </w:r>
      <w:r>
        <w:br/>
      </w:r>
      <w:r>
        <w:rPr>
          <w:b/>
          <w:bCs/>
        </w:rPr>
        <w:t xml:space="preserve">Título:</w:t>
      </w:r>
      <w:r>
        <w:t xml:space="preserve"> </w:t>
      </w:r>
      <w:r>
        <w:t xml:space="preserve">Transactional Outbox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Categoria:</w:t>
      </w:r>
      <w:r>
        <w:t xml:space="preserve"> </w:t>
      </w:r>
      <w:r>
        <w:t xml:space="preserve">Arquitetura / Eventos / Consistência</w:t>
      </w:r>
    </w:p>
    <w:p>
      <w:r>
        <w:pict>
          <v:rect style="width:0;height:1.5pt" o:hralign="center" o:hrstd="t" o:hr="t"/>
        </w:pict>
      </w:r>
    </w:p>
    <w:bookmarkEnd w:id="9"/>
    <w:bookmarkStart w:id="10" w:name="contexto"/>
    <w:p>
      <w:pPr>
        <w:pStyle w:val="Heading1"/>
      </w:pPr>
      <w:r>
        <w:t xml:space="preserve">1. Contexto</w:t>
      </w:r>
    </w:p>
    <w:p>
      <w:pPr>
        <w:pStyle w:val="FirstParagraph"/>
      </w:pPr>
      <w:r>
        <w:t xml:space="preserve">O MiniHub possui diversos domínios que precisarão reagir a acontecimentos de negócio.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ORDER_CREATED</w:t>
      </w:r>
      <w:r>
        <w:br/>
      </w:r>
      <w:r>
        <w:rPr>
          <w:rStyle w:val="VerbatimChar"/>
        </w:rPr>
        <w:t xml:space="preserve">PAYMENT_CONFIRMED</w:t>
      </w:r>
      <w:r>
        <w:br/>
      </w:r>
      <w:r>
        <w:rPr>
          <w:rStyle w:val="VerbatimChar"/>
        </w:rPr>
        <w:t xml:space="preserve">PAYMENT_REFUNDED</w:t>
      </w:r>
      <w:r>
        <w:br/>
      </w:r>
      <w:r>
        <w:rPr>
          <w:rStyle w:val="VerbatimChar"/>
        </w:rPr>
        <w:t xml:space="preserve">SHIPMENT_DELIVERED</w:t>
      </w:r>
      <w:r>
        <w:br/>
      </w:r>
      <w:r>
        <w:rPr>
          <w:rStyle w:val="VerbatimChar"/>
        </w:rPr>
        <w:t xml:space="preserve">GARAGE_ITEM_RECEIVED</w:t>
      </w:r>
      <w:r>
        <w:br/>
      </w:r>
      <w:r>
        <w:rPr>
          <w:rStyle w:val="VerbatimChar"/>
        </w:rPr>
        <w:t xml:space="preserve">PRE_SALE_CONFIRMED</w:t>
      </w:r>
      <w:r>
        <w:br/>
      </w:r>
      <w:r>
        <w:rPr>
          <w:rStyle w:val="VerbatimChar"/>
        </w:rPr>
        <w:t xml:space="preserve">OFFER_PUBLISHED</w:t>
      </w:r>
      <w:r>
        <w:br/>
      </w:r>
      <w:r>
        <w:rPr>
          <w:rStyle w:val="VerbatimChar"/>
        </w:rPr>
        <w:t xml:space="preserve">COMMUNITY_POST_PUBLISHED</w:t>
      </w:r>
    </w:p>
    <w:p>
      <w:pPr>
        <w:pStyle w:val="FirstParagraph"/>
      </w:pPr>
      <w:r>
        <w:t xml:space="preserve">Esses acontecimentos poderão disparar:</w:t>
      </w:r>
    </w:p>
    <w:p>
      <w:pPr>
        <w:pStyle w:val="SourceCode"/>
      </w:pP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Atualizações de projeções</w:t>
      </w:r>
      <w:r>
        <w:br/>
      </w:r>
      <w:r>
        <w:rPr>
          <w:rStyle w:val="VerbatimChar"/>
        </w:rPr>
        <w:t xml:space="preserve">Integrações externas</w:t>
      </w:r>
      <w:r>
        <w:br/>
      </w:r>
      <w:r>
        <w:rPr>
          <w:rStyle w:val="VerbatimChar"/>
        </w:rPr>
        <w:t xml:space="preserve">Processos financeiros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O problema surge quando a aplicação precisa executar:</w:t>
      </w:r>
    </w:p>
    <w:p>
      <w:pPr>
        <w:pStyle w:val="SourceCode"/>
      </w:pPr>
      <w:r>
        <w:rPr>
          <w:rStyle w:val="VerbatimChar"/>
        </w:rPr>
        <w:t xml:space="preserve">1. Atualizar o banco</w:t>
      </w:r>
      <w:r>
        <w:br/>
      </w:r>
      <w:r>
        <w:rPr>
          <w:rStyle w:val="VerbatimChar"/>
        </w:rPr>
        <w:t xml:space="preserve">2. Publicar um evento</w:t>
      </w:r>
    </w:p>
    <w:p>
      <w:pPr>
        <w:pStyle w:val="FirstParagraph"/>
      </w:pPr>
      <w:r>
        <w:t xml:space="preserve">em operações separadas.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BEGIN TRANSACTION</w:t>
      </w:r>
      <w:r>
        <w:br/>
      </w:r>
      <w:r>
        <w:br/>
      </w:r>
      <w:r>
        <w:rPr>
          <w:rStyle w:val="VerbatimChar"/>
        </w:rPr>
        <w:t xml:space="preserve">UPDATE ORDER</w:t>
      </w:r>
      <w:r>
        <w:br/>
      </w:r>
      <w:r>
        <w:rPr>
          <w:rStyle w:val="VerbatimChar"/>
        </w:rPr>
        <w:t xml:space="preserve">COMMIT</w:t>
      </w:r>
      <w:r>
        <w:br/>
      </w:r>
      <w:r>
        <w:br/>
      </w:r>
      <w:r>
        <w:rPr>
          <w:rStyle w:val="VerbatimChar"/>
        </w:rPr>
        <w:t xml:space="preserve">publish(OrderCreated)</w:t>
      </w:r>
    </w:p>
    <w:p>
      <w:pPr>
        <w:pStyle w:val="FirstParagraph"/>
      </w:pPr>
      <w:r>
        <w:t xml:space="preserve">Se a aplicação cair entre as duas operações:</w:t>
      </w:r>
    </w:p>
    <w:p>
      <w:pPr>
        <w:pStyle w:val="SourceCode"/>
      </w:pPr>
      <w:r>
        <w:rPr>
          <w:rStyle w:val="VerbatimChar"/>
        </w:rPr>
        <w:t xml:space="preserve">Banco = atualizado</w:t>
      </w:r>
      <w:r>
        <w:br/>
      </w:r>
      <w:r>
        <w:rPr>
          <w:rStyle w:val="VerbatimChar"/>
        </w:rPr>
        <w:t xml:space="preserve">Evento = não publicado</w:t>
      </w:r>
    </w:p>
    <w:p>
      <w:pPr>
        <w:pStyle w:val="FirstParagraph"/>
      </w:pPr>
      <w:r>
        <w:t xml:space="preserve">O sistema ficará inconsistente.</w:t>
      </w:r>
    </w:p>
    <w:p>
      <w:pPr>
        <w:pStyle w:val="BodyText"/>
      </w:pPr>
      <w:r>
        <w:t xml:space="preserve">O problema inverso também existe:</w:t>
      </w:r>
    </w:p>
    <w:p>
      <w:pPr>
        <w:pStyle w:val="SourceCode"/>
      </w:pPr>
      <w:r>
        <w:rPr>
          <w:rStyle w:val="VerbatimChar"/>
        </w:rPr>
        <w:t xml:space="preserve">publish(OrderCreated)</w:t>
      </w:r>
      <w:r>
        <w:br/>
      </w:r>
      <w:r>
        <w:br/>
      </w:r>
      <w:r>
        <w:rPr>
          <w:rStyle w:val="VerbatimChar"/>
        </w:rPr>
        <w:t xml:space="preserve">UPDATE ORDER</w:t>
      </w:r>
      <w:r>
        <w:br/>
      </w: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Neste caso:</w:t>
      </w:r>
    </w:p>
    <w:p>
      <w:pPr>
        <w:pStyle w:val="SourceCode"/>
      </w:pPr>
      <w:r>
        <w:rPr>
          <w:rStyle w:val="VerbatimChar"/>
        </w:rPr>
        <w:t xml:space="preserve">Evento = publicado</w:t>
      </w:r>
      <w:r>
        <w:br/>
      </w:r>
      <w:r>
        <w:rPr>
          <w:rStyle w:val="VerbatimChar"/>
        </w:rPr>
        <w:t xml:space="preserve">Banco = não atualizado</w:t>
      </w:r>
    </w:p>
    <w:p>
      <w:pPr>
        <w:pStyle w:val="FirstParagraph"/>
      </w:pPr>
      <w:r>
        <w:t xml:space="preserve">O evento passa a representar algo que não aconteceu.</w:t>
      </w:r>
    </w:p>
    <w:p>
      <w:pPr>
        <w:pStyle w:val="BodyText"/>
      </w:pPr>
      <w:r>
        <w:t xml:space="preserve">O padrão Transactional Outbox resolve esse problema mantendo a alteração de negócio e o registro do evento na mesma transação de banco.</w:t>
      </w:r>
    </w:p>
    <w:p>
      <w:r>
        <w:pict>
          <v:rect style="width:0;height:1.5pt" o:hralign="center" o:hrstd="t" o:hr="t"/>
        </w:pict>
      </w:r>
    </w:p>
    <w:bookmarkEnd w:id="10"/>
    <w:bookmarkStart w:id="11" w:name="decisão"/>
    <w:p>
      <w:pPr>
        <w:pStyle w:val="Heading1"/>
      </w:pPr>
      <w:r>
        <w:t xml:space="preserve">2. Decisão</w:t>
      </w:r>
    </w:p>
    <w:p>
      <w:pPr>
        <w:pStyle w:val="FirstParagraph"/>
      </w:pPr>
      <w:r>
        <w:t xml:space="preserve">O MiniHub adotará o padrão:</w:t>
      </w:r>
    </w:p>
    <w:p>
      <w:pPr>
        <w:pStyle w:val="BlockText"/>
      </w:pPr>
      <w:r>
        <w:rPr>
          <w:b/>
          <w:bCs/>
        </w:rPr>
        <w:t xml:space="preserve">Transactional Outbox</w:t>
      </w:r>
    </w:p>
    <w:p>
      <w:pPr>
        <w:pStyle w:val="FirstParagraph"/>
      </w:pPr>
      <w:r>
        <w:t xml:space="preserve">Toda operação que alterar estado de negócio e precisar gerar um evento persistente deverá:</w:t>
      </w:r>
    </w:p>
    <w:p>
      <w:pPr>
        <w:pStyle w:val="SourceCode"/>
      </w:pPr>
      <w:r>
        <w:rPr>
          <w:rStyle w:val="VerbatimChar"/>
        </w:rPr>
        <w:t xml:space="preserve">Business Transaction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Atualiza estado do domínio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Grava OUTBOX_EVENT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 COMMIT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Outbox Publisher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  Queue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 Worker</w:t>
      </w:r>
    </w:p>
    <w:p>
      <w:pPr>
        <w:pStyle w:val="FirstParagraph"/>
      </w:pPr>
      <w:r>
        <w:t xml:space="preserve">A gravação do estado do domínio e do evento deverá ocorrer dentro da</w:t>
      </w:r>
      <w:r>
        <w:t xml:space="preserve"> </w:t>
      </w:r>
      <w:r>
        <w:rPr>
          <w:b/>
          <w:bCs/>
        </w:rPr>
        <w:t xml:space="preserve">mesma transação PostgreSQL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regra-fundamental"/>
    <w:p>
      <w:pPr>
        <w:pStyle w:val="Heading1"/>
      </w:pPr>
      <w:r>
        <w:t xml:space="preserve">3. Regra fundamental</w:t>
      </w:r>
    </w:p>
    <w:p>
      <w:pPr>
        <w:pStyle w:val="FirstParagraph"/>
      </w:pPr>
      <w:r>
        <w:t xml:space="preserve">O MiniHub nunca deverá depender do seguinte padrão:</w:t>
      </w:r>
    </w:p>
    <w:p>
      <w:pPr>
        <w:pStyle w:val="SourceCode"/>
      </w:pPr>
      <w:r>
        <w:rPr>
          <w:rStyle w:val="VerbatimChar"/>
        </w:rPr>
        <w:t xml:space="preserve">UPDATE database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publish event</w:t>
      </w:r>
    </w:p>
    <w:p>
      <w:pPr>
        <w:pStyle w:val="FirstParagraph"/>
      </w:pPr>
      <w:r>
        <w:t xml:space="preserve">como duas operações independentes.</w:t>
      </w:r>
    </w:p>
    <w:p>
      <w:pPr>
        <w:pStyle w:val="BodyText"/>
      </w:pPr>
      <w:r>
        <w:t xml:space="preserve">O padrão oficial será: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UPDATE domain_table</w:t>
      </w:r>
      <w:r>
        <w:br/>
      </w:r>
      <w:r>
        <w:br/>
      </w:r>
      <w:r>
        <w:rPr>
          <w:rStyle w:val="VerbatimChar"/>
        </w:rPr>
        <w:t xml:space="preserve">INSERT INTO outbox_event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Somente depois do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o evento poderá ser publicado externamente.</w:t>
      </w:r>
    </w:p>
    <w:p>
      <w:r>
        <w:pict>
          <v:rect style="width:0;height:1.5pt" o:hralign="center" o:hrstd="t" o:hr="t"/>
        </w:pict>
      </w:r>
    </w:p>
    <w:bookmarkEnd w:id="12"/>
    <w:bookmarkStart w:id="13" w:name="atomicidade"/>
    <w:p>
      <w:pPr>
        <w:pStyle w:val="Heading1"/>
      </w:pPr>
      <w:r>
        <w:t xml:space="preserve">4. Atomicidade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Criar Pedido</w:t>
      </w:r>
    </w:p>
    <w:p>
      <w:pPr>
        <w:pStyle w:val="FirstParagraph"/>
      </w:pPr>
      <w:r>
        <w:t xml:space="preserve">A transação deverá executar:</w:t>
      </w:r>
    </w:p>
    <w:p>
      <w:pPr>
        <w:pStyle w:val="SourceCode"/>
      </w:pPr>
      <w:r>
        <w:rPr>
          <w:rStyle w:val="VerbatimChar"/>
        </w:rPr>
        <w:t xml:space="preserve">INSERT ORDER</w:t>
      </w:r>
      <w:r>
        <w:br/>
      </w:r>
      <w:r>
        <w:br/>
      </w:r>
      <w:r>
        <w:rPr>
          <w:rStyle w:val="VerbatimChar"/>
        </w:rPr>
        <w:t xml:space="preserve">INSERT ORDER_ITEM</w:t>
      </w:r>
      <w:r>
        <w:br/>
      </w:r>
      <w:r>
        <w:br/>
      </w:r>
      <w:r>
        <w:rPr>
          <w:rStyle w:val="VerbatimChar"/>
        </w:rPr>
        <w:t xml:space="preserve">INSERT OUTBOX_EVENT</w:t>
      </w:r>
      <w:r>
        <w:br/>
      </w:r>
      <w:r>
        <w:rPr>
          <w:rStyle w:val="VerbatimChar"/>
        </w:rPr>
        <w:t xml:space="preserve">       type = OrderCreated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qualquer operação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ORDER = não criado</w:t>
      </w:r>
      <w:r>
        <w:br/>
      </w:r>
      <w:r>
        <w:rPr>
          <w:rStyle w:val="VerbatimChar"/>
        </w:rPr>
        <w:t xml:space="preserve">OUTBOX_EVENT = não criado</w:t>
      </w:r>
    </w:p>
    <w:p>
      <w:pPr>
        <w:pStyle w:val="FirstParagraph"/>
      </w:pPr>
      <w:r>
        <w:t xml:space="preserve">Se o commit ocorrer:</w:t>
      </w:r>
    </w:p>
    <w:p>
      <w:pPr>
        <w:pStyle w:val="SourceCode"/>
      </w:pPr>
      <w:r>
        <w:rPr>
          <w:rStyle w:val="VerbatimChar"/>
        </w:rPr>
        <w:t xml:space="preserve">ORDER = criado</w:t>
      </w:r>
      <w:r>
        <w:br/>
      </w:r>
      <w:r>
        <w:rPr>
          <w:rStyle w:val="VerbatimChar"/>
        </w:rPr>
        <w:t xml:space="preserve">OUTBOX_EVENT = persistido</w:t>
      </w:r>
    </w:p>
    <w:p>
      <w:pPr>
        <w:pStyle w:val="FirstParagraph"/>
      </w:pPr>
      <w:r>
        <w:t xml:space="preserve">O publisher poderá posteriormente publicar o evento.</w:t>
      </w:r>
    </w:p>
    <w:p>
      <w:r>
        <w:pict>
          <v:rect style="width:0;height:1.5pt" o:hralign="center" o:hrstd="t" o:hr="t"/>
        </w:pict>
      </w:r>
    </w:p>
    <w:bookmarkEnd w:id="13"/>
    <w:bookmarkStart w:id="14" w:name="estrutura-conceitual"/>
    <w:p>
      <w:pPr>
        <w:pStyle w:val="Heading1"/>
      </w:pPr>
      <w:r>
        <w:t xml:space="preserve">5. Estrutura conceitual</w:t>
      </w:r>
    </w:p>
    <w:p>
      <w:pPr>
        <w:pStyle w:val="SourceCode"/>
      </w:pPr>
      <w:r>
        <w:rPr>
          <w:rStyle w:val="VerbatimChar"/>
        </w:rPr>
        <w:t xml:space="preserve">                PostgreSQL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ORDER                              │</w:t>
      </w:r>
      <w:r>
        <w:br/>
      </w:r>
      <w:r>
        <w:rPr>
          <w:rStyle w:val="VerbatimChar"/>
        </w:rPr>
        <w:t xml:space="preserve">│  PAYMENT                            │</w:t>
      </w:r>
      <w:r>
        <w:br/>
      </w:r>
      <w:r>
        <w:rPr>
          <w:rStyle w:val="VerbatimChar"/>
        </w:rPr>
        <w:t xml:space="preserve">│  SHIPMENT                           │</w:t>
      </w:r>
      <w:r>
        <w:br/>
      </w:r>
      <w:r>
        <w:rPr>
          <w:rStyle w:val="VerbatimChar"/>
        </w:rPr>
        <w:t xml:space="preserve">│  GARAGE_ITEM                        │</w:t>
      </w:r>
      <w:r>
        <w:br/>
      </w:r>
      <w:r>
        <w:rPr>
          <w:rStyle w:val="VerbatimChar"/>
        </w:rPr>
        <w:t xml:space="preserve">│  PRE_SALE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+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OUTBOX_EVENT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│ polling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OUTBOX PUBLISHER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  QUEUE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┌───────┼────────┐</w:t>
      </w:r>
      <w:r>
        <w:br/>
      </w:r>
      <w:r>
        <w:rPr>
          <w:rStyle w:val="VerbatimChar"/>
        </w:rPr>
        <w:t xml:space="preserve">          ▼       ▼        ▼</w:t>
      </w:r>
      <w:r>
        <w:br/>
      </w:r>
      <w:r>
        <w:rPr>
          <w:rStyle w:val="VerbatimChar"/>
        </w:rPr>
        <w:t xml:space="preserve">       Worker   Worker   Worker</w:t>
      </w:r>
    </w:p>
    <w:p>
      <w:r>
        <w:pict>
          <v:rect style="width:0;height:1.5pt" o:hralign="center" o:hrstd="t" o:hr="t"/>
        </w:pict>
      </w:r>
    </w:p>
    <w:bookmarkEnd w:id="14"/>
    <w:bookmarkStart w:id="15" w:name="outbox_event"/>
    <w:p>
      <w:pPr>
        <w:pStyle w:val="Heading1"/>
      </w:pPr>
      <w:r>
        <w:t xml:space="preserve">6. OUTBOX_EVENT</w:t>
      </w:r>
    </w:p>
    <w:p>
      <w:pPr>
        <w:pStyle w:val="FirstParagraph"/>
      </w:pPr>
      <w:r>
        <w:t xml:space="preserve">Estrutura inicial:</w:t>
      </w:r>
    </w:p>
    <w:p>
      <w:pPr>
        <w:pStyle w:val="SourceCode"/>
      </w:pPr>
      <w:r>
        <w:rPr>
          <w:rStyle w:val="VerbatimChar"/>
        </w:rPr>
        <w:t xml:space="preserve">OUTBOX_EVENT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aggregate_type</w:t>
      </w:r>
      <w:r>
        <w:br/>
      </w:r>
      <w:r>
        <w:rPr>
          <w:rStyle w:val="VerbatimChar"/>
        </w:rPr>
        <w:t xml:space="preserve">aggregate_id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attempts</w:t>
      </w:r>
      <w:r>
        <w:br/>
      </w:r>
      <w:r>
        <w:rPr>
          <w:rStyle w:val="VerbatimChar"/>
        </w:rPr>
        <w:t xml:space="preserve">next_attempt_at</w:t>
      </w:r>
      <w:r>
        <w:br/>
      </w:r>
      <w:r>
        <w:rPr>
          <w:rStyle w:val="VerbatimChar"/>
        </w:rPr>
        <w:t xml:space="preserve">locked_at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last_error_code</w:t>
      </w:r>
      <w:r>
        <w:br/>
      </w:r>
      <w:r>
        <w:rPr>
          <w:rStyle w:val="VerbatimChar"/>
        </w:rPr>
        <w:t xml:space="preserve">last_error_message</w:t>
      </w:r>
    </w:p>
    <w:p>
      <w:r>
        <w:pict>
          <v:rect style="width:0;height:1.5pt" o:hralign="center" o:hrstd="t" o:hr="t"/>
        </w:pict>
      </w:r>
    </w:p>
    <w:bookmarkEnd w:id="15"/>
    <w:bookmarkStart w:id="16" w:name="id"/>
    <w:p>
      <w:pPr>
        <w:pStyle w:val="Heading1"/>
      </w:pPr>
      <w:r>
        <w:t xml:space="preserve">7. ID</w:t>
      </w:r>
    </w:p>
    <w:p>
      <w:pPr>
        <w:pStyle w:val="FirstParagraph"/>
      </w:pPr>
      <w:r>
        <w:t xml:space="preserve">O campo:</w:t>
      </w:r>
    </w:p>
    <w:p>
      <w:pPr>
        <w:pStyle w:val="SourceCode"/>
      </w:pP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será o identificador técnico do evento.</w:t>
      </w:r>
    </w:p>
    <w:p>
      <w:pPr>
        <w:pStyle w:val="BodyText"/>
      </w:pPr>
      <w:r>
        <w:t xml:space="preserve">Deverá utilizar:</w:t>
      </w:r>
    </w:p>
    <w:p>
      <w:pPr>
        <w:pStyle w:val="SourceCode"/>
      </w:pPr>
      <w:r>
        <w:rPr>
          <w:rStyle w:val="VerbatimChar"/>
        </w:rPr>
        <w:t xml:space="preserve">UUIDv7</w:t>
      </w:r>
    </w:p>
    <w:p>
      <w:pPr>
        <w:pStyle w:val="FirstParagraph"/>
      </w:pPr>
      <w:r>
        <w:t xml:space="preserve">conforme ADR-003.</w:t>
      </w:r>
    </w:p>
    <w:p>
      <w:pPr>
        <w:pStyle w:val="BodyText"/>
      </w:pPr>
      <w:r>
        <w:t xml:space="preserve">O identificador do evento será diferente de:</w:t>
      </w:r>
    </w:p>
    <w:p>
      <w:pPr>
        <w:pStyle w:val="SourceCode"/>
      </w:pPr>
      <w:r>
        <w:rPr>
          <w:rStyle w:val="VerbatimChar"/>
        </w:rPr>
        <w:t xml:space="preserve">aggregate_id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causation_id</w:t>
      </w:r>
      <w:r>
        <w:br/>
      </w:r>
      <w:r>
        <w:rPr>
          <w:rStyle w:val="VerbatimChar"/>
        </w:rPr>
        <w:t xml:space="preserve">Idempotency-Key</w:t>
      </w:r>
      <w:r>
        <w:br/>
      </w:r>
      <w:r>
        <w:rPr>
          <w:rStyle w:val="VerbatimChar"/>
        </w:rPr>
        <w:t xml:space="preserve">external_id</w:t>
      </w:r>
    </w:p>
    <w:p>
      <w:pPr>
        <w:pStyle w:val="FirstParagraph"/>
      </w:pPr>
      <w:r>
        <w:t xml:space="preserve">Cada um possui finalidade diferente.</w:t>
      </w:r>
    </w:p>
    <w:p>
      <w:r>
        <w:pict>
          <v:rect style="width:0;height:1.5pt" o:hralign="center" o:hrstd="t" o:hr="t"/>
        </w:pict>
      </w:r>
    </w:p>
    <w:bookmarkEnd w:id="16"/>
    <w:bookmarkStart w:id="17" w:name="event-type"/>
    <w:p>
      <w:pPr>
        <w:pStyle w:val="Heading1"/>
      </w:pPr>
      <w:r>
        <w:t xml:space="preserve">8. Event Type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com.minihub.order.created</w:t>
      </w:r>
      <w:r>
        <w:br/>
      </w:r>
      <w:r>
        <w:rPr>
          <w:rStyle w:val="VerbatimChar"/>
        </w:rPr>
        <w:t xml:space="preserve">com.minihub.payment.confirmed</w:t>
      </w:r>
      <w:r>
        <w:br/>
      </w:r>
      <w:r>
        <w:rPr>
          <w:rStyle w:val="VerbatimChar"/>
        </w:rPr>
        <w:t xml:space="preserve">com.minihub.shipment.delivered</w:t>
      </w:r>
      <w:r>
        <w:br/>
      </w:r>
      <w:r>
        <w:rPr>
          <w:rStyle w:val="VerbatimChar"/>
        </w:rPr>
        <w:t xml:space="preserve">com.minihub.garage.item_received</w:t>
      </w:r>
    </w:p>
    <w:p>
      <w:pPr>
        <w:pStyle w:val="FirstParagraph"/>
      </w:pPr>
      <w:r>
        <w:t xml:space="preserve">O tipo representa o fato ocorrido.</w:t>
      </w:r>
    </w:p>
    <w:p>
      <w:pPr>
        <w:pStyle w:val="BodyText"/>
      </w:pPr>
      <w:r>
        <w:t xml:space="preserve">Não deverá representar uma solicitação.</w:t>
      </w:r>
    </w:p>
    <w:p>
      <w:pPr>
        <w:pStyle w:val="BodyText"/>
      </w:pPr>
      <w:r>
        <w:t xml:space="preserve">Correto:</w:t>
      </w:r>
    </w:p>
    <w:p>
      <w:pPr>
        <w:pStyle w:val="SourceCode"/>
      </w:pPr>
      <w:r>
        <w:rPr>
          <w:rStyle w:val="VerbatimChar"/>
        </w:rPr>
        <w:t xml:space="preserve">OrderCreated</w:t>
      </w:r>
    </w:p>
    <w:p>
      <w:pPr>
        <w:pStyle w:val="FirstParagraph"/>
      </w:pPr>
      <w:r>
        <w:t xml:space="preserve">Incorreto:</w:t>
      </w:r>
    </w:p>
    <w:p>
      <w:pPr>
        <w:pStyle w:val="SourceCode"/>
      </w:pPr>
      <w:r>
        <w:rPr>
          <w:rStyle w:val="VerbatimChar"/>
        </w:rPr>
        <w:t xml:space="preserve">CreateOrder</w:t>
      </w:r>
    </w:p>
    <w:p>
      <w:pPr>
        <w:pStyle w:val="FirstParagraph"/>
      </w:pPr>
      <w:r>
        <w:t xml:space="preserve">Porque:</w:t>
      </w:r>
    </w:p>
    <w:p>
      <w:pPr>
        <w:pStyle w:val="SourceCode"/>
      </w:pPr>
      <w:r>
        <w:rPr>
          <w:rStyle w:val="VerbatimChar"/>
        </w:rPr>
        <w:t xml:space="preserve">Command = intenção</w:t>
      </w:r>
      <w:r>
        <w:br/>
      </w:r>
      <w:r>
        <w:br/>
      </w:r>
      <w:r>
        <w:rPr>
          <w:rStyle w:val="VerbatimChar"/>
        </w:rPr>
        <w:t xml:space="preserve">Event = fato ocorrido</w:t>
      </w:r>
    </w:p>
    <w:p>
      <w:r>
        <w:pict>
          <v:rect style="width:0;height:1.5pt" o:hralign="center" o:hrstd="t" o:hr="t"/>
        </w:pict>
      </w:r>
    </w:p>
    <w:bookmarkEnd w:id="17"/>
    <w:bookmarkStart w:id="18" w:name="event-version"/>
    <w:p>
      <w:pPr>
        <w:pStyle w:val="Heading1"/>
      </w:pPr>
      <w:r>
        <w:t xml:space="preserve">9. Event Version</w:t>
      </w:r>
    </w:p>
    <w:p>
      <w:pPr>
        <w:pStyle w:val="FirstParagraph"/>
      </w:pPr>
      <w:r>
        <w:t xml:space="preserve">Cada evento possuirá:</w:t>
      </w:r>
    </w:p>
    <w:p>
      <w:pPr>
        <w:pStyle w:val="SourceCode"/>
      </w:pPr>
      <w:r>
        <w:rPr>
          <w:rStyle w:val="VerbatimChar"/>
        </w:rPr>
        <w:t xml:space="preserve">event_version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A versão do evento é independente da versão da API.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event_version = 1</w:t>
      </w:r>
    </w:p>
    <w:p>
      <w:r>
        <w:pict>
          <v:rect style="width:0;height:1.5pt" o:hralign="center" o:hrstd="t" o:hr="t"/>
        </w:pict>
      </w:r>
    </w:p>
    <w:bookmarkEnd w:id="18"/>
    <w:bookmarkStart w:id="19" w:name="aggregate"/>
    <w:p>
      <w:pPr>
        <w:pStyle w:val="Heading1"/>
      </w:pPr>
      <w:r>
        <w:t xml:space="preserve">10. Aggregate</w:t>
      </w:r>
    </w:p>
    <w:p>
      <w:pPr>
        <w:pStyle w:val="FirstParagraph"/>
      </w:pPr>
      <w:r>
        <w:t xml:space="preserve">O evento deverá identificar o agregado relacionado.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aggregate_type = ORDER</w:t>
      </w:r>
      <w:r>
        <w:br/>
      </w:r>
      <w:r>
        <w:rPr>
          <w:rStyle w:val="VerbatimChar"/>
        </w:rPr>
        <w:t xml:space="preserve">aggregate_id   = 019...</w:t>
      </w:r>
    </w:p>
    <w:p>
      <w:pPr>
        <w:pStyle w:val="FirstParagraph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aggregate_type = PAYMENT</w:t>
      </w:r>
      <w:r>
        <w:br/>
      </w:r>
      <w:r>
        <w:rPr>
          <w:rStyle w:val="VerbatimChar"/>
        </w:rPr>
        <w:t xml:space="preserve">aggregate_id   = 019...</w:t>
      </w:r>
    </w:p>
    <w:p>
      <w:pPr>
        <w:pStyle w:val="FirstParagraph"/>
      </w:pPr>
      <w:r>
        <w:t xml:space="preserve">Isso permitirá:</w:t>
      </w:r>
    </w:p>
    <w:p>
      <w:pPr>
        <w:pStyle w:val="SourceCode"/>
      </w:pPr>
      <w:r>
        <w:rPr>
          <w:rStyle w:val="VerbatimChar"/>
        </w:rPr>
        <w:t xml:space="preserve">rastreamento</w:t>
      </w:r>
      <w:r>
        <w:br/>
      </w:r>
      <w:r>
        <w:rPr>
          <w:rStyle w:val="VerbatimChar"/>
        </w:rPr>
        <w:t xml:space="preserve">correlação</w:t>
      </w:r>
      <w:r>
        <w:br/>
      </w:r>
      <w:r>
        <w:rPr>
          <w:rStyle w:val="VerbatimChar"/>
        </w:rPr>
        <w:t xml:space="preserve">ordenação lógica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diagnóstico</w:t>
      </w:r>
    </w:p>
    <w:p>
      <w:r>
        <w:pict>
          <v:rect style="width:0;height:1.5pt" o:hralign="center" o:hrstd="t" o:hr="t"/>
        </w:pict>
      </w:r>
    </w:p>
    <w:bookmarkEnd w:id="19"/>
    <w:bookmarkStart w:id="20" w:name="payload"/>
    <w:p>
      <w:pPr>
        <w:pStyle w:val="Heading1"/>
      </w:pPr>
      <w:r>
        <w:t xml:space="preserve">11. Payload</w:t>
      </w:r>
    </w:p>
    <w:p>
      <w:pPr>
        <w:pStyle w:val="FirstParagraph"/>
      </w:pPr>
      <w:r>
        <w:t xml:space="preserve">O payload deverá representar os dados necessários para o consumidor.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15990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consumidor não deverá precisar consultar diretamente as tabelas internas do domínio produtor apenas para descobrir o significado básico do evento.</w:t>
      </w:r>
    </w:p>
    <w:p>
      <w:r>
        <w:pict>
          <v:rect style="width:0;height:1.5pt" o:hralign="center" o:hrstd="t" o:hr="t"/>
        </w:pict>
      </w:r>
    </w:p>
    <w:bookmarkEnd w:id="20"/>
    <w:bookmarkStart w:id="21" w:name="snapshot-versus-referência"/>
    <w:p>
      <w:pPr>
        <w:pStyle w:val="Heading1"/>
      </w:pPr>
      <w:r>
        <w:t xml:space="preserve">12. Snapshot versus referência</w:t>
      </w:r>
    </w:p>
    <w:p>
      <w:pPr>
        <w:pStyle w:val="FirstParagraph"/>
      </w:pPr>
      <w:r>
        <w:t xml:space="preserve">Eventos poderão carregar:</w:t>
      </w:r>
    </w:p>
    <w:p>
      <w:pPr>
        <w:pStyle w:val="SourceCode"/>
      </w:pPr>
      <w:r>
        <w:rPr>
          <w:rStyle w:val="VerbatimChar"/>
        </w:rPr>
        <w:t xml:space="preserve">identificadores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dados necessários</w:t>
      </w:r>
    </w:p>
    <w:p>
      <w:pPr>
        <w:pStyle w:val="FirstParagraph"/>
      </w:pPr>
      <w:r>
        <w:t xml:space="preserve">mas não deverão carregar indiscriminadamente todo o agregado.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OrderCreated</w:t>
      </w:r>
    </w:p>
    <w:p>
      <w:pPr>
        <w:pStyle w:val="FirstParagraph"/>
      </w:pPr>
      <w:r>
        <w:t xml:space="preserve">não deverá necessariamente carregar:</w:t>
      </w:r>
    </w:p>
    <w:p>
      <w:pPr>
        <w:pStyle w:val="SourceCode"/>
      </w:pPr>
      <w:r>
        <w:rPr>
          <w:rStyle w:val="VerbatimChar"/>
        </w:rPr>
        <w:t xml:space="preserve">todo perfil do usuário</w:t>
      </w:r>
      <w:r>
        <w:br/>
      </w:r>
      <w:r>
        <w:rPr>
          <w:rStyle w:val="VerbatimChar"/>
        </w:rPr>
        <w:t xml:space="preserve">todo catálogo</w:t>
      </w:r>
      <w:r>
        <w:br/>
      </w:r>
      <w:r>
        <w:rPr>
          <w:rStyle w:val="VerbatimChar"/>
        </w:rPr>
        <w:t xml:space="preserve">todas as preferências</w:t>
      </w:r>
      <w:r>
        <w:br/>
      </w:r>
      <w:r>
        <w:rPr>
          <w:rStyle w:val="VerbatimChar"/>
        </w:rPr>
        <w:t xml:space="preserve">toda situação financeira</w:t>
      </w:r>
    </w:p>
    <w:p>
      <w:pPr>
        <w:pStyle w:val="FirstParagraph"/>
      </w:pPr>
      <w:r>
        <w:t xml:space="preserve">Somente os dados necessários para o evento.</w:t>
      </w:r>
    </w:p>
    <w:p>
      <w:r>
        <w:pict>
          <v:rect style="width:0;height:1.5pt" o:hralign="center" o:hrstd="t" o:hr="t"/>
        </w:pict>
      </w:r>
    </w:p>
    <w:bookmarkEnd w:id="21"/>
    <w:bookmarkStart w:id="22" w:name="correlation-id"/>
    <w:p>
      <w:pPr>
        <w:pStyle w:val="Heading1"/>
      </w:pPr>
      <w:r>
        <w:t xml:space="preserve">13. Correlation ID</w:t>
      </w:r>
    </w:p>
    <w:p>
      <w:pPr>
        <w:pStyle w:val="FirstParagraph"/>
      </w:pPr>
      <w:r>
        <w:t xml:space="preserve">Toda operação relevante deverá possuir: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Order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PaymentConfirmed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O mesmo: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permitirá reconstruir a cadeia operacional.</w:t>
      </w:r>
    </w:p>
    <w:p>
      <w:r>
        <w:pict>
          <v:rect style="width:0;height:1.5pt" o:hralign="center" o:hrstd="t" o:hr="t"/>
        </w:pict>
      </w:r>
    </w:p>
    <w:bookmarkEnd w:id="22"/>
    <w:bookmarkStart w:id="23" w:name="causation-id"/>
    <w:p>
      <w:pPr>
        <w:pStyle w:val="Heading1"/>
      </w:pPr>
      <w:r>
        <w:t xml:space="preserve">14. Causation ID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causation_id</w:t>
      </w:r>
    </w:p>
    <w:p>
      <w:pPr>
        <w:pStyle w:val="FirstParagraph"/>
      </w:pPr>
      <w:r>
        <w:t xml:space="preserve">representará o evento ou comando que originou determinado processamento.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PaymentRequested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PaymentConfirmed</w:t>
      </w:r>
    </w:p>
    <w:p>
      <w:pPr>
        <w:pStyle w:val="FirstParagraph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PaymentConfirmed.causation_id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PaymentRequested.id</w:t>
      </w:r>
    </w:p>
    <w:p>
      <w:pPr>
        <w:pStyle w:val="FirstParagraph"/>
      </w:pPr>
      <w:r>
        <w:t xml:space="preserve">quando essa relação existir.</w:t>
      </w:r>
    </w:p>
    <w:p>
      <w:r>
        <w:pict>
          <v:rect style="width:0;height:1.5pt" o:hralign="center" o:hrstd="t" o:hr="t"/>
        </w:pict>
      </w:r>
    </w:p>
    <w:bookmarkEnd w:id="23"/>
    <w:bookmarkStart w:id="24" w:name="status"/>
    <w:p>
      <w:pPr>
        <w:pStyle w:val="Heading1"/>
      </w:pPr>
      <w:r>
        <w:t xml:space="preserve">15. Status</w:t>
      </w:r>
    </w:p>
    <w:p>
      <w:pPr>
        <w:pStyle w:val="FirstParagraph"/>
      </w:pPr>
      <w:r>
        <w:t xml:space="preserve">Status inicial: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Em caso de erro: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PENDING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DLQ / intervenção</w:t>
      </w:r>
    </w:p>
    <w:p>
      <w:pPr>
        <w:pStyle w:val="FirstParagraph"/>
      </w:pPr>
      <w:r>
        <w:t xml:space="preserve">conforme política do worker.</w:t>
      </w:r>
    </w:p>
    <w:p>
      <w:r>
        <w:pict>
          <v:rect style="width:0;height:1.5pt" o:hralign="center" o:hrstd="t" o:hr="t"/>
        </w:pict>
      </w:r>
    </w:p>
    <w:bookmarkEnd w:id="24"/>
    <w:bookmarkStart w:id="25" w:name="publisher"/>
    <w:p>
      <w:pPr>
        <w:pStyle w:val="Heading1"/>
      </w:pPr>
      <w:r>
        <w:t xml:space="preserve">16. Publisher</w:t>
      </w:r>
    </w:p>
    <w:p>
      <w:pPr>
        <w:pStyle w:val="FirstParagraph"/>
      </w:pPr>
      <w:r>
        <w:t xml:space="preserve">O Outbox Publisher deverá:</w:t>
      </w:r>
    </w:p>
    <w:p>
      <w:pPr>
        <w:pStyle w:val="SourceCode"/>
      </w:pPr>
      <w:r>
        <w:rPr>
          <w:rStyle w:val="VerbatimChar"/>
        </w:rPr>
        <w:t xml:space="preserve">1. Buscar eventos PENDING</w:t>
      </w:r>
      <w:r>
        <w:br/>
      </w:r>
      <w:r>
        <w:rPr>
          <w:rStyle w:val="VerbatimChar"/>
        </w:rPr>
        <w:t xml:space="preserve">2. Adquirir lote</w:t>
      </w:r>
      <w:r>
        <w:br/>
      </w:r>
      <w:r>
        <w:rPr>
          <w:rStyle w:val="VerbatimChar"/>
        </w:rPr>
        <w:t xml:space="preserve">3. Evitar processamento concorrente indevido</w:t>
      </w:r>
      <w:r>
        <w:br/>
      </w:r>
      <w:r>
        <w:rPr>
          <w:rStyle w:val="VerbatimChar"/>
        </w:rPr>
        <w:t xml:space="preserve">4. Publicar na fila</w:t>
      </w:r>
      <w:r>
        <w:br/>
      </w:r>
      <w:r>
        <w:rPr>
          <w:rStyle w:val="VerbatimChar"/>
        </w:rPr>
        <w:t xml:space="preserve">5. Registrar resultado</w:t>
      </w:r>
      <w:r>
        <w:br/>
      </w:r>
      <w:r>
        <w:rPr>
          <w:rStyle w:val="VerbatimChar"/>
        </w:rPr>
        <w:t xml:space="preserve">6. Atualizar tentativa</w:t>
      </w:r>
      <w:r>
        <w:br/>
      </w:r>
      <w:r>
        <w:rPr>
          <w:rStyle w:val="VerbatimChar"/>
        </w:rPr>
        <w:t xml:space="preserve">7. Reprocessar falhas transitórias</w:t>
      </w:r>
    </w:p>
    <w:p>
      <w:r>
        <w:pict>
          <v:rect style="width:0;height:1.5pt" o:hralign="center" o:hrstd="t" o:hr="t"/>
        </w:pict>
      </w:r>
    </w:p>
    <w:bookmarkEnd w:id="25"/>
    <w:bookmarkStart w:id="26" w:name="concorrência"/>
    <w:p>
      <w:pPr>
        <w:pStyle w:val="Heading1"/>
      </w:pPr>
      <w:r>
        <w:t xml:space="preserve">17. Concorrência</w:t>
      </w:r>
    </w:p>
    <w:p>
      <w:pPr>
        <w:pStyle w:val="FirstParagraph"/>
      </w:pPr>
      <w:r>
        <w:t xml:space="preserve">Dois publishers não deverão processar indefinidamente o mesmo registro simultaneamente.</w:t>
      </w:r>
    </w:p>
    <w:p>
      <w:pPr>
        <w:pStyle w:val="BodyText"/>
      </w:pPr>
      <w:r>
        <w:t xml:space="preserve">O mecanismo deverá utilizar recursos transacionais do PostgreSQL, por exemplo:</w:t>
      </w:r>
    </w:p>
    <w:p>
      <w:pPr>
        <w:pStyle w:val="SourceCode"/>
      </w:pPr>
      <w:r>
        <w:rPr>
          <w:rStyle w:val="VerbatimChar"/>
        </w:rPr>
        <w:t xml:space="preserve">FOR UPDATE SKIP LOCKED</w:t>
      </w:r>
    </w:p>
    <w:p>
      <w:pPr>
        <w:pStyle w:val="FirstParagraph"/>
      </w:pPr>
      <w:r>
        <w:t xml:space="preserve">quando adequado à implementação.</w:t>
      </w:r>
    </w:p>
    <w:p>
      <w:r>
        <w:pict>
          <v:rect style="width:0;height:1.5pt" o:hralign="center" o:hrstd="t" o:hr="t"/>
        </w:pict>
      </w:r>
    </w:p>
    <w:bookmarkEnd w:id="26"/>
    <w:bookmarkStart w:id="27" w:name="falha-após-publicação"/>
    <w:p>
      <w:pPr>
        <w:pStyle w:val="Heading1"/>
      </w:pPr>
      <w:r>
        <w:t xml:space="preserve">18. Falha após publicação</w:t>
      </w:r>
    </w:p>
    <w:p>
      <w:pPr>
        <w:pStyle w:val="FirstParagraph"/>
      </w:pPr>
      <w:r>
        <w:t xml:space="preserve">Existe uma situação importante:</w:t>
      </w:r>
    </w:p>
    <w:p>
      <w:pPr>
        <w:pStyle w:val="SourceCode"/>
      </w:pPr>
      <w:r>
        <w:rPr>
          <w:rStyle w:val="VerbatimChar"/>
        </w:rPr>
        <w:t xml:space="preserve">Publish Event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Queue recebeu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Aplicação caiu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Banco ainda mostra PENDING</w:t>
      </w:r>
    </w:p>
    <w:p>
      <w:pPr>
        <w:pStyle w:val="FirstParagraph"/>
      </w:pPr>
      <w:r>
        <w:t xml:space="preserve">O publisher poderá publicar novamente.</w:t>
      </w:r>
    </w:p>
    <w:p>
      <w:pPr>
        <w:pStyle w:val="BodyText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O MiniHub não assumirá exatamente uma publicação.</w:t>
      </w:r>
    </w:p>
    <w:p>
      <w:pPr>
        <w:pStyle w:val="FirstParagraph"/>
      </w:pPr>
      <w:r>
        <w:t xml:space="preserve">O consumidor deverá ser idempotente.</w:t>
      </w:r>
    </w:p>
    <w:p>
      <w:pPr>
        <w:pStyle w:val="BodyText"/>
      </w:pPr>
      <w:r>
        <w:t xml:space="preserve">Essa é uma consequência natural de arquiteturas com entrega pelo menos uma vez.</w:t>
      </w:r>
    </w:p>
    <w:p>
      <w:r>
        <w:pict>
          <v:rect style="width:0;height:1.5pt" o:hralign="center" o:hrstd="t" o:hr="t"/>
        </w:pict>
      </w:r>
    </w:p>
    <w:bookmarkEnd w:id="27"/>
    <w:bookmarkStart w:id="28" w:name="idempotência"/>
    <w:p>
      <w:pPr>
        <w:pStyle w:val="Heading1"/>
      </w:pPr>
      <w:r>
        <w:t xml:space="preserve">19. Idempotência</w:t>
      </w:r>
    </w:p>
    <w:p>
      <w:pPr>
        <w:pStyle w:val="FirstParagraph"/>
      </w:pPr>
      <w:r>
        <w:t xml:space="preserve">O processamento de eventos deverá utilizar o mecanismo definido no:</w:t>
      </w:r>
    </w:p>
    <w:p>
      <w:pPr>
        <w:pStyle w:val="SourceCode"/>
      </w:pPr>
      <w:r>
        <w:rPr>
          <w:rStyle w:val="VerbatimChar"/>
        </w:rPr>
        <w:t xml:space="preserve">ADR-009 — Idempotency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event_id = 019ABC</w:t>
      </w:r>
    </w:p>
    <w:p>
      <w:pPr>
        <w:pStyle w:val="FirstParagraph"/>
      </w:pPr>
      <w:r>
        <w:t xml:space="preserve">Se o mesmo evento chegar novamente:</w:t>
      </w:r>
    </w:p>
    <w:p>
      <w:pPr>
        <w:pStyle w:val="SourceCode"/>
      </w:pPr>
      <w:r>
        <w:rPr>
          <w:rStyle w:val="VerbatimChar"/>
        </w:rPr>
        <w:t xml:space="preserve">019ABC</w:t>
      </w:r>
    </w:p>
    <w:p>
      <w:pPr>
        <w:pStyle w:val="FirstParagraph"/>
      </w:pPr>
      <w:r>
        <w:t xml:space="preserve">o consumidor deverá reconhecer que já foi processado.</w:t>
      </w:r>
    </w:p>
    <w:p>
      <w:r>
        <w:pict>
          <v:rect style="width:0;height:1.5pt" o:hralign="center" o:hrstd="t" o:hr="t"/>
        </w:pict>
      </w:r>
    </w:p>
    <w:bookmarkEnd w:id="28"/>
    <w:bookmarkStart w:id="29" w:name="outbox-não-é-event-sourcing"/>
    <w:p>
      <w:pPr>
        <w:pStyle w:val="Heading1"/>
      </w:pPr>
      <w:r>
        <w:t xml:space="preserve">20. Outbox não é Event Sourcing</w:t>
      </w:r>
    </w:p>
    <w:p>
      <w:pPr>
        <w:pStyle w:val="FirstParagraph"/>
      </w:pPr>
      <w:r>
        <w:t xml:space="preserve">O MiniHub utilizará:</w:t>
      </w:r>
    </w:p>
    <w:p>
      <w:pPr>
        <w:pStyle w:val="SourceCode"/>
      </w:pPr>
      <w:r>
        <w:rPr>
          <w:rStyle w:val="VerbatimChar"/>
        </w:rPr>
        <w:t xml:space="preserve">Transactional Outbox</w:t>
      </w:r>
    </w:p>
    <w:p>
      <w:pPr>
        <w:pStyle w:val="FirstParagraph"/>
      </w:pPr>
      <w:r>
        <w:t xml:space="preserve">mas não adotará automaticamente:</w:t>
      </w:r>
    </w:p>
    <w:p>
      <w:pPr>
        <w:pStyle w:val="SourceCode"/>
      </w:pPr>
      <w:r>
        <w:rPr>
          <w:rStyle w:val="VerbatimChar"/>
        </w:rPr>
        <w:t xml:space="preserve">Event Sourcing</w:t>
      </w:r>
    </w:p>
    <w:p>
      <w:pPr>
        <w:pStyle w:val="FirstParagraph"/>
      </w:pPr>
      <w:r>
        <w:t xml:space="preserve">Outbox significa:</w:t>
      </w:r>
    </w:p>
    <w:p>
      <w:pPr>
        <w:pStyle w:val="SourceCode"/>
      </w:pPr>
      <w:r>
        <w:rPr>
          <w:rStyle w:val="VerbatimChar"/>
        </w:rPr>
        <w:t xml:space="preserve">estado atual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eventos para integração/processamento</w:t>
      </w:r>
    </w:p>
    <w:p>
      <w:pPr>
        <w:pStyle w:val="FirstParagraph"/>
      </w:pPr>
      <w:r>
        <w:t xml:space="preserve">Event Sourcing seria outra arquitetura:</w:t>
      </w:r>
    </w:p>
    <w:p>
      <w:pPr>
        <w:pStyle w:val="SourceCode"/>
      </w:pP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estado derivado</w:t>
      </w:r>
    </w:p>
    <w:p>
      <w:pPr>
        <w:pStyle w:val="FirstParagraph"/>
      </w:pPr>
      <w:r>
        <w:t xml:space="preserve">O MiniHub continuará utilizando suas tabelas transacionais como fonte de verdade.</w:t>
      </w:r>
    </w:p>
    <w:p>
      <w:r>
        <w:pict>
          <v:rect style="width:0;height:1.5pt" o:hralign="center" o:hrstd="t" o:hr="t"/>
        </w:pict>
      </w:r>
    </w:p>
    <w:bookmarkEnd w:id="29"/>
    <w:bookmarkStart w:id="30" w:name="outbox-não-é-event-bus"/>
    <w:p>
      <w:pPr>
        <w:pStyle w:val="Heading1"/>
      </w:pPr>
      <w:r>
        <w:t xml:space="preserve">21. Outbox não é Event Bus</w:t>
      </w:r>
    </w:p>
    <w:p>
      <w:pPr>
        <w:pStyle w:val="FirstParagraph"/>
      </w:pPr>
      <w:r>
        <w:t xml:space="preserve">A tabela:</w:t>
      </w:r>
    </w:p>
    <w:p>
      <w:pPr>
        <w:pStyle w:val="SourceCode"/>
      </w:pPr>
      <w:r>
        <w:rPr>
          <w:rStyle w:val="VerbatimChar"/>
        </w:rPr>
        <w:t xml:space="preserve">OUTBOX_EVENT</w:t>
      </w:r>
    </w:p>
    <w:p>
      <w:pPr>
        <w:pStyle w:val="FirstParagraph"/>
      </w:pPr>
      <w:r>
        <w:t xml:space="preserve">não é o mecanismo definitivo de distribuição.</w:t>
      </w:r>
    </w:p>
    <w:p>
      <w:pPr>
        <w:pStyle w:val="BodyText"/>
      </w:pPr>
      <w:r>
        <w:t xml:space="preserve">Ela é uma ponte confiável entre: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Messaging Infrastructure</w:t>
      </w:r>
    </w:p>
    <w:p>
      <w:r>
        <w:pict>
          <v:rect style="width:0;height:1.5pt" o:hralign="center" o:hrstd="t" o:hr="t"/>
        </w:pict>
      </w:r>
    </w:p>
    <w:bookmarkEnd w:id="30"/>
    <w:bookmarkStart w:id="31" w:name="publicação-assíncrona"/>
    <w:p>
      <w:pPr>
        <w:pStyle w:val="Heading1"/>
      </w:pPr>
      <w:r>
        <w:t xml:space="preserve">22. Publicação assíncrona</w:t>
      </w:r>
    </w:p>
    <w:p>
      <w:pPr>
        <w:pStyle w:val="FirstParagraph"/>
      </w:pPr>
      <w:r>
        <w:t xml:space="preserve">O domínio não deverá esperar: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para concluir a transação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 Created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HTTP 201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Notification Worker</w:t>
      </w:r>
    </w:p>
    <w:p>
      <w:r>
        <w:pict>
          <v:rect style="width:0;height:1.5pt" o:hralign="center" o:hrstd="t" o:hr="t"/>
        </w:pict>
      </w:r>
    </w:p>
    <w:bookmarkEnd w:id="31"/>
    <w:bookmarkStart w:id="32" w:name="retenção"/>
    <w:p>
      <w:pPr>
        <w:pStyle w:val="Heading1"/>
      </w:pPr>
      <w:r>
        <w:t xml:space="preserve">23. Retenção</w:t>
      </w:r>
    </w:p>
    <w:p>
      <w:pPr>
        <w:pStyle w:val="FirstParagraph"/>
      </w:pPr>
      <w:r>
        <w:t xml:space="preserve">Eventos publicados poderão permanecer na Outbox por período definido pela política operacional.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retenção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archive/delete</w:t>
      </w:r>
    </w:p>
    <w:p>
      <w:pPr>
        <w:pStyle w:val="FirstParagraph"/>
      </w:pPr>
      <w:r>
        <w:t xml:space="preserve">A remoção não deverá ocorrer imediatamente sem permitir:</w:t>
      </w:r>
    </w:p>
    <w:p>
      <w:pPr>
        <w:pStyle w:val="SourceCode"/>
      </w:pPr>
      <w:r>
        <w:rPr>
          <w:rStyle w:val="VerbatimChar"/>
        </w:rPr>
        <w:t xml:space="preserve">diagnóstico</w:t>
      </w:r>
      <w:r>
        <w:br/>
      </w:r>
      <w:r>
        <w:rPr>
          <w:rStyle w:val="VerbatimChar"/>
        </w:rPr>
        <w:t xml:space="preserve">reprocessamento</w:t>
      </w:r>
      <w:r>
        <w:br/>
      </w:r>
      <w:r>
        <w:rPr>
          <w:rStyle w:val="VerbatimChar"/>
        </w:rPr>
        <w:t xml:space="preserve">auditoria operacional</w:t>
      </w:r>
    </w:p>
    <w:p>
      <w:pPr>
        <w:pStyle w:val="FirstParagraph"/>
      </w:pPr>
      <w:r>
        <w:t xml:space="preserve">O período definitivo será definido na infraestrutura.</w:t>
      </w:r>
    </w:p>
    <w:p>
      <w:r>
        <w:pict>
          <v:rect style="width:0;height:1.5pt" o:hralign="center" o:hrstd="t" o:hr="t"/>
        </w:pict>
      </w:r>
    </w:p>
    <w:bookmarkEnd w:id="32"/>
    <w:bookmarkStart w:id="33" w:name="observabilidade"/>
    <w:p>
      <w:pPr>
        <w:pStyle w:val="Heading1"/>
      </w:pPr>
      <w:r>
        <w:t xml:space="preserve">24. Observabilidade</w:t>
      </w:r>
    </w:p>
    <w:p>
      <w:pPr>
        <w:pStyle w:val="FirstParagraph"/>
      </w:pPr>
      <w:r>
        <w:t xml:space="preserve">O publisher deverá gerar:</w:t>
      </w:r>
    </w:p>
    <w:p>
      <w:pPr>
        <w:pStyle w:val="SourceCode"/>
      </w:pPr>
      <w:r>
        <w:rPr>
          <w:rStyle w:val="VerbatimChar"/>
        </w:rPr>
        <w:t xml:space="preserve">outbox.pending.count</w:t>
      </w:r>
      <w:r>
        <w:br/>
      </w:r>
      <w:r>
        <w:rPr>
          <w:rStyle w:val="VerbatimChar"/>
        </w:rPr>
        <w:t xml:space="preserve">outbox.processing.count</w:t>
      </w:r>
      <w:r>
        <w:br/>
      </w:r>
      <w:r>
        <w:rPr>
          <w:rStyle w:val="VerbatimChar"/>
        </w:rPr>
        <w:t xml:space="preserve">outbox.failed.count</w:t>
      </w:r>
      <w:r>
        <w:br/>
      </w:r>
      <w:r>
        <w:rPr>
          <w:rStyle w:val="VerbatimChar"/>
        </w:rPr>
        <w:t xml:space="preserve">outbox.publish.duration</w:t>
      </w:r>
      <w:r>
        <w:br/>
      </w:r>
      <w:r>
        <w:rPr>
          <w:rStyle w:val="VerbatimChar"/>
        </w:rPr>
        <w:t xml:space="preserve">outbox.publish.success</w:t>
      </w:r>
      <w:r>
        <w:br/>
      </w:r>
      <w:r>
        <w:rPr>
          <w:rStyle w:val="VerbatimChar"/>
        </w:rPr>
        <w:t xml:space="preserve">outbox.publish.failure</w:t>
      </w:r>
    </w:p>
    <w:p>
      <w:pPr>
        <w:pStyle w:val="FirstParagraph"/>
      </w:pPr>
      <w:r>
        <w:t xml:space="preserve">Também:</w:t>
      </w:r>
    </w:p>
    <w:p>
      <w:pPr>
        <w:pStyle w:val="SourceCode"/>
      </w:pP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aggregate_id</w:t>
      </w:r>
    </w:p>
    <w:p>
      <w:pPr>
        <w:pStyle w:val="FirstParagraph"/>
      </w:pPr>
      <w:r>
        <w:t xml:space="preserve">deverão estar disponíveis para diagnóstico.</w:t>
      </w:r>
    </w:p>
    <w:p>
      <w:r>
        <w:pict>
          <v:rect style="width:0;height:1.5pt" o:hralign="center" o:hrstd="t" o:hr="t"/>
        </w:pict>
      </w:r>
    </w:p>
    <w:bookmarkEnd w:id="33"/>
    <w:bookmarkStart w:id="34" w:name="segurança"/>
    <w:p>
      <w:pPr>
        <w:pStyle w:val="Heading1"/>
      </w:pPr>
      <w:r>
        <w:t xml:space="preserve">25. Segurança</w:t>
      </w:r>
    </w:p>
    <w:p>
      <w:pPr>
        <w:pStyle w:val="FirstParagraph"/>
      </w:pPr>
      <w:r>
        <w:t xml:space="preserve">O payload não deverá conter:</w:t>
      </w:r>
    </w:p>
    <w:p>
      <w:pPr>
        <w:pStyle w:val="SourceCode"/>
      </w:pPr>
      <w:r>
        <w:rPr>
          <w:rStyle w:val="VerbatimChar"/>
        </w:rPr>
        <w:t xml:space="preserve">senha</w:t>
      </w:r>
      <w:r>
        <w:br/>
      </w: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CVV</w:t>
      </w:r>
      <w:r>
        <w:br/>
      </w:r>
      <w:r>
        <w:rPr>
          <w:rStyle w:val="VerbatimChar"/>
        </w:rPr>
        <w:t xml:space="preserve">número completo de cartão</w:t>
      </w:r>
      <w:r>
        <w:br/>
      </w:r>
      <w:r>
        <w:rPr>
          <w:rStyle w:val="VerbatimChar"/>
        </w:rPr>
        <w:t xml:space="preserve">segredos</w:t>
      </w:r>
      <w:r>
        <w:br/>
      </w:r>
      <w:r>
        <w:rPr>
          <w:rStyle w:val="VerbatimChar"/>
        </w:rPr>
        <w:t xml:space="preserve">credenciais</w:t>
      </w:r>
    </w:p>
    <w:p>
      <w:pPr>
        <w:pStyle w:val="FirstParagraph"/>
      </w:pPr>
      <w:r>
        <w:t xml:space="preserve">Dados pessoais deverão ser incluídos somente quando necessários.</w:t>
      </w:r>
    </w:p>
    <w:p>
      <w:r>
        <w:pict>
          <v:rect style="width:0;height:1.5pt" o:hralign="center" o:hrstd="t" o:hr="t"/>
        </w:pict>
      </w:r>
    </w:p>
    <w:bookmarkEnd w:id="34"/>
    <w:bookmarkStart w:id="35" w:name="eventos-financeiros"/>
    <w:p>
      <w:pPr>
        <w:pStyle w:val="Heading1"/>
      </w:pPr>
      <w:r>
        <w:t xml:space="preserve">26. Eventos financeiros</w:t>
      </w:r>
    </w:p>
    <w:p>
      <w:pPr>
        <w:pStyle w:val="FirstParagraph"/>
      </w:pPr>
      <w:r>
        <w:t xml:space="preserve">Eventos financeiros deverão respeitar especialmente as regras do:</w:t>
      </w:r>
    </w:p>
    <w:p>
      <w:pPr>
        <w:pStyle w:val="SourceCode"/>
      </w:pPr>
      <w:r>
        <w:rPr>
          <w:rStyle w:val="VerbatimChar"/>
        </w:rPr>
        <w:t xml:space="preserve">E13 — Finance</w:t>
      </w:r>
      <w:r>
        <w:br/>
      </w:r>
      <w:r>
        <w:rPr>
          <w:rStyle w:val="VerbatimChar"/>
        </w:rPr>
        <w:t xml:space="preserve">ADR-004 — Money</w:t>
      </w:r>
      <w:r>
        <w:br/>
      </w:r>
      <w:r>
        <w:rPr>
          <w:rStyle w:val="VerbatimChar"/>
        </w:rPr>
        <w:t xml:space="preserve">ADR-009 — Idempotency</w:t>
      </w:r>
    </w:p>
    <w:p>
      <w:pPr>
        <w:pStyle w:val="FirstParagraph"/>
      </w:pPr>
      <w:r>
        <w:t xml:space="preserve">O evento:</w:t>
      </w:r>
    </w:p>
    <w:p>
      <w:pPr>
        <w:pStyle w:val="SourceCode"/>
      </w:pPr>
      <w:r>
        <w:rPr>
          <w:rStyle w:val="VerbatimChar"/>
        </w:rPr>
        <w:t xml:space="preserve">PaymentConfirmed</w:t>
      </w:r>
    </w:p>
    <w:p>
      <w:pPr>
        <w:pStyle w:val="FirstParagraph"/>
      </w:pPr>
      <w:r>
        <w:t xml:space="preserve">não deverá permitir que um consumidor crie automaticamente um lançamento financeiro duplicado.</w:t>
      </w:r>
    </w:p>
    <w:p>
      <w:r>
        <w:pict>
          <v:rect style="width:0;height:1.5pt" o:hralign="center" o:hrstd="t" o:hr="t"/>
        </w:pict>
      </w:r>
    </w:p>
    <w:bookmarkEnd w:id="35"/>
    <w:bookmarkStart w:id="36" w:name="integração-com-e23"/>
    <w:p>
      <w:pPr>
        <w:pStyle w:val="Heading1"/>
      </w:pPr>
      <w:r>
        <w:t xml:space="preserve">27. Integração com E23</w:t>
      </w:r>
    </w:p>
    <w:p>
      <w:pPr>
        <w:pStyle w:val="FirstParagraph"/>
      </w:pPr>
      <w:r>
        <w:t xml:space="preserve">O ADR-010 define:</w:t>
      </w:r>
    </w:p>
    <w:p>
      <w:pPr>
        <w:pStyle w:val="SourceCode"/>
      </w:pPr>
      <w:r>
        <w:rPr>
          <w:rStyle w:val="VerbatimChar"/>
        </w:rPr>
        <w:t xml:space="preserve">como o evento nasce</w:t>
      </w:r>
    </w:p>
    <w:p>
      <w:pPr>
        <w:pStyle w:val="FirstParagraph"/>
      </w:pPr>
      <w:r>
        <w:t xml:space="preserve">O E23 definirá:</w:t>
      </w:r>
    </w:p>
    <w:p>
      <w:pPr>
        <w:pStyle w:val="SourceCode"/>
      </w:pPr>
      <w:r>
        <w:rPr>
          <w:rStyle w:val="VerbatimChar"/>
        </w:rPr>
        <w:t xml:space="preserve">como o evento é processado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WORKER</w:t>
      </w:r>
    </w:p>
    <w:p>
      <w:r>
        <w:pict>
          <v:rect style="width:0;height:1.5pt" o:hralign="center" o:hrstd="t" o:hr="t"/>
        </w:pict>
      </w:r>
    </w:p>
    <w:bookmarkEnd w:id="36"/>
    <w:bookmarkStart w:id="37" w:name="decisão-final"/>
    <w:p>
      <w:pPr>
        <w:pStyle w:val="Heading1"/>
      </w:pPr>
      <w:r>
        <w:t xml:space="preserve">28. Decisão final</w:t>
      </w:r>
    </w:p>
    <w:p>
      <w:pPr>
        <w:pStyle w:val="FirstParagraph"/>
      </w:pPr>
      <w:r>
        <w:t xml:space="preserve">O MiniHub adotará</w:t>
      </w:r>
      <w:r>
        <w:t xml:space="preserve"> </w:t>
      </w:r>
      <w:r>
        <w:rPr>
          <w:b/>
          <w:bCs/>
        </w:rPr>
        <w:t xml:space="preserve">Transactional Outbox com PostgreSQL</w:t>
      </w:r>
      <w:r>
        <w:t xml:space="preserve">.</w:t>
      </w:r>
    </w:p>
    <w:p>
      <w:pPr>
        <w:pStyle w:val="BodyText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OUTBOX_EVENT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</w:p>
    <w:p>
      <w:pPr>
        <w:pStyle w:val="FirstParagraph"/>
      </w:pPr>
      <w:r>
        <w:t xml:space="preserve">O uso de CDC poderá ser avaliado futuramente, mas não será requisito inicial.</w:t>
      </w:r>
    </w:p>
    <w:p>
      <w:r>
        <w:pict>
          <v:rect style="width:0;height:1.5pt" o:hralign="center" o:hrstd="t" o:hr="t"/>
        </w:pict>
      </w:r>
    </w:p>
    <w:bookmarkEnd w:id="37"/>
    <w:bookmarkStart w:id="38" w:name="regras-congeladas"/>
    <w:p>
      <w:pPr>
        <w:pStyle w:val="Heading1"/>
      </w:pPr>
      <w:r>
        <w:t xml:space="preserve">29. Regras congeladas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ADR10.01</w:t>
            </w:r>
          </w:p>
        </w:tc>
        <w:tc>
          <w:tcPr/>
          <w:p>
            <w:pPr>
              <w:pStyle w:val="Compact"/>
            </w:pPr>
            <w:r>
              <w:t xml:space="preserve">Estado de negócio e Outbox serão gravados na mesma transação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ADR10.02</w:t>
            </w:r>
          </w:p>
        </w:tc>
        <w:tc>
          <w:tcPr/>
          <w:p>
            <w:pPr>
              <w:pStyle w:val="Compact"/>
            </w:pPr>
            <w:r>
              <w:t xml:space="preserve">Eventos só serão publicados após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ADR10.03</w:t>
            </w:r>
          </w:p>
        </w:tc>
        <w:tc>
          <w:tcPr/>
          <w:p>
            <w:pPr>
              <w:pStyle w:val="Compact"/>
            </w:pPr>
            <w:r>
              <w:t xml:space="preserve">Outbox não será Event Sourcing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ADR10.04</w:t>
            </w:r>
          </w:p>
        </w:tc>
        <w:tc>
          <w:tcPr/>
          <w:p>
            <w:pPr>
              <w:pStyle w:val="Compact"/>
            </w:pPr>
            <w:r>
              <w:t xml:space="preserve">Outbox não será Event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ADR10.05</w:t>
            </w:r>
          </w:p>
        </w:tc>
        <w:tc>
          <w:tcPr/>
          <w:p>
            <w:pPr>
              <w:pStyle w:val="Compact"/>
            </w:pPr>
            <w:r>
              <w:t xml:space="preserve">Consumidores deverão ser idempotentes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ADR10.06</w:t>
            </w:r>
          </w:p>
        </w:tc>
        <w:tc>
          <w:tcPr/>
          <w:p>
            <w:pPr>
              <w:pStyle w:val="Compact"/>
            </w:pPr>
            <w:r>
              <w:t xml:space="preserve">Eventos possuirão 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ADR10.07</w:t>
            </w:r>
          </w:p>
        </w:tc>
        <w:tc>
          <w:tcPr/>
          <w:p>
            <w:pPr>
              <w:pStyle w:val="Compact"/>
            </w:pPr>
            <w:r>
              <w:t xml:space="preserve">Eventos possuirão correlation_id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ADR10.08</w:t>
            </w:r>
          </w:p>
        </w:tc>
        <w:tc>
          <w:tcPr/>
          <w:p>
            <w:pPr>
              <w:pStyle w:val="Compact"/>
            </w:pPr>
            <w:r>
              <w:t xml:space="preserve">Eventos poderão possuir causation_id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ADR10.09</w:t>
            </w:r>
          </w:p>
        </w:tc>
        <w:tc>
          <w:tcPr/>
          <w:p>
            <w:pPr>
              <w:pStyle w:val="Compact"/>
            </w:pPr>
            <w:r>
              <w:t xml:space="preserve">Publisher será assíncrono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ADR10.10</w:t>
            </w:r>
          </w:p>
        </w:tc>
        <w:tc>
          <w:tcPr/>
          <w:p>
            <w:pPr>
              <w:pStyle w:val="Compact"/>
            </w:pPr>
            <w:r>
              <w:t xml:space="preserve">Falhas serão reprocessáveis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ADR10.11</w:t>
            </w:r>
          </w:p>
        </w:tc>
        <w:tc>
          <w:tcPr/>
          <w:p>
            <w:pPr>
              <w:pStyle w:val="Compact"/>
            </w:pPr>
            <w:r>
              <w:t xml:space="preserve">Payload não conterá segredos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ADR10.12</w:t>
            </w:r>
          </w:p>
        </w:tc>
        <w:tc>
          <w:tcPr/>
          <w:p>
            <w:pPr>
              <w:pStyle w:val="Compact"/>
            </w:pPr>
            <w:r>
              <w:t xml:space="preserve">PostgreSQL será utilizado no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ADR10.13</w:t>
            </w:r>
          </w:p>
        </w:tc>
        <w:tc>
          <w:tcPr/>
          <w:p>
            <w:pPr>
              <w:pStyle w:val="Compact"/>
            </w:pPr>
            <w:r>
              <w:t xml:space="preserve">CDC não será obrigatório no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golden-rule"/>
    <w:p>
      <w:pPr>
        <w:pStyle w:val="Heading1"/>
      </w:pPr>
      <w:r>
        <w:t xml:space="preserve">30. Golden Rule</w:t>
      </w:r>
    </w:p>
    <w:p>
      <w:pPr>
        <w:pStyle w:val="BlockText"/>
      </w:pPr>
      <w:r>
        <w:rPr>
          <w:b/>
          <w:bCs/>
        </w:rPr>
        <w:t xml:space="preserve">Nenhuma alteração de negócio que exija publicação de evento poderá depender de duas gravações independentes. O estado de negócio e o registro do evento deverão nascer atomicamente na mesma transação.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