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11-versionamento-de-eventos"/>
    <w:p>
      <w:pPr>
        <w:pStyle w:val="Heading1"/>
      </w:pPr>
      <w:r>
        <w:t xml:space="preserve">ADR-011 — Versionamento de Eventos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ADR-011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Versionamento de Eventos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Categoria:</w:t>
      </w:r>
      <w:r>
        <w:t xml:space="preserve"> </w:t>
      </w:r>
      <w:r>
        <w:t xml:space="preserve">Arquitetura / Eventos / Compatibilidade</w:t>
      </w:r>
    </w:p>
    <w:p>
      <w:r>
        <w:pict>
          <v:rect style="width:0;height:1.5pt" o:hralign="center" o:hrstd="t" o:hr="t"/>
        </w:pict>
      </w:r>
    </w:p>
    <w:bookmarkEnd w:id="9"/>
    <w:bookmarkStart w:id="10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possuirá comunicação baseada em eventos.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PaymentRefunded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GarageItemReceived</w:t>
      </w:r>
      <w:r>
        <w:br/>
      </w:r>
      <w:r>
        <w:rPr>
          <w:rStyle w:val="VerbatimChar"/>
        </w:rPr>
        <w:t xml:space="preserve">PreSaleConverted</w:t>
      </w:r>
      <w:r>
        <w:br/>
      </w:r>
      <w:r>
        <w:rPr>
          <w:rStyle w:val="VerbatimChar"/>
        </w:rPr>
        <w:t xml:space="preserve">OfferPublished</w:t>
      </w:r>
    </w:p>
    <w:p>
      <w:pPr>
        <w:pStyle w:val="FirstParagraph"/>
      </w:pPr>
      <w:r>
        <w:t xml:space="preserve">Com a evolução do sistema, os eventos também precisarão evoluir.</w:t>
      </w:r>
    </w:p>
    <w:p>
      <w:pPr>
        <w:pStyle w:val="BodyText"/>
      </w:pPr>
      <w:r>
        <w:t xml:space="preserve">Exemplo inicial: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Posteriormente poderá ser necessário adicionar: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Essa alteração é potencialmente compatível.</w:t>
      </w:r>
    </w:p>
    <w:p>
      <w:pPr>
        <w:pStyle w:val="BodyText"/>
      </w:pPr>
      <w:r>
        <w:t xml:space="preserve">Por outro lado, alterar:</w:t>
      </w:r>
    </w:p>
    <w:p>
      <w:pPr>
        <w:pStyle w:val="SourceCode"/>
      </w:pPr>
      <w:r>
        <w:rPr>
          <w:rStyle w:val="VerbatimChar"/>
        </w:rPr>
        <w:t xml:space="preserve">total_amount_minor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pode quebrar consumidores existentes.</w:t>
      </w:r>
    </w:p>
    <w:p>
      <w:pPr>
        <w:pStyle w:val="BodyText"/>
      </w:pPr>
      <w:r>
        <w:t xml:space="preserve">Portanto, o MiniHub deverá possuir uma estratégia explícita de versionamento.</w:t>
      </w:r>
    </w:p>
    <w:p>
      <w:r>
        <w:pict>
          <v:rect style="width:0;height:1.5pt" o:hralign="center" o:hrstd="t" o:hr="t"/>
        </w:pict>
      </w:r>
    </w:p>
    <w:bookmarkEnd w:id="10"/>
    <w:bookmarkStart w:id="11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Eventos terão versionamento independente da API.</w:t>
      </w:r>
    </w:p>
    <w:p>
      <w:pPr>
        <w:pStyle w:val="BodyText"/>
      </w:pPr>
      <w:r>
        <w:t xml:space="preserve">A arquitetura distinguirá:</w:t>
      </w:r>
    </w:p>
    <w:p>
      <w:pPr>
        <w:pStyle w:val="SourceCode"/>
      </w:pPr>
      <w:r>
        <w:rPr>
          <w:rStyle w:val="VerbatimChar"/>
        </w:rPr>
        <w:t xml:space="preserve">API Version</w:t>
      </w:r>
      <w:r>
        <w:br/>
      </w:r>
      <w:r>
        <w:rPr>
          <w:rStyle w:val="VerbatimChar"/>
        </w:rPr>
        <w:t xml:space="preserve">Event Type</w:t>
      </w:r>
      <w:r>
        <w:br/>
      </w:r>
      <w:r>
        <w:rPr>
          <w:rStyle w:val="VerbatimChar"/>
        </w:rPr>
        <w:t xml:space="preserve">Event Version</w:t>
      </w:r>
      <w:r>
        <w:br/>
      </w:r>
      <w:r>
        <w:rPr>
          <w:rStyle w:val="VerbatimChar"/>
        </w:rPr>
        <w:t xml:space="preserve">Event Schema Version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API:</w:t>
      </w:r>
      <w:r>
        <w:br/>
      </w:r>
      <w:r>
        <w:rPr>
          <w:rStyle w:val="VerbatimChar"/>
        </w:rPr>
        <w:t xml:space="preserve"> /api/v1</w:t>
      </w:r>
      <w:r>
        <w:br/>
      </w:r>
      <w:r>
        <w:br/>
      </w:r>
      <w:r>
        <w:rPr>
          <w:rStyle w:val="VerbatimChar"/>
        </w:rPr>
        <w:t xml:space="preserve">Event:</w:t>
      </w:r>
      <w:r>
        <w:br/>
      </w:r>
      <w:r>
        <w:rPr>
          <w:rStyle w:val="VerbatimChar"/>
        </w:rPr>
        <w:t xml:space="preserve"> com.minihub.order.created</w:t>
      </w:r>
      <w:r>
        <w:br/>
      </w:r>
      <w:r>
        <w:br/>
      </w:r>
      <w:r>
        <w:rPr>
          <w:rStyle w:val="VerbatimChar"/>
        </w:rPr>
        <w:t xml:space="preserve">Version:</w:t>
      </w:r>
      <w:r>
        <w:br/>
      </w:r>
      <w:r>
        <w:rPr>
          <w:rStyle w:val="VerbatimChar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"/>
    <w:p>
      <w:pPr>
        <w:pStyle w:val="Heading1"/>
      </w:pPr>
      <w:r>
        <w:t xml:space="preserve">3. Princípio</w:t>
      </w:r>
    </w:p>
    <w:p>
      <w:pPr>
        <w:pStyle w:val="FirstParagraph"/>
      </w:pPr>
      <w:r>
        <w:t xml:space="preserve">Eventos publicados deverão ser tratados como contratos.</w:t>
      </w:r>
    </w:p>
    <w:p>
      <w:pPr>
        <w:pStyle w:val="BodyText"/>
      </w:pPr>
      <w:r>
        <w:t xml:space="preserve">Uma vez disponibilizado:</w:t>
      </w:r>
    </w:p>
    <w:p>
      <w:pPr>
        <w:pStyle w:val="SourceCode"/>
      </w:pPr>
      <w:r>
        <w:rPr>
          <w:rStyle w:val="VerbatimChar"/>
        </w:rPr>
        <w:t xml:space="preserve">OrderCreated v1</w:t>
      </w:r>
    </w:p>
    <w:p>
      <w:pPr>
        <w:pStyle w:val="FirstParagraph"/>
      </w:pPr>
      <w:r>
        <w:t xml:space="preserve">não deverá ser alterado de maneira incompatível.</w:t>
      </w:r>
    </w:p>
    <w:p>
      <w:r>
        <w:pict>
          <v:rect style="width:0;height:1.5pt" o:hralign="center" o:hrstd="t" o:hr="t"/>
        </w:pict>
      </w:r>
    </w:p>
    <w:bookmarkEnd w:id="12"/>
    <w:bookmarkStart w:id="13" w:name="event-envelope"/>
    <w:p>
      <w:pPr>
        <w:pStyle w:val="Heading1"/>
      </w:pPr>
      <w:r>
        <w:t xml:space="preserve">4. Event Envelope</w:t>
      </w:r>
    </w:p>
    <w:p>
      <w:pPr>
        <w:pStyle w:val="FirstParagraph"/>
      </w:pPr>
      <w:r>
        <w:t xml:space="preserve">O envelope padrão será conceitualmente: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"minihub.order"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"com.minihub.order.created"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"buyer_id"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estrutura segue conceitos compatíveis com CloudEvents, cuja especificação define atributos como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loudevents"/>
    <w:p>
      <w:pPr>
        <w:pStyle w:val="Heading1"/>
      </w:pPr>
      <w:r>
        <w:t xml:space="preserve">5. CloudEvents</w:t>
      </w:r>
    </w:p>
    <w:p>
      <w:pPr>
        <w:pStyle w:val="FirstParagraph"/>
      </w:pPr>
      <w:r>
        <w:t xml:space="preserve">O MiniHub poderá utilizar um envelope compatível com CloudEvents.</w:t>
      </w:r>
    </w:p>
    <w:p>
      <w:pPr>
        <w:pStyle w:val="BodyText"/>
      </w:pPr>
      <w:r>
        <w:t xml:space="preserve">A especificação CloudEvents é independente de fornecedor e foi criada justamente para padronizar a descrição de eventos entre sistemas.</w:t>
      </w:r>
    </w:p>
    <w:p>
      <w:pPr>
        <w:pStyle w:val="BodyText"/>
      </w:pPr>
      <w:r>
        <w:t xml:space="preserve">O MiniHub, porém, poderá utilizar atributos próprios:</w:t>
      </w:r>
    </w:p>
    <w:p>
      <w:pPr>
        <w:pStyle w:val="SourceCode"/>
      </w:pP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</w:p>
    <w:p>
      <w:pPr>
        <w:pStyle w:val="FirstParagraph"/>
      </w:pPr>
      <w:r>
        <w:t xml:space="preserve">como extensões de contexto.</w:t>
      </w:r>
    </w:p>
    <w:p>
      <w:r>
        <w:pict>
          <v:rect style="width:0;height:1.5pt" o:hralign="center" o:hrstd="t" o:hr="t"/>
        </w:pict>
      </w:r>
    </w:p>
    <w:bookmarkEnd w:id="14"/>
    <w:bookmarkStart w:id="15" w:name="event-type"/>
    <w:p>
      <w:pPr>
        <w:pStyle w:val="Heading1"/>
      </w:pPr>
      <w:r>
        <w:t xml:space="preserve">6. Event Type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com.minihub.order.created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type</w:t>
      </w:r>
    </w:p>
    <w:p>
      <w:pPr>
        <w:pStyle w:val="FirstParagraph"/>
      </w:pPr>
      <w:r>
        <w:t xml:space="preserve">identifica</w:t>
      </w:r>
      <w:r>
        <w:t xml:space="preserve"> </w:t>
      </w:r>
      <w:r>
        <w:rPr>
          <w:b/>
          <w:bCs/>
        </w:rPr>
        <w:t xml:space="preserve">qual fato ocorreu</w:t>
      </w:r>
      <w:r>
        <w:t xml:space="preserve">.</w:t>
      </w:r>
    </w:p>
    <w:p>
      <w:pPr>
        <w:pStyle w:val="BodyText"/>
      </w:pPr>
      <w:r>
        <w:t xml:space="preserve">Não deve representar:</w:t>
      </w:r>
    </w:p>
    <w:p>
      <w:pPr>
        <w:pStyle w:val="SourceCode"/>
      </w:pP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ProcessPayment</w:t>
      </w:r>
      <w:r>
        <w:br/>
      </w:r>
      <w:r>
        <w:rPr>
          <w:rStyle w:val="VerbatimChar"/>
        </w:rPr>
        <w:t xml:space="preserve">SendEmail</w:t>
      </w:r>
    </w:p>
    <w:p>
      <w:pPr>
        <w:pStyle w:val="FirstParagraph"/>
      </w:pPr>
      <w:r>
        <w:t xml:space="preserve">Esses são comandos ou ações.</w:t>
      </w:r>
    </w:p>
    <w:p>
      <w:r>
        <w:pict>
          <v:rect style="width:0;height:1.5pt" o:hralign="center" o:hrstd="t" o:hr="t"/>
        </w:pict>
      </w:r>
    </w:p>
    <w:bookmarkEnd w:id="15"/>
    <w:bookmarkStart w:id="16" w:name="event-version"/>
    <w:p>
      <w:pPr>
        <w:pStyle w:val="Heading1"/>
      </w:pPr>
      <w:r>
        <w:t xml:space="preserve">7. Event Version</w:t>
      </w:r>
    </w:p>
    <w:p>
      <w:pPr>
        <w:pStyle w:val="FirstParagraph"/>
      </w:pPr>
      <w:r>
        <w:t xml:space="preserve">A versão será explícita:</w:t>
      </w:r>
    </w:p>
    <w:p>
      <w:pPr>
        <w:pStyle w:val="SourceCode"/>
      </w:pPr>
      <w:r>
        <w:rPr>
          <w:rStyle w:val="VerbatimChar"/>
        </w:rPr>
        <w:t xml:space="preserve">event_version = 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com.minihub.order.created</w:t>
      </w:r>
      <w:r>
        <w:br/>
      </w:r>
      <w:r>
        <w:rPr>
          <w:rStyle w:val="VerbatimChar"/>
        </w:rPr>
        <w:t xml:space="preserve">event_version = 1</w:t>
      </w:r>
    </w:p>
    <w:p>
      <w:r>
        <w:pict>
          <v:rect style="width:0;height:1.5pt" o:hralign="center" o:hrstd="t" o:hr="t"/>
        </w:pict>
      </w:r>
    </w:p>
    <w:bookmarkEnd w:id="16"/>
    <w:bookmarkStart w:id="19" w:name="mudança-compatível"/>
    <w:p>
      <w:pPr>
        <w:pStyle w:val="Heading1"/>
      </w:pPr>
      <w:r>
        <w:t xml:space="preserve">8. Mudança compatível</w:t>
      </w:r>
    </w:p>
    <w:p>
      <w:pPr>
        <w:pStyle w:val="FirstParagraph"/>
      </w:pPr>
      <w:r>
        <w:t xml:space="preserve">Adicionar um campo opcional poderá ser considerado mudança compatível.</w:t>
      </w:r>
    </w:p>
    <w:p>
      <w:pPr>
        <w:pStyle w:val="BodyText"/>
      </w:pPr>
      <w:r>
        <w:t xml:space="preserve">Exemplo:</w:t>
      </w:r>
    </w:p>
    <w:bookmarkStart w:id="17" w:name="v1"/>
    <w:p>
      <w:pPr>
        <w:pStyle w:val="Heading3"/>
      </w:pPr>
      <w:r>
        <w:t xml:space="preserve">v1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evolução"/>
    <w:p>
      <w:pPr>
        <w:pStyle w:val="Heading3"/>
      </w:pPr>
      <w:r>
        <w:t xml:space="preserve">Evolução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Desde que os consumidores existentes continuem funcionando, o evento poderá permanecer:</w:t>
      </w:r>
    </w:p>
    <w:p>
      <w:pPr>
        <w:pStyle w:val="SourceCode"/>
      </w:pPr>
      <w:r>
        <w:rPr>
          <w:rStyle w:val="VerbatimChar"/>
        </w:rPr>
        <w:t xml:space="preserve">event_version = 1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mudança-incompatível"/>
    <w:p>
      <w:pPr>
        <w:pStyle w:val="Heading1"/>
      </w:pPr>
      <w:r>
        <w:t xml:space="preserve">9. Mudança incompatível</w:t>
      </w:r>
    </w:p>
    <w:p>
      <w:pPr>
        <w:pStyle w:val="FirstParagraph"/>
      </w:pPr>
      <w:r>
        <w:t xml:space="preserve">Exemplo:</w:t>
      </w:r>
    </w:p>
    <w:bookmarkStart w:id="20" w:name="v1-1"/>
    <w:p>
      <w:pPr>
        <w:pStyle w:val="Heading3"/>
      </w:pPr>
      <w:r>
        <w:t xml:space="preserve">v1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Alteração: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159.90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Isso modifica:</w:t>
      </w:r>
    </w:p>
    <w:p>
      <w:pPr>
        <w:pStyle w:val="SourceCode"/>
      </w:pP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semântica</w:t>
      </w:r>
    </w:p>
    <w:p>
      <w:pPr>
        <w:pStyle w:val="FirstParagraph"/>
      </w:pPr>
      <w:r>
        <w:t xml:space="preserve">e poderá quebrar consumidores.</w:t>
      </w:r>
    </w:p>
    <w:p>
      <w:pPr>
        <w:pStyle w:val="BodyText"/>
      </w:pPr>
      <w:r>
        <w:t xml:space="preserve">Neste caso:</w:t>
      </w:r>
    </w:p>
    <w:p>
      <w:pPr>
        <w:pStyle w:val="SourceCode"/>
      </w:pPr>
      <w:r>
        <w:rPr>
          <w:rStyle w:val="VerbatimChar"/>
        </w:rPr>
        <w:t xml:space="preserve">event_version = 2</w:t>
      </w:r>
    </w:p>
    <w:p>
      <w:pPr>
        <w:pStyle w:val="FirstParagraph"/>
      </w:pPr>
      <w:r>
        <w:t xml:space="preserve">será criado.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stratégia-oficial"/>
    <w:p>
      <w:pPr>
        <w:pStyle w:val="Heading1"/>
      </w:pPr>
      <w:r>
        <w:t xml:space="preserve">10. Estratégia oficial</w:t>
      </w:r>
    </w:p>
    <w:p>
      <w:pPr>
        <w:pStyle w:val="FirstParagraph"/>
      </w:pPr>
      <w:r>
        <w:t xml:space="preserve">O MiniHub adotará:</w:t>
      </w:r>
    </w:p>
    <w:p>
      <w:pPr>
        <w:pStyle w:val="SourceCode"/>
      </w:pPr>
      <w:r>
        <w:rPr>
          <w:rStyle w:val="VerbatimChar"/>
        </w:rPr>
        <w:t xml:space="preserve">Mudança compatível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mesmo event_version</w:t>
      </w:r>
      <w:r>
        <w:br/>
      </w:r>
      <w:r>
        <w:br/>
      </w:r>
      <w:r>
        <w:rPr>
          <w:rStyle w:val="VerbatimChar"/>
        </w:rPr>
        <w:t xml:space="preserve">Mudança incompatível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nova event_version</w:t>
      </w:r>
    </w:p>
    <w:p>
      <w:pPr>
        <w:pStyle w:val="FirstParagraph"/>
      </w:pPr>
      <w:r>
        <w:t xml:space="preserve">A documentação do CloudEvents também recomenda que produtores pensem no versionamento desde o início e diferencia a evolução compatível de mudanças que quebram consumidores.</w:t>
      </w:r>
    </w:p>
    <w:p>
      <w:r>
        <w:pict>
          <v:rect style="width:0;height:1.5pt" o:hralign="center" o:hrstd="t" o:hr="t"/>
        </w:pict>
      </w:r>
    </w:p>
    <w:bookmarkEnd w:id="22"/>
    <w:bookmarkStart w:id="23" w:name="type-versus-version"/>
    <w:p>
      <w:pPr>
        <w:pStyle w:val="Heading1"/>
      </w:pPr>
      <w:r>
        <w:t xml:space="preserve">11. Type versus Version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type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event_version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type = com.minihub.order.created</w:t>
      </w:r>
      <w:r>
        <w:br/>
      </w:r>
      <w:r>
        <w:rPr>
          <w:rStyle w:val="VerbatimChar"/>
        </w:rPr>
        <w:t xml:space="preserve">version = 1</w:t>
      </w:r>
    </w:p>
    <w:p>
      <w:pPr>
        <w:pStyle w:val="FirstParagraph"/>
      </w:pPr>
      <w:r>
        <w:t xml:space="preserve">O consumidor identifica primeiro:</w:t>
      </w:r>
    </w:p>
    <w:p>
      <w:pPr>
        <w:pStyle w:val="SourceCode"/>
      </w:pPr>
      <w:r>
        <w:rPr>
          <w:rStyle w:val="VerbatimChar"/>
        </w:rPr>
        <w:t xml:space="preserve">order.created</w:t>
      </w:r>
    </w:p>
    <w:p>
      <w:pPr>
        <w:pStyle w:val="FirstParagraph"/>
      </w:pPr>
      <w:r>
        <w:t xml:space="preserve">e então interpreta:</w:t>
      </w:r>
    </w:p>
    <w:p>
      <w:pPr>
        <w:pStyle w:val="SourceCode"/>
      </w:pPr>
      <w:r>
        <w:rPr>
          <w:rStyle w:val="VerbatimChar"/>
        </w:rPr>
        <w:t xml:space="preserve">version 1</w:t>
      </w:r>
    </w:p>
    <w:p>
      <w:r>
        <w:pict>
          <v:rect style="width:0;height:1.5pt" o:hralign="center" o:hrstd="t" o:hr="t"/>
        </w:pict>
      </w:r>
    </w:p>
    <w:bookmarkEnd w:id="23"/>
    <w:bookmarkStart w:id="24" w:name="quando-utilizar-novo-event-type"/>
    <w:p>
      <w:pPr>
        <w:pStyle w:val="Heading1"/>
      </w:pPr>
      <w:r>
        <w:t xml:space="preserve">12. Quando utilizar novo Event Type</w:t>
      </w:r>
    </w:p>
    <w:p>
      <w:pPr>
        <w:pStyle w:val="FirstParagraph"/>
      </w:pPr>
      <w:r>
        <w:t xml:space="preserve">Será criado novo tipo quando o significado do fato mudar.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não deverá virar:</w:t>
      </w:r>
    </w:p>
    <w:p>
      <w:pPr>
        <w:pStyle w:val="SourceCode"/>
      </w:pPr>
      <w:r>
        <w:rPr>
          <w:rStyle w:val="VerbatimChar"/>
        </w:rPr>
        <w:t xml:space="preserve">OrderPaid</w:t>
      </w:r>
    </w:p>
    <w:p>
      <w:pPr>
        <w:pStyle w:val="FirstParagraph"/>
      </w:pPr>
      <w:r>
        <w:t xml:space="preserve">apenas porque o processo evoluiu.</w:t>
      </w:r>
    </w:p>
    <w:p>
      <w:pPr>
        <w:pStyle w:val="BodyText"/>
      </w:pPr>
      <w:r>
        <w:t xml:space="preserve">São fatos diferentes: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OrderCancelled</w:t>
      </w:r>
    </w:p>
    <w:p>
      <w:r>
        <w:pict>
          <v:rect style="width:0;height:1.5pt" o:hralign="center" o:hrstd="t" o:hr="t"/>
        </w:pict>
      </w:r>
    </w:p>
    <w:bookmarkEnd w:id="24"/>
    <w:bookmarkStart w:id="25" w:name="event-schema"/>
    <w:p>
      <w:pPr>
        <w:pStyle w:val="Heading1"/>
      </w:pPr>
      <w:r>
        <w:t xml:space="preserve">13. Event Schema</w:t>
      </w:r>
    </w:p>
    <w:p>
      <w:pPr>
        <w:pStyle w:val="FirstParagraph"/>
      </w:pPr>
      <w:r>
        <w:t xml:space="preserve">O payload poderá possuir um schema associado.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schema:</w:t>
      </w:r>
      <w:r>
        <w:br/>
      </w:r>
      <w:r>
        <w:rPr>
          <w:rStyle w:val="VerbatimChar"/>
        </w:rPr>
        <w:t xml:space="preserve">com.minihub.events.order.created.v1</w:t>
      </w:r>
    </w:p>
    <w:p>
      <w:pPr>
        <w:pStyle w:val="FirstParagraph"/>
      </w:pPr>
      <w:r>
        <w:t xml:space="preserve">A utilização de</w:t>
      </w:r>
      <w:r>
        <w:t xml:space="preserve"> </w:t>
      </w:r>
      <w:r>
        <w:rPr>
          <w:rStyle w:val="VerbatimChar"/>
        </w:rPr>
        <w:t xml:space="preserve">dataschema</w:t>
      </w:r>
      <w:r>
        <w:t xml:space="preserve"> </w:t>
      </w:r>
      <w:r>
        <w:t xml:space="preserve">é compatível com CloudEvents, que define esse atributo para identificar o schema ao qual os dados obedecem.</w:t>
      </w:r>
    </w:p>
    <w:p>
      <w:r>
        <w:pict>
          <v:rect style="width:0;height:1.5pt" o:hralign="center" o:hrstd="t" o:hr="t"/>
        </w:pict>
      </w:r>
    </w:p>
    <w:bookmarkEnd w:id="25"/>
    <w:bookmarkStart w:id="26" w:name="compatibilidade"/>
    <w:p>
      <w:pPr>
        <w:pStyle w:val="Heading1"/>
      </w:pPr>
      <w:r>
        <w:t xml:space="preserve">14. Compatibilidade</w:t>
      </w:r>
    </w:p>
    <w:p>
      <w:pPr>
        <w:pStyle w:val="FirstParagraph"/>
      </w:pPr>
      <w:r>
        <w:t xml:space="preserve">Os consumidores deverão seguir o princípio:</w:t>
      </w:r>
    </w:p>
    <w:p>
      <w:pPr>
        <w:pStyle w:val="BlockText"/>
      </w:pPr>
      <w:r>
        <w:rPr>
          <w:b/>
          <w:bCs/>
        </w:rPr>
        <w:t xml:space="preserve">Tolerância a evolução compatível.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Se surgir:</w:t>
      </w:r>
    </w:p>
    <w:p>
      <w:pPr>
        <w:pStyle w:val="SourceCode"/>
      </w:pPr>
      <w:r>
        <w:rPr>
          <w:rStyle w:val="StringTok"/>
        </w:rPr>
        <w:t xml:space="preserve">"seller_display_name"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"MiniCar"</w:t>
      </w:r>
    </w:p>
    <w:p>
      <w:pPr>
        <w:pStyle w:val="FirstParagraph"/>
      </w:pPr>
      <w:r>
        <w:t xml:space="preserve">um consumidor antigo que não utiliza esse campo deverá continuar funcionando.</w:t>
      </w:r>
    </w:p>
    <w:p>
      <w:r>
        <w:pict>
          <v:rect style="width:0;height:1.5pt" o:hralign="center" o:hrstd="t" o:hr="t"/>
        </w:pict>
      </w:r>
    </w:p>
    <w:bookmarkEnd w:id="26"/>
    <w:bookmarkStart w:id="27" w:name="Xac75e55975ff6e83537f34f1db24e3ee599e0af"/>
    <w:p>
      <w:pPr>
        <w:pStyle w:val="Heading1"/>
      </w:pPr>
      <w:r>
        <w:t xml:space="preserve">15. Consumidor não deverá exigir campos desconhecidos</w:t>
      </w:r>
    </w:p>
    <w:p>
      <w:pPr>
        <w:pStyle w:val="FirstParagraph"/>
      </w:pPr>
      <w:r>
        <w:t xml:space="preserve">O consumidor não deverá falhar simplesmente porque recebeu um campo adicional.</w:t>
      </w:r>
    </w:p>
    <w:p>
      <w:pPr>
        <w:pStyle w:val="BodyText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ler campos necessários</w:t>
      </w:r>
      <w:r>
        <w:br/>
      </w:r>
      <w:r>
        <w:rPr>
          <w:rStyle w:val="VerbatimChar"/>
        </w:rPr>
        <w:t xml:space="preserve">ignorar campos desconhecidos</w:t>
      </w:r>
    </w:p>
    <w:p>
      <w:r>
        <w:pict>
          <v:rect style="width:0;height:1.5pt" o:hralign="center" o:hrstd="t" o:hr="t"/>
        </w:pict>
      </w:r>
    </w:p>
    <w:bookmarkEnd w:id="27"/>
    <w:bookmarkStart w:id="28" w:name="campos-obrigatórios"/>
    <w:p>
      <w:pPr>
        <w:pStyle w:val="Heading1"/>
      </w:pPr>
      <w:r>
        <w:t xml:space="preserve">16. Campos obrigatórios</w:t>
      </w:r>
    </w:p>
    <w:p>
      <w:pPr>
        <w:pStyle w:val="FirstParagraph"/>
      </w:pPr>
      <w:r>
        <w:t xml:space="preserve">Campos obrigatórios não deverão ser removidos silenciosamente de uma versão existente.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order_id</w:t>
      </w:r>
    </w:p>
    <w:p>
      <w:pPr>
        <w:pStyle w:val="FirstParagraph"/>
      </w:pPr>
      <w:r>
        <w:t xml:space="preserve">é obrigatório em:</w:t>
      </w:r>
    </w:p>
    <w:p>
      <w:pPr>
        <w:pStyle w:val="SourceCode"/>
      </w:pPr>
      <w:r>
        <w:rPr>
          <w:rStyle w:val="VerbatimChar"/>
        </w:rPr>
        <w:t xml:space="preserve">OrderCreated v1</w:t>
      </w:r>
    </w:p>
    <w:p>
      <w:pPr>
        <w:pStyle w:val="FirstParagraph"/>
      </w:pPr>
      <w:r>
        <w:t xml:space="preserve">Não deverá desaparecer em uma alteração de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renomeação"/>
    <w:p>
      <w:pPr>
        <w:pStyle w:val="Heading1"/>
      </w:pPr>
      <w:r>
        <w:t xml:space="preserve">17. Renomeação</w:t>
      </w:r>
    </w:p>
    <w:p>
      <w:pPr>
        <w:pStyle w:val="FirstParagraph"/>
      </w:pPr>
      <w:r>
        <w:t xml:space="preserve">Renomear:</w:t>
      </w:r>
    </w:p>
    <w:p>
      <w:pPr>
        <w:pStyle w:val="SourceCode"/>
      </w:pPr>
      <w:r>
        <w:rPr>
          <w:rStyle w:val="VerbatimChar"/>
        </w:rPr>
        <w:t xml:space="preserve">buyer_id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customer_id</w:t>
      </w:r>
    </w:p>
    <w:p>
      <w:pPr>
        <w:pStyle w:val="FirstParagraph"/>
      </w:pPr>
      <w:r>
        <w:t xml:space="preserve">será considerado potencialmente incompatível.</w:t>
      </w:r>
    </w:p>
    <w:p>
      <w:pPr>
        <w:pStyle w:val="BodyText"/>
      </w:pPr>
      <w:r>
        <w:t xml:space="preserve">Estratégia:</w:t>
      </w:r>
    </w:p>
    <w:p>
      <w:pPr>
        <w:pStyle w:val="SourceCode"/>
      </w:pPr>
      <w:r>
        <w:rPr>
          <w:rStyle w:val="VerbatimChar"/>
        </w:rPr>
        <w:t xml:space="preserve">v1:</w:t>
      </w:r>
      <w:r>
        <w:br/>
      </w:r>
      <w:r>
        <w:rPr>
          <w:rStyle w:val="VerbatimChar"/>
        </w:rPr>
        <w:t xml:space="preserve">buyer_id</w:t>
      </w:r>
      <w:r>
        <w:br/>
      </w:r>
      <w:r>
        <w:br/>
      </w:r>
      <w:r>
        <w:rPr>
          <w:rStyle w:val="VerbatimChar"/>
        </w:rPr>
        <w:t xml:space="preserve">v2:</w:t>
      </w:r>
      <w:r>
        <w:br/>
      </w:r>
      <w:r>
        <w:rPr>
          <w:rStyle w:val="VerbatimChar"/>
        </w:rPr>
        <w:t xml:space="preserve">customer_id</w:t>
      </w:r>
    </w:p>
    <w:p>
      <w:r>
        <w:pict>
          <v:rect style="width:0;height:1.5pt" o:hralign="center" o:hrstd="t" o:hr="t"/>
        </w:pict>
      </w:r>
    </w:p>
    <w:bookmarkEnd w:id="29"/>
    <w:bookmarkStart w:id="30" w:name="mudança-de-semântica"/>
    <w:p>
      <w:pPr>
        <w:pStyle w:val="Heading1"/>
      </w:pPr>
      <w:r>
        <w:t xml:space="preserve">18. Mudança de semântica</w:t>
      </w:r>
    </w:p>
    <w:p>
      <w:pPr>
        <w:pStyle w:val="FirstParagraph"/>
      </w:pPr>
      <w:r>
        <w:t xml:space="preserve">Mesmo que o tipo técnico não mude, a semântica pode mudar.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quantity</w:t>
      </w:r>
    </w:p>
    <w:p>
      <w:pPr>
        <w:pStyle w:val="FirstParagraph"/>
      </w:pPr>
      <w:r>
        <w:t xml:space="preserve">em v1 significa:</w:t>
      </w:r>
    </w:p>
    <w:p>
      <w:pPr>
        <w:pStyle w:val="SourceCode"/>
      </w:pPr>
      <w:r>
        <w:rPr>
          <w:rStyle w:val="VerbatimChar"/>
        </w:rPr>
        <w:t xml:space="preserve">quantidade de unidades físicas</w:t>
      </w:r>
    </w:p>
    <w:p>
      <w:pPr>
        <w:pStyle w:val="FirstParagraph"/>
      </w:pPr>
      <w:r>
        <w:t xml:space="preserve">e em v2 passaria a significar:</w:t>
      </w:r>
    </w:p>
    <w:p>
      <w:pPr>
        <w:pStyle w:val="SourceCode"/>
      </w:pPr>
      <w:r>
        <w:rPr>
          <w:rStyle w:val="VerbatimChar"/>
        </w:rPr>
        <w:t xml:space="preserve">quantidade de caixas</w:t>
      </w:r>
    </w:p>
    <w:p>
      <w:pPr>
        <w:pStyle w:val="FirstParagraph"/>
      </w:pPr>
      <w:r>
        <w:t xml:space="preserve">Isso é alteração incompatível.</w:t>
      </w:r>
    </w:p>
    <w:p>
      <w:pPr>
        <w:pStyle w:val="BodyText"/>
      </w:pPr>
      <w:r>
        <w:t xml:space="preserve">Deverá gerar nova versão ou novo evento, conforme o caso.</w:t>
      </w:r>
    </w:p>
    <w:p>
      <w:r>
        <w:pict>
          <v:rect style="width:0;height:1.5pt" o:hralign="center" o:hrstd="t" o:hr="t"/>
        </w:pict>
      </w:r>
    </w:p>
    <w:bookmarkEnd w:id="30"/>
    <w:bookmarkStart w:id="31" w:name="eventos-imutáveis"/>
    <w:p>
      <w:pPr>
        <w:pStyle w:val="Heading1"/>
      </w:pPr>
      <w:r>
        <w:t xml:space="preserve">19. Eventos imutáveis</w:t>
      </w:r>
    </w:p>
    <w:p>
      <w:pPr>
        <w:pStyle w:val="FirstParagraph"/>
      </w:pPr>
      <w:r>
        <w:t xml:space="preserve">Depois que um evento for publicado:</w:t>
      </w:r>
    </w:p>
    <w:p>
      <w:pPr>
        <w:pStyle w:val="SourceCode"/>
      </w:pPr>
      <w:r>
        <w:rPr>
          <w:rStyle w:val="VerbatimChar"/>
        </w:rPr>
        <w:t xml:space="preserve">não editar</w:t>
      </w:r>
      <w:r>
        <w:br/>
      </w:r>
      <w:r>
        <w:rPr>
          <w:rStyle w:val="VerbatimChar"/>
        </w:rPr>
        <w:t xml:space="preserve">não sobrescrever</w:t>
      </w:r>
      <w:r>
        <w:br/>
      </w:r>
      <w:r>
        <w:rPr>
          <w:rStyle w:val="VerbatimChar"/>
        </w:rPr>
        <w:t xml:space="preserve">não reutilizar</w:t>
      </w:r>
    </w:p>
    <w:p>
      <w:pPr>
        <w:pStyle w:val="FirstParagraph"/>
      </w:pPr>
      <w:r>
        <w:t xml:space="preserve">Se houver correção:</w:t>
      </w:r>
    </w:p>
    <w:p>
      <w:pPr>
        <w:pStyle w:val="SourceCode"/>
      </w:pPr>
      <w:r>
        <w:rPr>
          <w:rStyle w:val="VerbatimChar"/>
        </w:rPr>
        <w:t xml:space="preserve">Evento incorreto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Novo evento corretivo</w:t>
      </w:r>
    </w:p>
    <w:p>
      <w:r>
        <w:pict>
          <v:rect style="width:0;height:1.5pt" o:hralign="center" o:hrstd="t" o:hr="t"/>
        </w:pict>
      </w:r>
    </w:p>
    <w:bookmarkEnd w:id="31"/>
    <w:bookmarkStart w:id="32" w:name="reprocessamento"/>
    <w:p>
      <w:pPr>
        <w:pStyle w:val="Heading1"/>
      </w:pPr>
      <w:r>
        <w:t xml:space="preserve">20. Reprocessamento</w:t>
      </w:r>
    </w:p>
    <w:p>
      <w:pPr>
        <w:pStyle w:val="FirstParagraph"/>
      </w:pPr>
      <w:r>
        <w:t xml:space="preserve">Um evento poderá ser reprocessado.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 v1</w:t>
      </w:r>
    </w:p>
    <w:p>
      <w:pPr>
        <w:pStyle w:val="FirstParagraph"/>
      </w:pPr>
      <w:r>
        <w:t xml:space="preserve">poderá ser reenviado para:</w:t>
      </w:r>
    </w:p>
    <w:p>
      <w:pPr>
        <w:pStyle w:val="SourceCode"/>
      </w:pPr>
      <w:r>
        <w:rPr>
          <w:rStyle w:val="VerbatimChar"/>
        </w:rPr>
        <w:t xml:space="preserve">Notification Worker</w:t>
      </w:r>
    </w:p>
    <w:p>
      <w:pPr>
        <w:pStyle w:val="FirstParagraph"/>
      </w:pPr>
      <w:r>
        <w:t xml:space="preserve">sem modificar: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O consumidor deverá utilizar idempotência.</w:t>
      </w:r>
    </w:p>
    <w:p>
      <w:pPr>
        <w:pStyle w:val="BodyText"/>
      </w:pPr>
      <w:r>
        <w:t xml:space="preserve">CloudEvents define 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como identificador do evento e permite que consumidores utilizem a combinação</w:t>
      </w:r>
      <w:r>
        <w:t xml:space="preserve"> </w:t>
      </w:r>
      <w:r>
        <w:rPr>
          <w:rStyle w:val="VerbatimChar"/>
        </w:rPr>
        <w:t xml:space="preserve">source + id</w:t>
      </w:r>
      <w:r>
        <w:t xml:space="preserve"> </w:t>
      </w:r>
      <w:r>
        <w:t xml:space="preserve">para reconhecer duplicatas.</w:t>
      </w:r>
    </w:p>
    <w:p>
      <w:r>
        <w:pict>
          <v:rect style="width:0;height:1.5pt" o:hralign="center" o:hrstd="t" o:hr="t"/>
        </w:pict>
      </w:r>
    </w:p>
    <w:bookmarkEnd w:id="32"/>
    <w:bookmarkStart w:id="33" w:name="replay"/>
    <w:p>
      <w:pPr>
        <w:pStyle w:val="Heading1"/>
      </w:pPr>
      <w:r>
        <w:t xml:space="preserve">21. Replay</w:t>
      </w:r>
    </w:p>
    <w:p>
      <w:pPr>
        <w:pStyle w:val="FirstParagraph"/>
      </w:pPr>
      <w:r>
        <w:t xml:space="preserve">Replay será permitido quando operacionalmente necessário.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Evento histórico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Reprocessamento</w:t>
      </w:r>
    </w:p>
    <w:p>
      <w:pPr>
        <w:pStyle w:val="FirstParagraph"/>
      </w:pPr>
      <w:r>
        <w:t xml:space="preserve">Replay não deverá alterar o evento original.</w:t>
      </w:r>
    </w:p>
    <w:p>
      <w:r>
        <w:pict>
          <v:rect style="width:0;height:1.5pt" o:hralign="center" o:hrstd="t" o:hr="t"/>
        </w:pict>
      </w:r>
    </w:p>
    <w:bookmarkEnd w:id="33"/>
    <w:bookmarkStart w:id="34" w:name="event-id"/>
    <w:p>
      <w:pPr>
        <w:pStyle w:val="Heading1"/>
      </w:pPr>
      <w:r>
        <w:t xml:space="preserve">22. Event ID</w:t>
      </w:r>
    </w:p>
    <w:p>
      <w:pPr>
        <w:pStyle w:val="FirstParagraph"/>
      </w:pPr>
      <w:r>
        <w:t xml:space="preserve">Cada ocorrência terá um:</w:t>
      </w:r>
    </w:p>
    <w:p>
      <w:pPr>
        <w:pStyle w:val="SourceCode"/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único.</w:t>
      </w:r>
    </w:p>
    <w:p>
      <w:pPr>
        <w:pStyle w:val="BodyText"/>
      </w:pPr>
      <w:r>
        <w:t xml:space="preserve">Mesmo que o mesmo tipo ocorra várias vezes:</w:t>
      </w:r>
    </w:p>
    <w:p>
      <w:pPr>
        <w:pStyle w:val="SourceCode"/>
      </w:pPr>
      <w:r>
        <w:rPr>
          <w:rStyle w:val="VerbatimChar"/>
        </w:rPr>
        <w:t xml:space="preserve">OrderCreated #1</w:t>
      </w:r>
      <w:r>
        <w:br/>
      </w:r>
      <w:r>
        <w:rPr>
          <w:rStyle w:val="VerbatimChar"/>
        </w:rPr>
        <w:t xml:space="preserve">OrderCreated #2</w:t>
      </w:r>
      <w:r>
        <w:br/>
      </w:r>
      <w:r>
        <w:rPr>
          <w:rStyle w:val="VerbatimChar"/>
        </w:rPr>
        <w:t xml:space="preserve">OrderCreated #3</w:t>
      </w:r>
    </w:p>
    <w:p>
      <w:pPr>
        <w:pStyle w:val="FirstParagraph"/>
      </w:pPr>
      <w:r>
        <w:t xml:space="preserve">cada evento terá ID diferente.</w:t>
      </w:r>
    </w:p>
    <w:p>
      <w:r>
        <w:pict>
          <v:rect style="width:0;height:1.5pt" o:hralign="center" o:hrstd="t" o:hr="t"/>
        </w:pict>
      </w:r>
    </w:p>
    <w:bookmarkEnd w:id="34"/>
    <w:bookmarkStart w:id="35" w:name="source"/>
    <w:p>
      <w:pPr>
        <w:pStyle w:val="Heading1"/>
      </w:pPr>
      <w:r>
        <w:t xml:space="preserve">23. Source</w:t>
      </w:r>
    </w:p>
    <w:p>
      <w:pPr>
        <w:pStyle w:val="FirstParagraph"/>
      </w:pPr>
      <w:r>
        <w:t xml:space="preserve">O evento terá:</w:t>
      </w:r>
    </w:p>
    <w:p>
      <w:pPr>
        <w:pStyle w:val="SourceCode"/>
      </w:pP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representando o contexto produtor.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minihub.order</w:t>
      </w:r>
      <w:r>
        <w:br/>
      </w:r>
      <w:r>
        <w:rPr>
          <w:rStyle w:val="VerbatimChar"/>
        </w:rPr>
        <w:t xml:space="preserve">minihub.payment</w:t>
      </w:r>
      <w:r>
        <w:br/>
      </w:r>
      <w:r>
        <w:rPr>
          <w:rStyle w:val="VerbatimChar"/>
        </w:rPr>
        <w:t xml:space="preserve">minihub.shipment</w:t>
      </w:r>
      <w:r>
        <w:br/>
      </w:r>
      <w:r>
        <w:rPr>
          <w:rStyle w:val="VerbatimChar"/>
        </w:rPr>
        <w:t xml:space="preserve">minihub.garage</w:t>
      </w:r>
    </w:p>
    <w:p>
      <w:pPr>
        <w:pStyle w:val="FirstParagraph"/>
      </w:pPr>
      <w:r>
        <w:t xml:space="preserve">CloudEvents utiliza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para identificar o contexto no qual o evento ocorreu.</w:t>
      </w:r>
    </w:p>
    <w:p>
      <w:r>
        <w:pict>
          <v:rect style="width:0;height:1.5pt" o:hralign="center" o:hrstd="t" o:hr="t"/>
        </w:pict>
      </w:r>
    </w:p>
    <w:bookmarkEnd w:id="35"/>
    <w:bookmarkStart w:id="36" w:name="subject"/>
    <w:p>
      <w:pPr>
        <w:pStyle w:val="Heading1"/>
      </w:pPr>
      <w:r>
        <w:t xml:space="preserve">24. Subject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subject = aggregate_id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com.minihub.order.created</w:t>
      </w:r>
      <w:r>
        <w:br/>
      </w:r>
      <w:r>
        <w:br/>
      </w: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019-order-id</w:t>
      </w:r>
    </w:p>
    <w:p>
      <w:pPr>
        <w:pStyle w:val="FirstParagraph"/>
      </w:pPr>
      <w:r>
        <w:t xml:space="preserve">Isso facilita filtros e roteamento.</w:t>
      </w:r>
    </w:p>
    <w:p>
      <w:r>
        <w:pict>
          <v:rect style="width:0;height:1.5pt" o:hralign="center" o:hrstd="t" o:hr="t"/>
        </w:pict>
      </w:r>
    </w:p>
    <w:bookmarkEnd w:id="36"/>
    <w:bookmarkStart w:id="37" w:name="time"/>
    <w:p>
      <w:pPr>
        <w:pStyle w:val="Heading1"/>
      </w:pPr>
      <w:r>
        <w:t xml:space="preserve">25. Time</w:t>
      </w:r>
    </w:p>
    <w:p>
      <w:pPr>
        <w:pStyle w:val="FirstParagraph"/>
      </w:pPr>
      <w:r>
        <w:t xml:space="preserve">O evento possuirá:</w:t>
      </w:r>
    </w:p>
    <w:p>
      <w:pPr>
        <w:pStyle w:val="SourceCode"/>
      </w:pPr>
      <w:r>
        <w:rPr>
          <w:rStyle w:val="VerbatimChar"/>
        </w:rPr>
        <w:t xml:space="preserve">occurred_at</w:t>
      </w:r>
    </w:p>
    <w:p>
      <w:pPr>
        <w:pStyle w:val="FirstParagraph"/>
      </w:pPr>
      <w:r>
        <w:t xml:space="preserve">e o envelope poderá representar esse instante em:</w:t>
      </w:r>
    </w:p>
    <w:p>
      <w:pPr>
        <w:pStyle w:val="SourceCode"/>
      </w:pPr>
      <w:r>
        <w:rPr>
          <w:rStyle w:val="VerbatimChar"/>
        </w:rPr>
        <w:t xml:space="preserve">time</w:t>
      </w:r>
    </w:p>
    <w:p>
      <w:pPr>
        <w:pStyle w:val="FirstParagraph"/>
      </w:pPr>
      <w:r>
        <w:t xml:space="preserve">O valor deverá estar em UTC.</w:t>
      </w:r>
    </w:p>
    <w:p>
      <w:r>
        <w:pict>
          <v:rect style="width:0;height:1.5pt" o:hralign="center" o:hrstd="t" o:hr="t"/>
        </w:pict>
      </w:r>
    </w:p>
    <w:bookmarkEnd w:id="37"/>
    <w:bookmarkStart w:id="38" w:name="correlation"/>
    <w:p>
      <w:pPr>
        <w:pStyle w:val="Heading1"/>
      </w:pPr>
      <w:r>
        <w:t xml:space="preserve">26. Correlation</w:t>
      </w:r>
    </w:p>
    <w:p>
      <w:pPr>
        <w:pStyle w:val="FirstParagraph"/>
      </w:pPr>
      <w:r>
        <w:t xml:space="preserve">Eventos deverão carregar: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para conectar operações relacionadas.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ShipmentCreated</w:t>
      </w:r>
    </w:p>
    <w:p>
      <w:r>
        <w:pict>
          <v:rect style="width:0;height:1.5pt" o:hralign="center" o:hrstd="t" o:hr="t"/>
        </w:pict>
      </w:r>
    </w:p>
    <w:bookmarkEnd w:id="38"/>
    <w:bookmarkStart w:id="39" w:name="causation"/>
    <w:p>
      <w:pPr>
        <w:pStyle w:val="Heading1"/>
      </w:pPr>
      <w:r>
        <w:t xml:space="preserve">27. Causation</w:t>
      </w:r>
    </w:p>
    <w:p>
      <w:pPr>
        <w:pStyle w:val="FirstParagraph"/>
      </w:pPr>
      <w:r>
        <w:t xml:space="preserve">Quando houver relação causal:</w:t>
      </w:r>
    </w:p>
    <w:p>
      <w:pPr>
        <w:pStyle w:val="SourceCode"/>
      </w:pPr>
      <w:r>
        <w:rPr>
          <w:rStyle w:val="VerbatimChar"/>
        </w:rPr>
        <w:t xml:space="preserve">causation_id</w:t>
      </w:r>
    </w:p>
    <w:p>
      <w:pPr>
        <w:pStyle w:val="FirstParagraph"/>
      </w:pPr>
      <w:r>
        <w:t xml:space="preserve">indicará o evento/comando responsável por iniciar o processamento.</w:t>
      </w:r>
    </w:p>
    <w:p>
      <w:pPr>
        <w:pStyle w:val="BodyText"/>
      </w:pPr>
      <w:r>
        <w:t xml:space="preserve">Isso permitirá diferenciar:</w:t>
      </w:r>
    </w:p>
    <w:p>
      <w:pPr>
        <w:pStyle w:val="SourceCode"/>
      </w:pPr>
      <w:r>
        <w:rPr>
          <w:rStyle w:val="VerbatimChar"/>
        </w:rPr>
        <w:t xml:space="preserve">mesma correlação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causa imediata</w:t>
      </w:r>
    </w:p>
    <w:p>
      <w:r>
        <w:pict>
          <v:rect style="width:0;height:1.5pt" o:hralign="center" o:hrstd="t" o:hr="t"/>
        </w:pict>
      </w:r>
    </w:p>
    <w:bookmarkEnd w:id="39"/>
    <w:bookmarkStart w:id="40" w:name="versionamento-da-api-versus-evento"/>
    <w:p>
      <w:pPr>
        <w:pStyle w:val="Heading1"/>
      </w:pPr>
      <w:r>
        <w:t xml:space="preserve">28. Versionamento da API versus evento</w:t>
      </w:r>
    </w:p>
    <w:p>
      <w:pPr>
        <w:pStyle w:val="FirstParagraph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/api/v1</w:t>
      </w:r>
      <w:r>
        <w:br/>
      </w:r>
      <w:r>
        <w:rPr>
          <w:rStyle w:val="VerbatimChar"/>
        </w:rPr>
        <w:t xml:space="preserve">→ somente eventos v1</w:t>
      </w:r>
      <w:r>
        <w:br/>
      </w:r>
      <w:r>
        <w:br/>
      </w:r>
      <w:r>
        <w:rPr>
          <w:rStyle w:val="VerbatimChar"/>
        </w:rPr>
        <w:t xml:space="preserve">/api/v2</w:t>
      </w:r>
      <w:r>
        <w:br/>
      </w:r>
      <w:r>
        <w:rPr>
          <w:rStyle w:val="VerbatimChar"/>
        </w:rPr>
        <w:t xml:space="preserve">→ somente eventos v2</w:t>
      </w:r>
    </w:p>
    <w:p>
      <w:pPr>
        <w:pStyle w:val="FirstParagraph"/>
      </w:pPr>
      <w:r>
        <w:t xml:space="preserve">Essa associação não existe.</w:t>
      </w:r>
    </w:p>
    <w:p>
      <w:pPr>
        <w:pStyle w:val="BodyText"/>
      </w:pPr>
      <w:r>
        <w:t xml:space="preserve">API e eventos evoluem independentemente.</w:t>
      </w:r>
    </w:p>
    <w:p>
      <w:r>
        <w:pict>
          <v:rect style="width:0;height:1.5pt" o:hralign="center" o:hrstd="t" o:hr="t"/>
        </w:pict>
      </w:r>
    </w:p>
    <w:bookmarkEnd w:id="40"/>
    <w:bookmarkStart w:id="41" w:name="upcasting"/>
    <w:p>
      <w:pPr>
        <w:pStyle w:val="Heading1"/>
      </w:pPr>
      <w:r>
        <w:t xml:space="preserve">29. Upcasting</w:t>
      </w:r>
    </w:p>
    <w:p>
      <w:pPr>
        <w:pStyle w:val="FirstParagraph"/>
      </w:pPr>
      <w:r>
        <w:t xml:space="preserve">O MiniHub poderá utilizar futuramente um mecanismo de:</w:t>
      </w:r>
    </w:p>
    <w:p>
      <w:pPr>
        <w:pStyle w:val="SourceCode"/>
      </w:pPr>
      <w:r>
        <w:rPr>
          <w:rStyle w:val="VerbatimChar"/>
        </w:rPr>
        <w:t xml:space="preserve">upcasting</w:t>
      </w:r>
    </w:p>
    <w:p>
      <w:pPr>
        <w:pStyle w:val="FirstParagraph"/>
      </w:pPr>
      <w:r>
        <w:t xml:space="preserve">para converter:</w:t>
      </w:r>
    </w:p>
    <w:p>
      <w:pPr>
        <w:pStyle w:val="SourceCode"/>
      </w:pPr>
      <w:r>
        <w:rPr>
          <w:rStyle w:val="VerbatimChar"/>
        </w:rPr>
        <w:t xml:space="preserve">Event v1</w:t>
      </w:r>
    </w:p>
    <w:p>
      <w:pPr>
        <w:pStyle w:val="FirstParagraph"/>
      </w:pPr>
      <w:r>
        <w:t xml:space="preserve">em uma representação lógica:</w:t>
      </w:r>
    </w:p>
    <w:p>
      <w:pPr>
        <w:pStyle w:val="SourceCode"/>
      </w:pPr>
      <w:r>
        <w:rPr>
          <w:rStyle w:val="VerbatimChar"/>
        </w:rPr>
        <w:t xml:space="preserve">Current Event Model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Upcaster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Internal v2 representation</w:t>
      </w:r>
    </w:p>
    <w:p>
      <w:pPr>
        <w:pStyle w:val="FirstParagraph"/>
      </w:pPr>
      <w:r>
        <w:t xml:space="preserve">Isso não será obrigatório no MVP.</w:t>
      </w:r>
    </w:p>
    <w:p>
      <w:r>
        <w:pict>
          <v:rect style="width:0;height:1.5pt" o:hralign="center" o:hrstd="t" o:hr="t"/>
        </w:pict>
      </w:r>
    </w:p>
    <w:bookmarkEnd w:id="41"/>
    <w:bookmarkStart w:id="42" w:name="compatibilidade-entre-consumidores"/>
    <w:p>
      <w:pPr>
        <w:pStyle w:val="Heading1"/>
      </w:pPr>
      <w:r>
        <w:t xml:space="preserve">30. Compatibilidade entre consumidores</w:t>
      </w:r>
    </w:p>
    <w:p>
      <w:pPr>
        <w:pStyle w:val="FirstParagraph"/>
      </w:pPr>
      <w:r>
        <w:t xml:space="preserve">Durante uma migração: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Event v1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Event v2</w:t>
      </w:r>
    </w:p>
    <w:p>
      <w:pPr>
        <w:pStyle w:val="FirstParagraph"/>
      </w:pPr>
      <w:r>
        <w:t xml:space="preserve">poderão coexistir consumidores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Consumer A → v1</w:t>
      </w:r>
      <w:r>
        <w:br/>
      </w:r>
      <w:r>
        <w:rPr>
          <w:rStyle w:val="VerbatimChar"/>
        </w:rPr>
        <w:t xml:space="preserve">Consumer B → v2</w:t>
      </w:r>
    </w:p>
    <w:p>
      <w:pPr>
        <w:pStyle w:val="FirstParagraph"/>
      </w:pPr>
      <w:r>
        <w:t xml:space="preserve">até que a migração seja concluída.</w:t>
      </w:r>
    </w:p>
    <w:p>
      <w:r>
        <w:pict>
          <v:rect style="width:0;height:1.5pt" o:hralign="center" o:hrstd="t" o:hr="t"/>
        </w:pict>
      </w:r>
    </w:p>
    <w:bookmarkEnd w:id="42"/>
    <w:bookmarkStart w:id="43" w:name="depreciação"/>
    <w:p>
      <w:pPr>
        <w:pStyle w:val="Heading1"/>
      </w:pPr>
      <w:r>
        <w:t xml:space="preserve">31. Depreciação</w:t>
      </w:r>
    </w:p>
    <w:p>
      <w:pPr>
        <w:pStyle w:val="FirstParagraph"/>
      </w:pPr>
      <w:r>
        <w:t xml:space="preserve">Uma versão poderá ser marcada: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SUNSET</w:t>
      </w:r>
      <w:r>
        <w:br/>
      </w:r>
      <w:r>
        <w:rPr>
          <w:rStyle w:val="VerbatimChar"/>
        </w:rPr>
        <w:t xml:space="preserve">REMOVED</w:t>
      </w:r>
    </w:p>
    <w:p>
      <w:pPr>
        <w:pStyle w:val="FirstParagraph"/>
      </w:pPr>
      <w:r>
        <w:t xml:space="preserve">A remoção deverá considerar:</w:t>
      </w:r>
    </w:p>
    <w:p>
      <w:pPr>
        <w:pStyle w:val="SourceCode"/>
      </w:pPr>
      <w:r>
        <w:rPr>
          <w:rStyle w:val="VerbatimChar"/>
        </w:rPr>
        <w:t xml:space="preserve">consumidores ativos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métricas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contratos</w:t>
      </w:r>
    </w:p>
    <w:p>
      <w:r>
        <w:pict>
          <v:rect style="width:0;height:1.5pt" o:hralign="center" o:hrstd="t" o:hr="t"/>
        </w:pict>
      </w:r>
    </w:p>
    <w:bookmarkEnd w:id="43"/>
    <w:bookmarkStart w:id="44" w:name="contratos"/>
    <w:p>
      <w:pPr>
        <w:pStyle w:val="Heading1"/>
      </w:pPr>
      <w:r>
        <w:t xml:space="preserve">32. Contratos</w:t>
      </w:r>
    </w:p>
    <w:p>
      <w:pPr>
        <w:pStyle w:val="FirstParagraph"/>
      </w:pPr>
      <w:r>
        <w:t xml:space="preserve">Cada evento importante deverá possuir documentação contendo:</w:t>
      </w:r>
    </w:p>
    <w:p>
      <w:pPr>
        <w:pStyle w:val="SourceCode"/>
      </w:pP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Descrição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Campos obrigatórios</w:t>
      </w:r>
      <w:r>
        <w:br/>
      </w:r>
      <w:r>
        <w:rPr>
          <w:rStyle w:val="VerbatimChar"/>
        </w:rPr>
        <w:t xml:space="preserve">Campos opcionais</w:t>
      </w:r>
      <w:r>
        <w:br/>
      </w:r>
      <w:r>
        <w:rPr>
          <w:rStyle w:val="VerbatimChar"/>
        </w:rPr>
        <w:t xml:space="preserve">Semântica</w:t>
      </w:r>
      <w:r>
        <w:br/>
      </w:r>
      <w:r>
        <w:rPr>
          <w:rStyle w:val="VerbatimChar"/>
        </w:rPr>
        <w:t xml:space="preserve">Exemplos</w:t>
      </w:r>
      <w:r>
        <w:br/>
      </w:r>
      <w:r>
        <w:rPr>
          <w:rStyle w:val="VerbatimChar"/>
        </w:rPr>
        <w:t xml:space="preserve">Compatibilidade</w:t>
      </w:r>
      <w:r>
        <w:br/>
      </w:r>
      <w:r>
        <w:rPr>
          <w:rStyle w:val="VerbatimChar"/>
        </w:rPr>
        <w:t xml:space="preserve">Consumidores conhecidos</w:t>
      </w:r>
    </w:p>
    <w:p>
      <w:r>
        <w:pict>
          <v:rect style="width:0;height:1.5pt" o:hralign="center" o:hrstd="t" o:hr="t"/>
        </w:pict>
      </w:r>
    </w:p>
    <w:bookmarkEnd w:id="44"/>
    <w:bookmarkStart w:id="45" w:name="segurança"/>
    <w:p>
      <w:pPr>
        <w:pStyle w:val="Heading1"/>
      </w:pPr>
      <w:r>
        <w:t xml:space="preserve">33. Segurança</w:t>
      </w:r>
    </w:p>
    <w:p>
      <w:pPr>
        <w:pStyle w:val="FirstParagraph"/>
      </w:pPr>
      <w:r>
        <w:t xml:space="preserve">Eventos não deverão expor:</w:t>
      </w:r>
    </w:p>
    <w:p>
      <w:pPr>
        <w:pStyle w:val="SourceCode"/>
      </w:pPr>
      <w:r>
        <w:rPr>
          <w:rStyle w:val="VerbatimChar"/>
        </w:rPr>
        <w:t xml:space="preserve">senhas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credenciais</w:t>
      </w:r>
      <w:r>
        <w:br/>
      </w:r>
      <w:r>
        <w:rPr>
          <w:rStyle w:val="VerbatimChar"/>
        </w:rPr>
        <w:t xml:space="preserve">dados de cartão</w:t>
      </w:r>
      <w:r>
        <w:br/>
      </w:r>
      <w:r>
        <w:rPr>
          <w:rStyle w:val="VerbatimChar"/>
        </w:rPr>
        <w:t xml:space="preserve">segredos</w:t>
      </w:r>
    </w:p>
    <w:p>
      <w:pPr>
        <w:pStyle w:val="FirstParagraph"/>
      </w:pPr>
      <w:r>
        <w:t xml:space="preserve">Dados pessoais deverão seguir o princípio de minimização.</w:t>
      </w:r>
    </w:p>
    <w:p>
      <w:r>
        <w:pict>
          <v:rect style="width:0;height:1.5pt" o:hralign="center" o:hrstd="t" o:hr="t"/>
        </w:pict>
      </w:r>
    </w:p>
    <w:bookmarkEnd w:id="45"/>
    <w:bookmarkStart w:id="46" w:name="relação-com-e17"/>
    <w:p>
      <w:pPr>
        <w:pStyle w:val="Heading1"/>
      </w:pPr>
      <w:r>
        <w:t xml:space="preserve">34. Relação com E17</w:t>
      </w:r>
    </w:p>
    <w:p>
      <w:pPr>
        <w:pStyle w:val="FirstParagraph"/>
      </w:pPr>
      <w:r>
        <w:t xml:space="preserve">O E17 Notifications consumirá eventos.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E17 não deverá alterar: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Ledger</w:t>
      </w:r>
    </w:p>
    <w:p>
      <w:pPr>
        <w:pStyle w:val="FirstParagraph"/>
      </w:pPr>
      <w:r>
        <w:t xml:space="preserve">apenas porque recebeu o evento.</w:t>
      </w:r>
    </w:p>
    <w:p>
      <w:r>
        <w:pict>
          <v:rect style="width:0;height:1.5pt" o:hralign="center" o:hrstd="t" o:hr="t"/>
        </w:pict>
      </w:r>
    </w:p>
    <w:bookmarkEnd w:id="46"/>
    <w:bookmarkStart w:id="47" w:name="relação-com-e21"/>
    <w:p>
      <w:pPr>
        <w:pStyle w:val="Heading1"/>
      </w:pPr>
      <w:r>
        <w:t xml:space="preserve">35. Relação com E21</w:t>
      </w:r>
    </w:p>
    <w:p>
      <w:pPr>
        <w:pStyle w:val="FirstParagraph"/>
      </w:pPr>
      <w:r>
        <w:t xml:space="preserve">Integrações externas poderão consumir ou produzir eventos.</w:t>
      </w:r>
    </w:p>
    <w:p>
      <w:pPr>
        <w:pStyle w:val="BodyText"/>
      </w:pPr>
      <w:r>
        <w:t xml:space="preserve">O E21 continuará sendo responsável por:</w:t>
      </w:r>
    </w:p>
    <w:p>
      <w:pPr>
        <w:pStyle w:val="SourceCode"/>
      </w:pP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credencial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normalização</w:t>
      </w:r>
    </w:p>
    <w:p>
      <w:pPr>
        <w:pStyle w:val="FirstParagraph"/>
      </w:pPr>
      <w:r>
        <w:t xml:space="preserve">O domínio continuará independente do fornecedor.</w:t>
      </w:r>
    </w:p>
    <w:p>
      <w:r>
        <w:pict>
          <v:rect style="width:0;height:1.5pt" o:hralign="center" o:hrstd="t" o:hr="t"/>
        </w:pict>
      </w:r>
    </w:p>
    <w:bookmarkEnd w:id="47"/>
    <w:bookmarkStart w:id="48" w:name="relação-com-e22"/>
    <w:p>
      <w:pPr>
        <w:pStyle w:val="Heading1"/>
      </w:pPr>
      <w:r>
        <w:t xml:space="preserve">36. Relação com E22</w:t>
      </w:r>
    </w:p>
    <w:p>
      <w:pPr>
        <w:pStyle w:val="FirstParagraph"/>
      </w:pPr>
      <w:r>
        <w:t xml:space="preserve">O evento deverá permitir observabilidade: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</w:p>
    <w:p>
      <w:pPr>
        <w:pStyle w:val="FirstParagraph"/>
      </w:pPr>
      <w:r>
        <w:t xml:space="preserve">O E22 poderá rastrear:</w:t>
      </w:r>
    </w:p>
    <w:p>
      <w:pPr>
        <w:pStyle w:val="SourceCode"/>
      </w:pPr>
      <w:r>
        <w:rPr>
          <w:rStyle w:val="VerbatimChar"/>
        </w:rPr>
        <w:t xml:space="preserve">produção</w:t>
      </w:r>
      <w:r>
        <w:br/>
      </w:r>
      <w:r>
        <w:rPr>
          <w:rStyle w:val="VerbatimChar"/>
        </w:rPr>
        <w:t xml:space="preserve">publicação</w:t>
      </w:r>
      <w:r>
        <w:br/>
      </w:r>
      <w:r>
        <w:rPr>
          <w:rStyle w:val="VerbatimChar"/>
        </w:rPr>
        <w:t xml:space="preserve">consumo</w:t>
      </w:r>
      <w:r>
        <w:br/>
      </w:r>
      <w:r>
        <w:rPr>
          <w:rStyle w:val="VerbatimChar"/>
        </w:rPr>
        <w:t xml:space="preserve">erro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48"/>
    <w:bookmarkStart w:id="49" w:name="relação-com-e23"/>
    <w:p>
      <w:pPr>
        <w:pStyle w:val="Heading1"/>
      </w:pPr>
      <w:r>
        <w:t xml:space="preserve">37. Relação com E23</w:t>
      </w:r>
    </w:p>
    <w:p>
      <w:pPr>
        <w:pStyle w:val="FirstParagraph"/>
      </w:pPr>
      <w:r>
        <w:t xml:space="preserve">O E23 executará o processamento assíncrono.</w:t>
      </w:r>
    </w:p>
    <w:p>
      <w:pPr>
        <w:pStyle w:val="SourceCode"/>
      </w:pPr>
      <w:r>
        <w:rPr>
          <w:rStyle w:val="VerbatimChar"/>
        </w:rPr>
        <w:t xml:space="preserve">ADR-011</w:t>
      </w:r>
      <w:r>
        <w:br/>
      </w:r>
      <w:r>
        <w:rPr>
          <w:rStyle w:val="VerbatimChar"/>
        </w:rPr>
        <w:t xml:space="preserve">define:</w:t>
      </w:r>
      <w:r>
        <w:br/>
      </w:r>
      <w:r>
        <w:rPr>
          <w:rStyle w:val="VerbatimChar"/>
        </w:rPr>
        <w:t xml:space="preserve">como o contrato evolui</w:t>
      </w:r>
      <w:r>
        <w:br/>
      </w:r>
      <w:r>
        <w:br/>
      </w: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define:</w:t>
      </w:r>
      <w:r>
        <w:br/>
      </w:r>
      <w:r>
        <w:rPr>
          <w:rStyle w:val="VerbatimChar"/>
        </w:rPr>
        <w:t xml:space="preserve">como ele é processado</w:t>
      </w:r>
    </w:p>
    <w:p>
      <w:r>
        <w:pict>
          <v:rect style="width:0;height:1.5pt" o:hralign="center" o:hrstd="t" o:hr="t"/>
        </w:pict>
      </w:r>
    </w:p>
    <w:bookmarkEnd w:id="49"/>
    <w:bookmarkStart w:id="50" w:name="regras-congeladas"/>
    <w:p>
      <w:pPr>
        <w:pStyle w:val="Heading1"/>
      </w:pPr>
      <w:r>
        <w:t xml:space="preserve">38. Regras congeladas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ADR11.01</w:t>
            </w:r>
          </w:p>
        </w:tc>
        <w:tc>
          <w:tcPr/>
          <w:p>
            <w:pPr>
              <w:pStyle w:val="Compact"/>
            </w:pPr>
            <w:r>
              <w:t xml:space="preserve">Eventos são contratos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ADR11.02</w:t>
            </w:r>
          </w:p>
        </w:tc>
        <w:tc>
          <w:tcPr/>
          <w:p>
            <w:pPr>
              <w:pStyle w:val="Compact"/>
            </w:pPr>
            <w:r>
              <w:t xml:space="preserve">API e evento possuem versionamento independente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ADR11.03</w:t>
            </w:r>
          </w:p>
        </w:tc>
        <w:tc>
          <w:tcPr/>
          <w:p>
            <w:pPr>
              <w:pStyle w:val="Compact"/>
            </w:pPr>
            <w:r>
              <w:t xml:space="preserve">Mudança compatível mantém 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ADR11.04</w:t>
            </w:r>
          </w:p>
        </w:tc>
        <w:tc>
          <w:tcPr/>
          <w:p>
            <w:pPr>
              <w:pStyle w:val="Compact"/>
            </w:pPr>
            <w:r>
              <w:t xml:space="preserve">Mudança incompatível cria nova 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ADR11.05</w:t>
            </w:r>
          </w:p>
        </w:tc>
        <w:tc>
          <w:tcPr/>
          <w:p>
            <w:pPr>
              <w:pStyle w:val="Compact"/>
            </w:pPr>
            <w:r>
              <w:t xml:space="preserve">Eventos publicados são imutáveis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ADR11.06</w:t>
            </w:r>
          </w:p>
        </w:tc>
        <w:tc>
          <w:tcPr/>
          <w:p>
            <w:pPr>
              <w:pStyle w:val="Compact"/>
            </w:pPr>
            <w:r>
              <w:t xml:space="preserve">Eventos possuem ID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ADR11.07</w:t>
            </w:r>
          </w:p>
        </w:tc>
        <w:tc>
          <w:tcPr/>
          <w:p>
            <w:pPr>
              <w:pStyle w:val="Compact"/>
            </w:pPr>
            <w:r>
              <w:t xml:space="preserve">Eventos possuem 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ADR11.08</w:t>
            </w:r>
          </w:p>
        </w:tc>
        <w:tc>
          <w:tcPr/>
          <w:p>
            <w:pPr>
              <w:pStyle w:val="Compact"/>
            </w:pPr>
            <w:r>
              <w:t xml:space="preserve">Eventos possuem 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ADR11.09</w:t>
            </w:r>
          </w:p>
        </w:tc>
        <w:tc>
          <w:tcPr/>
          <w:p>
            <w:pPr>
              <w:pStyle w:val="Compact"/>
            </w:pPr>
            <w:r>
              <w:t xml:space="preserve">Eventos possuem correlation_id quando aplicável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ADR11.10</w:t>
            </w:r>
          </w:p>
        </w:tc>
        <w:tc>
          <w:tcPr/>
          <w:p>
            <w:pPr>
              <w:pStyle w:val="Compact"/>
            </w:pPr>
            <w:r>
              <w:t xml:space="preserve">Eventos poderão possuir causation_id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ADR11.11</w:t>
            </w:r>
          </w:p>
        </w:tc>
        <w:tc>
          <w:tcPr/>
          <w:p>
            <w:pPr>
              <w:pStyle w:val="Compact"/>
            </w:pPr>
            <w:r>
              <w:t xml:space="preserve">Replay não modifica 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ADR11.12</w:t>
            </w:r>
          </w:p>
        </w:tc>
        <w:tc>
          <w:tcPr/>
          <w:p>
            <w:pPr>
              <w:pStyle w:val="Compact"/>
            </w:pPr>
            <w:r>
              <w:t xml:space="preserve">Consumidores devem tolerar campos adicionais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ADR11.13</w:t>
            </w:r>
          </w:p>
        </w:tc>
        <w:tc>
          <w:tcPr/>
          <w:p>
            <w:pPr>
              <w:pStyle w:val="Compact"/>
            </w:pPr>
            <w:r>
              <w:t xml:space="preserve">Event version é independente de API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ADR11.14</w:t>
            </w:r>
          </w:p>
        </w:tc>
        <w:tc>
          <w:tcPr/>
          <w:p>
            <w:pPr>
              <w:pStyle w:val="Compact"/>
            </w:pPr>
            <w:r>
              <w:t xml:space="preserve">Upcasting é permitido futuramente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ADR11.15</w:t>
            </w:r>
          </w:p>
        </w:tc>
        <w:tc>
          <w:tcPr/>
          <w:p>
            <w:pPr>
              <w:pStyle w:val="Compact"/>
            </w:pPr>
            <w:r>
              <w:t xml:space="preserve">Contratos deverão ser documentados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golden-rule"/>
    <w:p>
      <w:pPr>
        <w:pStyle w:val="Heading1"/>
      </w:pPr>
      <w:r>
        <w:t xml:space="preserve">39. Golden Rule</w:t>
      </w:r>
    </w:p>
    <w:p>
      <w:pPr>
        <w:pStyle w:val="BlockText"/>
      </w:pPr>
      <w:r>
        <w:rPr>
          <w:b/>
          <w:bCs/>
        </w:rPr>
        <w:t xml:space="preserve">Um evento publicado representa um fato imutável. Quando o contrato evoluir de maneira incompatível, o MiniHub deverá criar uma nova versão em vez de modificar silenciosamente o significado da versão existente.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