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DDF2B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MiniHub</w:t>
      </w:r>
      <w:proofErr w:type="spellEnd"/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Car</w:t>
      </w:r>
      <w:proofErr w:type="spellEnd"/>
    </w:p>
    <w:p w14:paraId="61677439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ADR-018 — Fronteira Exata do </w:t>
      </w:r>
      <w:proofErr w:type="spellStart"/>
      <w:r w:rsidRPr="003B0A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Backend</w:t>
      </w:r>
      <w:proofErr w:type="spellEnd"/>
      <w:r w:rsidRPr="003B0A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for </w:t>
      </w:r>
      <w:proofErr w:type="spellStart"/>
      <w:r w:rsidRPr="003B0A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Frontend</w:t>
      </w:r>
      <w:proofErr w:type="spellEnd"/>
      <w:r w:rsidRPr="003B0A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(BFF)</w:t>
      </w:r>
    </w:p>
    <w:p w14:paraId="58E2956F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Car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Domínio: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minihubcar.com.br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Documento: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ADR-018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1.1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ACEITO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Categoria: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Arquitetura / Segurança /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</w:p>
    <w:p w14:paraId="078B9E4A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632E29">
          <v:rect id="_x0000_i1025" style="width:0;height:1.5pt" o:hralign="center" o:hrstd="t" o:hr="t" fillcolor="#a0a0a0" stroked="f"/>
        </w:pict>
      </w:r>
    </w:p>
    <w:p w14:paraId="124443FE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</w:t>
      </w:r>
    </w:p>
    <w:p w14:paraId="5FF12935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uma única vez a fronteira entre:</w:t>
      </w:r>
    </w:p>
    <w:p w14:paraId="41C6D07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0338228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B91387D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2D30C3AB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42CF40B3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MiniHub API</w:t>
      </w:r>
    </w:p>
    <w:p w14:paraId="23F1FB1B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53AF9C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128C046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2091D27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1543DA0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Esta ADR substitui descrições repetidas da mesma fronteira em outros documentos.</w:t>
      </w:r>
    </w:p>
    <w:p w14:paraId="6710EEC0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Os documentos:</w:t>
      </w:r>
    </w:p>
    <w:p w14:paraId="0FA4274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ADR-005</w:t>
      </w:r>
    </w:p>
    <w:p w14:paraId="2783750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ADR-006</w:t>
      </w:r>
    </w:p>
    <w:p w14:paraId="792C99A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B04</w:t>
      </w:r>
    </w:p>
    <w:p w14:paraId="3F0E8F6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B07</w:t>
      </w:r>
    </w:p>
    <w:p w14:paraId="2CA03B0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VS01.4</w:t>
      </w:r>
    </w:p>
    <w:p w14:paraId="1A0683B8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referenciar esta ADR quando tratarem da fronteira BFF.</w:t>
      </w:r>
    </w:p>
    <w:p w14:paraId="06F7F873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EEA871">
          <v:rect id="_x0000_i1026" style="width:0;height:1.5pt" o:hralign="center" o:hrstd="t" o:hr="t" fillcolor="#a0a0a0" stroked="f"/>
        </w:pict>
      </w:r>
    </w:p>
    <w:p w14:paraId="7202F5A4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Decisão</w:t>
      </w:r>
    </w:p>
    <w:p w14:paraId="769698AC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Web utilizará um </w:t>
      </w:r>
      <w:proofErr w:type="spellStart"/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for </w:t>
      </w:r>
      <w:proofErr w:type="spellStart"/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(BFF)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implementado na aplicação Next.js.</w:t>
      </w:r>
    </w:p>
    <w:p w14:paraId="0A6C07AF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será responsável pelas preocupações específicas da aplicação Web:</w:t>
      </w:r>
    </w:p>
    <w:p w14:paraId="6D6F682A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OAuth/OIDC</w:t>
      </w:r>
    </w:p>
    <w:p w14:paraId="65FBF7C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Sessão</w:t>
      </w:r>
    </w:p>
    <w:p w14:paraId="0E5EB76A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Cookies</w:t>
      </w:r>
    </w:p>
    <w:p w14:paraId="62AF109B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CSRF</w:t>
      </w:r>
    </w:p>
    <w:p w14:paraId="711D05DD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 do Browser</w:t>
      </w:r>
    </w:p>
    <w:p w14:paraId="0176DD49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Adaptação de apresentação</w:t>
      </w:r>
    </w:p>
    <w:p w14:paraId="4813DF8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Encaminhamento controlado para a API</w:t>
      </w:r>
    </w:p>
    <w:p w14:paraId="3D725B97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continuará responsável por:</w:t>
      </w:r>
    </w:p>
    <w:p w14:paraId="67307B3B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Identidade interna</w:t>
      </w:r>
    </w:p>
    <w:p w14:paraId="49F47C4C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Autorização</w:t>
      </w:r>
    </w:p>
    <w:p w14:paraId="43513EBC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</w:p>
    <w:p w14:paraId="1EE084F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Regras de negócio</w:t>
      </w:r>
    </w:p>
    <w:p w14:paraId="2658F8CE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Transações</w:t>
      </w:r>
    </w:p>
    <w:p w14:paraId="3E4DB5DA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Persistência</w:t>
      </w:r>
    </w:p>
    <w:p w14:paraId="46463CD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Eventos</w:t>
      </w:r>
    </w:p>
    <w:p w14:paraId="0F9808DA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56984E63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Workers</w:t>
      </w:r>
      <w:proofErr w:type="spellEnd"/>
    </w:p>
    <w:p w14:paraId="2C0418D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Integrações</w:t>
      </w:r>
    </w:p>
    <w:p w14:paraId="3439A0A9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separação é compatível com o padrão BFF descrito no RFC 10017, no qual o BFF atua como cliente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confidencial, mantém os tokens associados à sessão e encaminha as requisições ao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resource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server.</w:t>
      </w:r>
    </w:p>
    <w:p w14:paraId="21D541D9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C0F72E">
          <v:rect id="_x0000_i1027" style="width:0;height:1.5pt" o:hralign="center" o:hrstd="t" o:hr="t" fillcolor="#a0a0a0" stroked="f"/>
        </w:pict>
      </w:r>
    </w:p>
    <w:p w14:paraId="0D4BDC21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Fronteira arquitetural única</w:t>
      </w:r>
    </w:p>
    <w:p w14:paraId="32489D9B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┌──────────────────────────────┐</w:t>
      </w:r>
    </w:p>
    <w:p w14:paraId="26D2FEF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│           Browser            │</w:t>
      </w:r>
    </w:p>
    <w:p w14:paraId="078BA099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 │</w:t>
      </w:r>
    </w:p>
    <w:p w14:paraId="129CCBC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UI /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UX / UI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State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24423BA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└──────────────┬───────────────┘</w:t>
      </w:r>
    </w:p>
    <w:p w14:paraId="1BF65B0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│</w:t>
      </w:r>
    </w:p>
    <w:p w14:paraId="550E85E3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│ HTTPS</w:t>
      </w:r>
    </w:p>
    <w:p w14:paraId="293342B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│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Cookie</w:t>
      </w:r>
    </w:p>
    <w:p w14:paraId="2E93138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▼</w:t>
      </w:r>
    </w:p>
    <w:p w14:paraId="5B6068CC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┌──────────────────────────────┐</w:t>
      </w:r>
    </w:p>
    <w:p w14:paraId="1CA13CA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│        Next.js / BFF         │</w:t>
      </w:r>
    </w:p>
    <w:p w14:paraId="70A033F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 │</w:t>
      </w:r>
    </w:p>
    <w:p w14:paraId="4CF5B8FC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OAuth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/OIDC                   │</w:t>
      </w:r>
    </w:p>
    <w:p w14:paraId="09C66EF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1C9AF3C3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│ Cookie                       │</w:t>
      </w:r>
    </w:p>
    <w:p w14:paraId="7F863C0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│ CSRF                         │</w:t>
      </w:r>
    </w:p>
    <w:p w14:paraId="5BB8ED1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Web HTTP                     │</w:t>
      </w:r>
    </w:p>
    <w:p w14:paraId="606C9FF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Presentation Adaptation      │</w:t>
      </w:r>
    </w:p>
    <w:p w14:paraId="42409B7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Controlled API Calls         │</w:t>
      </w:r>
    </w:p>
    <w:p w14:paraId="43983569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└──────────────┬───────────────┘</w:t>
      </w:r>
    </w:p>
    <w:p w14:paraId="4145E48C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│</w:t>
      </w:r>
    </w:p>
    <w:p w14:paraId="315D9BD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│ server-to-server</w:t>
      </w:r>
    </w:p>
    <w:p w14:paraId="6F2F42F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│ access token</w:t>
      </w:r>
    </w:p>
    <w:p w14:paraId="0328033A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▼</w:t>
      </w:r>
    </w:p>
    <w:p w14:paraId="31107C4C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┌──────────────────────────────┐</w:t>
      </w:r>
    </w:p>
    <w:p w14:paraId="607D3A3D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     MiniHub REST API      │</w:t>
      </w:r>
    </w:p>
    <w:p w14:paraId="3F3023B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                           │</w:t>
      </w:r>
    </w:p>
    <w:p w14:paraId="34D69FA9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Authentication Context       │</w:t>
      </w:r>
    </w:p>
    <w:p w14:paraId="28B7E61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│ Authorization                │</w:t>
      </w:r>
    </w:p>
    <w:p w14:paraId="3203F0EE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Ownership                    │</w:t>
      </w:r>
    </w:p>
    <w:p w14:paraId="5C3EA0BE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Application Services         │</w:t>
      </w:r>
    </w:p>
    <w:p w14:paraId="69A9816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Domain Rules                 │</w:t>
      </w:r>
    </w:p>
    <w:p w14:paraId="26D600D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Transactions                 │</w:t>
      </w:r>
    </w:p>
    <w:p w14:paraId="7AEC242E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Repositories                 │</w:t>
      </w:r>
    </w:p>
    <w:p w14:paraId="5034E94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Outbox / Events              │</w:t>
      </w:r>
    </w:p>
    <w:p w14:paraId="18E535DC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└──────────────┬───────────────┘</w:t>
      </w:r>
    </w:p>
    <w:p w14:paraId="2C500B3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│</w:t>
      </w:r>
    </w:p>
    <w:p w14:paraId="15CA419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▼</w:t>
      </w:r>
    </w:p>
    <w:p w14:paraId="0B42780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┌──────────────┐</w:t>
      </w:r>
    </w:p>
    <w:p w14:paraId="10034CE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 PostgreSQL   │</w:t>
      </w:r>
    </w:p>
    <w:p w14:paraId="69AB1CA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└──────────────┘</w:t>
      </w:r>
    </w:p>
    <w:p w14:paraId="647621FB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é o </w:t>
      </w:r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único fluxo arquitetural oficial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fronteira BFF.</w:t>
      </w:r>
    </w:p>
    <w:p w14:paraId="23027DB1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serão mantidos diagramas equivalentes em outros documentos.</w:t>
      </w:r>
    </w:p>
    <w:p w14:paraId="319CAB2B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D76A6B">
          <v:rect id="_x0000_i1028" style="width:0;height:1.5pt" o:hralign="center" o:hrstd="t" o:hr="t" fillcolor="#a0a0a0" stroked="f"/>
        </w:pict>
      </w:r>
    </w:p>
    <w:p w14:paraId="625F6F7B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Responsabilidades do BFF</w:t>
      </w:r>
    </w:p>
    <w:p w14:paraId="024499E1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executar somente lógica necessária para a fronteira Web.</w:t>
      </w:r>
    </w:p>
    <w:p w14:paraId="1CCFF833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Inclui:</w:t>
      </w:r>
    </w:p>
    <w:p w14:paraId="71717D7D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iniciar o fluxo OIDC;</w:t>
      </w:r>
    </w:p>
    <w:p w14:paraId="29E827C3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Authorization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4A4A275A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PKCE;</w:t>
      </w:r>
    </w:p>
    <w:p w14:paraId="19D4746D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callback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6832D14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da transação de autenticação;</w:t>
      </w:r>
    </w:p>
    <w:p w14:paraId="71650392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gerenciamento da sessão Web;</w:t>
      </w:r>
    </w:p>
    <w:p w14:paraId="4B46F7CB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emissão e invalidação do cookie;</w:t>
      </w:r>
    </w:p>
    <w:p w14:paraId="7C9CF50B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renovação de credenciais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C71A015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 CSRF;</w:t>
      </w:r>
    </w:p>
    <w:p w14:paraId="1E170D7D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HTTP específico do Browser;</w:t>
      </w:r>
    </w:p>
    <w:p w14:paraId="756D2F4D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adaptação de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DTOs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ViewModels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8BC9455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agregação de chamadas quando útil à UI;</w:t>
      </w:r>
    </w:p>
    <w:p w14:paraId="7593685A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adaptação de erros para apresentação;</w:t>
      </w:r>
    </w:p>
    <w:p w14:paraId="33173F0E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correlation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tracing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1DDAC764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rate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limiting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específico da Web;</w:t>
      </w:r>
    </w:p>
    <w:p w14:paraId="6D200FDB" w14:textId="77777777" w:rsidR="003B0ADD" w:rsidRPr="003B0ADD" w:rsidRDefault="003B0ADD" w:rsidP="003B0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encaminhamento controlado para a API.</w:t>
      </w:r>
    </w:p>
    <w:p w14:paraId="020D3E2C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1A4206">
          <v:rect id="_x0000_i1029" style="width:0;height:1.5pt" o:hralign="center" o:hrstd="t" o:hr="t" fillcolor="#a0a0a0" stroked="f"/>
        </w:pict>
      </w:r>
    </w:p>
    <w:p w14:paraId="5116C9F7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Limite do BFF</w:t>
      </w:r>
    </w:p>
    <w:p w14:paraId="724EFA79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BFF termina quando a requisição passa a representar uma operação de negócio do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AEBDA75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Exemplo:</w:t>
      </w:r>
    </w:p>
    <w:p w14:paraId="2528A6ED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2398A592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é uma preocupação Web.</w:t>
      </w:r>
    </w:p>
    <w:p w14:paraId="321492DA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Mas:</w:t>
      </w:r>
    </w:p>
    <w:p w14:paraId="5A52939B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addExemplarToCollection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CF5760E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operação de negócio.</w:t>
      </w:r>
    </w:p>
    <w:p w14:paraId="5FBEBB45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Portanto:</w:t>
      </w:r>
    </w:p>
    <w:p w14:paraId="33232B2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673B058D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5E50EDA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61B9198B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515E47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03EA12C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45DE3D1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</w:t>
      </w:r>
    </w:p>
    <w:p w14:paraId="79D9B5E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30243B0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</w:p>
    <w:p w14:paraId="78F87857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BFF não implementará </w:t>
      </w:r>
      <w:proofErr w:type="spellStart"/>
      <w:proofErr w:type="gram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addExemplarToCollection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F2D9FC8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6387AA">
          <v:rect id="_x0000_i1030" style="width:0;height:1.5pt" o:hralign="center" o:hrstd="t" o:hr="t" fillcolor="#a0a0a0" stroked="f"/>
        </w:pict>
      </w:r>
    </w:p>
    <w:p w14:paraId="4457B75D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Regra definitiva de classificação</w:t>
      </w:r>
    </w:p>
    <w:p w14:paraId="7422406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regra deverá ser colocada no BFF somente quando ela existir </w:t>
      </w:r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causa da Web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10E870A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Se a regra continuar necessária para:</w:t>
      </w:r>
    </w:p>
    <w:p w14:paraId="055F64C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Mobile</w:t>
      </w:r>
    </w:p>
    <w:p w14:paraId="37A9C71D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API externa</w:t>
      </w:r>
    </w:p>
    <w:p w14:paraId="07486C7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</w:p>
    <w:p w14:paraId="0074FAC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Outro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14:paraId="22C561F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Integração</w:t>
      </w:r>
    </w:p>
    <w:p w14:paraId="094BE0A8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pertence ao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EF6342F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Esta regra substitui qualquer matriz de decisão semelhante presente em documentos anteriores.</w:t>
      </w:r>
    </w:p>
    <w:p w14:paraId="063CB22D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587A66">
          <v:rect id="_x0000_i1031" style="width:0;height:1.5pt" o:hralign="center" o:hrstd="t" o:hr="t" fillcolor="#a0a0a0" stroked="f"/>
        </w:pict>
      </w:r>
    </w:p>
    <w:p w14:paraId="618C21E4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Autenticação</w:t>
      </w:r>
    </w:p>
    <w:p w14:paraId="57FD14D9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será o componente Web responsável pelo fluxo:</w:t>
      </w:r>
    </w:p>
    <w:p w14:paraId="2315ADB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OIDC</w:t>
      </w:r>
    </w:p>
    <w:p w14:paraId="11B4FF2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Code</w:t>
      </w:r>
      <w:proofErr w:type="spellEnd"/>
    </w:p>
    <w:p w14:paraId="67AD0FD9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PKCE</w:t>
      </w:r>
    </w:p>
    <w:p w14:paraId="7545D6C3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Browser não será responsável por gerenciar diretamente os tokens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usados para acessar a API.</w:t>
      </w:r>
    </w:p>
    <w:p w14:paraId="134CFC5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RFC 10017 define o BFF como uma arquitetura na qual 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assume as responsabilidades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mantém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access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refresh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tokens associados à sessão, evitando sua exposição direta à aplicação browser.</w:t>
      </w:r>
    </w:p>
    <w:p w14:paraId="0B7A49A4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5C5547">
          <v:rect id="_x0000_i1032" style="width:0;height:1.5pt" o:hralign="center" o:hrstd="t" o:hr="t" fillcolor="#a0a0a0" stroked="f"/>
        </w:pict>
      </w:r>
    </w:p>
    <w:p w14:paraId="6D67C17D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Sessão</w:t>
      </w:r>
    </w:p>
    <w:p w14:paraId="4076B8FE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autenticação, o BFF estabelecerá uma sessão da aplicação.</w:t>
      </w:r>
    </w:p>
    <w:p w14:paraId="25A3C75C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Browser possuirá apenas o mecanismo necessário para identificar essa sessão.</w:t>
      </w:r>
    </w:p>
    <w:p w14:paraId="1723DB28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Preferência:</w:t>
      </w:r>
    </w:p>
    <w:p w14:paraId="559B52FD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HttpOnly</w:t>
      </w:r>
      <w:proofErr w:type="spellEnd"/>
    </w:p>
    <w:p w14:paraId="42CB9C5C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Secure</w:t>
      </w:r>
      <w:proofErr w:type="spellEnd"/>
    </w:p>
    <w:p w14:paraId="183A573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SameSite</w:t>
      </w:r>
      <w:proofErr w:type="spellEnd"/>
    </w:p>
    <w:p w14:paraId="1130414E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token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será disponibilizado ao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aplicação.</w:t>
      </w:r>
    </w:p>
    <w:p w14:paraId="034617E5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403D70">
          <v:rect id="_x0000_i1033" style="width:0;height:1.5pt" o:hralign="center" o:hrstd="t" o:hr="t" fillcolor="#a0a0a0" stroked="f"/>
        </w:pict>
      </w:r>
    </w:p>
    <w:p w14:paraId="330F5567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9. Tokens </w:t>
      </w:r>
      <w:proofErr w:type="spellStart"/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OAuth</w:t>
      </w:r>
      <w:proofErr w:type="spellEnd"/>
    </w:p>
    <w:p w14:paraId="6E4C2683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Access Tokens e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Refresh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Tokens ficarão sob controle do BFF.</w:t>
      </w:r>
    </w:p>
    <w:p w14:paraId="7A6E551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utilizar:</w:t>
      </w:r>
    </w:p>
    <w:p w14:paraId="75C43E8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localStorage</w:t>
      </w:r>
    </w:p>
    <w:p w14:paraId="049FD12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sessionStorage</w:t>
      </w:r>
    </w:p>
    <w:p w14:paraId="0226C438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para armazenar:</w:t>
      </w:r>
    </w:p>
    <w:p w14:paraId="24425B0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access_token</w:t>
      </w:r>
    </w:p>
    <w:p w14:paraId="20AB0EB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refresh_token</w:t>
      </w:r>
    </w:p>
    <w:p w14:paraId="5D602D9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id_token</w:t>
      </w:r>
      <w:proofErr w:type="spellEnd"/>
    </w:p>
    <w:p w14:paraId="4DC0D829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client_secret</w:t>
      </w:r>
      <w:proofErr w:type="spellEnd"/>
    </w:p>
    <w:p w14:paraId="7A31777B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RFC 10017 descreve explicitamente essa característica do BFF: tokens permanecem associados à sessão do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não são expostos à aplicação browser.</w:t>
      </w:r>
    </w:p>
    <w:p w14:paraId="56C19AAD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81D7D1">
          <v:rect id="_x0000_i1034" style="width:0;height:1.5pt" o:hralign="center" o:hrstd="t" o:hr="t" fillcolor="#a0a0a0" stroked="f"/>
        </w:pict>
      </w:r>
    </w:p>
    <w:p w14:paraId="5C57B563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10. Identidade interna</w:t>
      </w:r>
    </w:p>
    <w:p w14:paraId="2BD68F4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participa da autenticação externa, mas não é a autoridade final da identidade de negócio.</w:t>
      </w:r>
    </w:p>
    <w:p w14:paraId="61444BDF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estabelecerá:</w:t>
      </w:r>
    </w:p>
    <w:p w14:paraId="141F8E1E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External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</w:p>
    <w:p w14:paraId="199BE22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0C3FB01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</w:p>
    <w:p w14:paraId="02520AA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206EEB3B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</w:p>
    <w:p w14:paraId="5A42EC02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A associação da identidade externa utilizará:</w:t>
      </w:r>
    </w:p>
    <w:p w14:paraId="5464F4B3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subject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00C470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não 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identificador técnico primário.</w:t>
      </w:r>
    </w:p>
    <w:p w14:paraId="320E9743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413694">
          <v:rect id="_x0000_i1035" style="width:0;height:1.5pt" o:hralign="center" o:hrstd="t" o:hr="t" fillcolor="#a0a0a0" stroked="f"/>
        </w:pict>
      </w:r>
    </w:p>
    <w:p w14:paraId="74CDC180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Autorização</w:t>
      </w:r>
    </w:p>
    <w:p w14:paraId="14853560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BFF não substitui a autorização do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55D70A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continuará responsável por verificar:</w:t>
      </w:r>
    </w:p>
    <w:p w14:paraId="7CB87DA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identidade</w:t>
      </w:r>
    </w:p>
    <w:p w14:paraId="4CB9639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role</w:t>
      </w:r>
    </w:p>
    <w:p w14:paraId="7F2E24F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capability</w:t>
      </w:r>
      <w:proofErr w:type="spellEnd"/>
    </w:p>
    <w:p w14:paraId="284D0FC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</w:p>
    <w:p w14:paraId="2F62ABBE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estado do recurso</w:t>
      </w:r>
    </w:p>
    <w:p w14:paraId="7763742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política de negócio</w:t>
      </w:r>
    </w:p>
    <w:p w14:paraId="3D6D18F3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UI poderá utilizar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capabilities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adaptar a experiência, mas isso não constitui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boundary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segurança.</w:t>
      </w:r>
    </w:p>
    <w:p w14:paraId="1D62EF15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D7BAD0">
          <v:rect id="_x0000_i1036" style="width:0;height:1.5pt" o:hralign="center" o:hrstd="t" o:hr="t" fillcolor="#a0a0a0" stroked="f"/>
        </w:pict>
      </w:r>
    </w:p>
    <w:p w14:paraId="777AB312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Banco de dados</w:t>
      </w:r>
    </w:p>
    <w:p w14:paraId="3934AD74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não acessará diretamente o banco de domínio.</w:t>
      </w:r>
    </w:p>
    <w:p w14:paraId="34EF14FB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permitido:</w:t>
      </w:r>
    </w:p>
    <w:p w14:paraId="5304B2DB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BFF → SQL → PostgreSQL</w:t>
      </w:r>
    </w:p>
    <w:p w14:paraId="764E54F2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acesso deverá ser:</w:t>
      </w:r>
    </w:p>
    <w:p w14:paraId="361DBC8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BFF</w:t>
      </w:r>
    </w:p>
    <w:p w14:paraId="2DD56C9E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FB4B56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</w:t>
      </w:r>
    </w:p>
    <w:p w14:paraId="029F04C3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9865B13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22609E2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FA01C2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</w:p>
    <w:p w14:paraId="6C63EF4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0DFA08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2E1D5EB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utilizar um armazenamento técnico de sessão quando necessário.</w:t>
      </w:r>
    </w:p>
    <w:p w14:paraId="37C84563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Esse armazenamento não será considerado banco de domínio.</w:t>
      </w:r>
    </w:p>
    <w:p w14:paraId="191AC0CE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267861">
          <v:rect id="_x0000_i1037" style="width:0;height:1.5pt" o:hralign="center" o:hrstd="t" o:hr="t" fillcolor="#a0a0a0" stroked="f"/>
        </w:pict>
      </w:r>
    </w:p>
    <w:p w14:paraId="32637082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Regras de negócio</w:t>
      </w:r>
    </w:p>
    <w:p w14:paraId="2BE0049E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pertencem ao BFF:</w:t>
      </w:r>
    </w:p>
    <w:p w14:paraId="4C1DEFA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estoque</w:t>
      </w:r>
    </w:p>
    <w:p w14:paraId="337E98E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reserva</w:t>
      </w:r>
    </w:p>
    <w:p w14:paraId="1ABBBBB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pedido</w:t>
      </w:r>
    </w:p>
    <w:p w14:paraId="2F1D3C5D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pagamento</w:t>
      </w:r>
    </w:p>
    <w:p w14:paraId="0FA1904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comissão</w:t>
      </w:r>
    </w:p>
    <w:p w14:paraId="4429D5FB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ledger</w:t>
      </w:r>
      <w:proofErr w:type="spellEnd"/>
    </w:p>
    <w:p w14:paraId="1402C94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pré-venda</w:t>
      </w:r>
    </w:p>
    <w:p w14:paraId="49EFE95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fulfillment</w:t>
      </w:r>
      <w:proofErr w:type="spellEnd"/>
    </w:p>
    <w:p w14:paraId="13D71B2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shipment</w:t>
      </w:r>
      <w:proofErr w:type="spellEnd"/>
    </w:p>
    <w:p w14:paraId="3E386BC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garagem</w:t>
      </w:r>
    </w:p>
    <w:p w14:paraId="158B59E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coleção</w:t>
      </w:r>
    </w:p>
    <w:p w14:paraId="1E04DDFE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wishlist</w:t>
      </w:r>
      <w:proofErr w:type="spellEnd"/>
    </w:p>
    <w:p w14:paraId="3BC5226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</w:p>
    <w:p w14:paraId="14C5AE0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apresentar esses conceitos, mas não será responsável por suas regras.</w:t>
      </w:r>
    </w:p>
    <w:p w14:paraId="7EB2DA06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E511A1">
          <v:rect id="_x0000_i1038" style="width:0;height:1.5pt" o:hralign="center" o:hrstd="t" o:hr="t" fillcolor="#a0a0a0" stroked="f"/>
        </w:pict>
      </w:r>
    </w:p>
    <w:p w14:paraId="2E6305F3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Eventos e processamento assíncrono</w:t>
      </w:r>
    </w:p>
    <w:p w14:paraId="27E8192A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não criará diretamente:</w:t>
      </w:r>
    </w:p>
    <w:p w14:paraId="0E1A2A9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 Events</w:t>
      </w:r>
    </w:p>
    <w:p w14:paraId="1CE09D8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 Events</w:t>
      </w:r>
    </w:p>
    <w:p w14:paraId="7008002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Jobs</w:t>
      </w:r>
    </w:p>
    <w:p w14:paraId="7DFA0C1D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Workers</w:t>
      </w:r>
    </w:p>
    <w:p w14:paraId="7CAFA6CC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Retries</w:t>
      </w:r>
      <w:proofErr w:type="spellEnd"/>
    </w:p>
    <w:p w14:paraId="799EE07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DLQ</w:t>
      </w:r>
    </w:p>
    <w:p w14:paraId="5F15EE8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operação Web deverá chegar ao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76D6F69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6C58075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81E08D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 Service</w:t>
      </w:r>
    </w:p>
    <w:p w14:paraId="03460C8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↓</w:t>
      </w:r>
    </w:p>
    <w:p w14:paraId="315B6A8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</w:t>
      </w:r>
    </w:p>
    <w:p w14:paraId="1B120AC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├── Business State</w:t>
      </w:r>
    </w:p>
    <w:p w14:paraId="1E33F69E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</w:p>
    <w:p w14:paraId="4A88D713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E23904">
          <v:rect id="_x0000_i1039" style="width:0;height:1.5pt" o:hralign="center" o:hrstd="t" o:hr="t" fillcolor="#a0a0a0" stroked="f"/>
        </w:pict>
      </w:r>
    </w:p>
    <w:p w14:paraId="7EAFDF45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15. </w:t>
      </w:r>
      <w:proofErr w:type="spellStart"/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Webhooks</w:t>
      </w:r>
      <w:proofErr w:type="spellEnd"/>
    </w:p>
    <w:p w14:paraId="3C15656F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Webhooks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provedores externos não passarão pelo BFF.</w:t>
      </w:r>
    </w:p>
    <w:p w14:paraId="1BE12779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7B3FFC3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Mercado Pago</w:t>
      </w:r>
    </w:p>
    <w:p w14:paraId="3F679529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Transportadora</w:t>
      </w:r>
    </w:p>
    <w:p w14:paraId="03D21E0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Outro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</w:p>
    <w:p w14:paraId="2ED623F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682DBFF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</w:t>
      </w:r>
    </w:p>
    <w:p w14:paraId="3E2B859C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26B181B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E21 /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14:paraId="02C96335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mantém separadas:</w:t>
      </w:r>
    </w:p>
    <w:p w14:paraId="02EF9E0E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Browser Security</w:t>
      </w:r>
    </w:p>
    <w:p w14:paraId="3D8F4299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3BFACB4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External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</w:p>
    <w:p w14:paraId="1F565ED5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B1F4AA">
          <v:rect id="_x0000_i1040" style="width:0;height:1.5pt" o:hralign="center" o:hrstd="t" o:hr="t" fillcolor="#a0a0a0" stroked="f"/>
        </w:pict>
      </w:r>
    </w:p>
    <w:p w14:paraId="4F80CFA5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Adaptação de apresentação</w:t>
      </w:r>
    </w:p>
    <w:p w14:paraId="1BAAC49C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transformar:</w:t>
      </w:r>
    </w:p>
    <w:p w14:paraId="01455C1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API DTO</w:t>
      </w:r>
    </w:p>
    <w:p w14:paraId="5CEA4913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em:</w:t>
      </w:r>
    </w:p>
    <w:p w14:paraId="230247A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Web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ViewModel</w:t>
      </w:r>
      <w:proofErr w:type="spellEnd"/>
    </w:p>
    <w:p w14:paraId="2982B5BE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isso melhorar a experiência ou desacoplar a UI.</w:t>
      </w:r>
    </w:p>
    <w:p w14:paraId="16831417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Essa transformação não poderá alterar o significado da operação de negócio.</w:t>
      </w:r>
    </w:p>
    <w:p w14:paraId="3DA67692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041005">
          <v:rect id="_x0000_i1041" style="width:0;height:1.5pt" o:hralign="center" o:hrstd="t" o:hr="t" fillcolor="#a0a0a0" stroked="f"/>
        </w:pict>
      </w:r>
    </w:p>
    <w:p w14:paraId="361F8C11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Agregação</w:t>
      </w:r>
    </w:p>
    <w:p w14:paraId="734D3786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agregar múltiplas chamadas quando necessário.</w:t>
      </w:r>
    </w:p>
    <w:p w14:paraId="7457F73A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DB46D7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GET /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/dashboard</w:t>
      </w:r>
    </w:p>
    <w:p w14:paraId="3DD8891C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consumir:</w:t>
      </w:r>
    </w:p>
    <w:p w14:paraId="3710BC0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/me</w:t>
      </w:r>
    </w:p>
    <w:p w14:paraId="180A55FA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5F910DD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wishlist</w:t>
      </w:r>
      <w:proofErr w:type="spellEnd"/>
    </w:p>
    <w:p w14:paraId="5ACCEFE2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 retornar um modelo adequado ao Dashboard.</w:t>
      </w:r>
    </w:p>
    <w:p w14:paraId="031B97D5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adaptação de apresentação.</w:t>
      </w:r>
    </w:p>
    <w:p w14:paraId="549C7AFA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não poderá introduzir novas regras de negócio nessa agregação.</w:t>
      </w:r>
    </w:p>
    <w:p w14:paraId="1226B64C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E79019">
          <v:rect id="_x0000_i1042" style="width:0;height:1.5pt" o:hralign="center" o:hrstd="t" o:hr="t" fillcolor="#a0a0a0" stroked="f"/>
        </w:pict>
      </w:r>
    </w:p>
    <w:p w14:paraId="722C342F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Proxy controlado</w:t>
      </w:r>
    </w:p>
    <w:p w14:paraId="24DAE038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encaminhar requisições somente para destinos conhecidos e autorizados.</w:t>
      </w:r>
    </w:p>
    <w:p w14:paraId="7BD8829B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permitido:</w:t>
      </w:r>
    </w:p>
    <w:p w14:paraId="3C17725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proxy?url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=https://qualquer-endereco</w:t>
      </w:r>
    </w:p>
    <w:p w14:paraId="6A8A3B29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destino deverá ser determinado pelo próprio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BFF.</w:t>
      </w:r>
    </w:p>
    <w:p w14:paraId="540C7FA4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 transformar o BFF em um open proxy e reduz riscos de SSRF e exposição indevida de tokens. O RFC 10017 exige controles rígidos sobre os destinos que o BFF pode acessar.</w:t>
      </w:r>
    </w:p>
    <w:p w14:paraId="7E89980E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8FC15B">
          <v:rect id="_x0000_i1043" style="width:0;height:1.5pt" o:hralign="center" o:hrstd="t" o:hr="t" fillcolor="#a0a0a0" stroked="f"/>
        </w:pict>
      </w:r>
    </w:p>
    <w:p w14:paraId="7F9B5D59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CSRF</w:t>
      </w:r>
    </w:p>
    <w:p w14:paraId="065920B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 sessão Web utiliza cookie, o BFF deverá possuir proteção contra CSRF.</w:t>
      </w:r>
    </w:p>
    <w:p w14:paraId="24499A73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SameSite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utilizado como parte da defesa, mas não será considerado automaticamente suficiente para todos os cenários.</w:t>
      </w:r>
    </w:p>
    <w:p w14:paraId="36B6F290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RFC 10017 exige proteção CSRF para a arquitetura BFF baseada em cookies.</w:t>
      </w:r>
    </w:p>
    <w:p w14:paraId="23844E6A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F9BBB0">
          <v:rect id="_x0000_i1044" style="width:0;height:1.5pt" o:hralign="center" o:hrstd="t" o:hr="t" fillcolor="#a0a0a0" stroked="f"/>
        </w:pict>
      </w:r>
    </w:p>
    <w:p w14:paraId="25C0F2A7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20. </w:t>
      </w:r>
      <w:proofErr w:type="spellStart"/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Observabilidade</w:t>
      </w:r>
      <w:proofErr w:type="spellEnd"/>
    </w:p>
    <w:p w14:paraId="7629C8B5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BFF participará da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observabilidade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C05B20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</w:p>
    <w:p w14:paraId="418A99B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correlation</w:t>
      </w:r>
      <w:proofErr w:type="spellEnd"/>
    </w:p>
    <w:p w14:paraId="7D37FB03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trace</w:t>
      </w:r>
    </w:p>
    <w:p w14:paraId="67A593C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metrics</w:t>
      </w:r>
      <w:proofErr w:type="spellEnd"/>
    </w:p>
    <w:p w14:paraId="5622421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logs</w:t>
      </w:r>
    </w:p>
    <w:p w14:paraId="7B4DF9D7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Credenciais e segredos nunca deverão aparecer nos logs.</w:t>
      </w:r>
    </w:p>
    <w:p w14:paraId="7976A19E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Não registrar:</w:t>
      </w:r>
    </w:p>
    <w:p w14:paraId="5723159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access_token</w:t>
      </w:r>
    </w:p>
    <w:p w14:paraId="78014BE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refresh_token</w:t>
      </w:r>
    </w:p>
    <w:p w14:paraId="64C9C04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authorization_code</w:t>
      </w:r>
    </w:p>
    <w:p w14:paraId="2AE211E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client_secret</w:t>
      </w:r>
    </w:p>
    <w:p w14:paraId="3DD48D0D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 cookie</w:t>
      </w:r>
    </w:p>
    <w:p w14:paraId="1E33FAED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A2440D">
          <v:rect id="_x0000_i1045" style="width:0;height:1.5pt" o:hralign="center" o:hrstd="t" o:hr="t" fillcolor="#a0a0a0" stroked="f"/>
        </w:pict>
      </w:r>
    </w:p>
    <w:p w14:paraId="4B2E0959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Rotas</w:t>
      </w:r>
    </w:p>
    <w:p w14:paraId="40297E76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Web poderá possuir:</w:t>
      </w:r>
    </w:p>
    <w:p w14:paraId="12E55A9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/auth/login</w:t>
      </w:r>
    </w:p>
    <w:p w14:paraId="03D252DE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/auth/callback</w:t>
      </w:r>
    </w:p>
    <w:p w14:paraId="36C1BE9A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/auth/logout</w:t>
      </w:r>
    </w:p>
    <w:p w14:paraId="41B9FD6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  <w:proofErr w:type="spellEnd"/>
    </w:p>
    <w:p w14:paraId="173A2724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específicos de apresentação:</w:t>
      </w:r>
    </w:p>
    <w:p w14:paraId="2CFC4CB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/bff/catalog/*</w:t>
      </w:r>
    </w:p>
    <w:p w14:paraId="6617207A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/bff/collection/*</w:t>
      </w:r>
    </w:p>
    <w:p w14:paraId="2045E40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/bff/dashboard/*</w:t>
      </w:r>
    </w:p>
    <w:p w14:paraId="3449B61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permanecerá separada:</w:t>
      </w:r>
    </w:p>
    <w:p w14:paraId="0ADC3AA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/v1/*</w:t>
      </w:r>
    </w:p>
    <w:p w14:paraId="3DC2AA0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A distinção é intencional:</w:t>
      </w:r>
    </w:p>
    <w:p w14:paraId="700293F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/*</w:t>
      </w:r>
    </w:p>
    <w:p w14:paraId="2DF2F2AD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= contrato da Web</w:t>
      </w:r>
    </w:p>
    <w:p w14:paraId="5C54943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3C6D2C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/v1/*</w:t>
      </w:r>
    </w:p>
    <w:p w14:paraId="6D90089B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= contrato do </w:t>
      </w: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14:paraId="49A721FC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197CF7">
          <v:rect id="_x0000_i1046" style="width:0;height:1.5pt" o:hralign="center" o:hrstd="t" o:hr="t" fillcolor="#a0a0a0" stroked="f"/>
        </w:pict>
      </w:r>
    </w:p>
    <w:p w14:paraId="2BCFAE2B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Mobile e outros consumidores</w:t>
      </w:r>
    </w:p>
    <w:p w14:paraId="5959777E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é específico da Web.</w:t>
      </w:r>
    </w:p>
    <w:p w14:paraId="584A0EB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Portanto:</w:t>
      </w:r>
    </w:p>
    <w:p w14:paraId="2C244D1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Web</w:t>
      </w:r>
    </w:p>
    <w:p w14:paraId="07AD47F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DAD95F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BFF</w:t>
      </w:r>
    </w:p>
    <w:p w14:paraId="275EB4B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746B839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6F165F4F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um futuro aplicativo poderá utilizar:</w:t>
      </w:r>
    </w:p>
    <w:p w14:paraId="48535C99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Mobile</w:t>
      </w:r>
    </w:p>
    <w:p w14:paraId="4114400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0E8722E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3071264E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sem depender de regras ou estruturas internas do BFF.</w:t>
      </w:r>
    </w:p>
    <w:p w14:paraId="7FD73EC5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DBEC30">
          <v:rect id="_x0000_i1047" style="width:0;height:1.5pt" o:hralign="center" o:hrstd="t" o:hr="t" fillcolor="#a0a0a0" stroked="f"/>
        </w:pict>
      </w:r>
    </w:p>
    <w:p w14:paraId="7F9013DB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Critério de revisão</w:t>
      </w:r>
    </w:p>
    <w:p w14:paraId="5556C858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uma nova funcionalidade for adicionada ao BFF, verificar:</w:t>
      </w:r>
    </w:p>
    <w:p w14:paraId="7D50C7AF" w14:textId="77777777" w:rsidR="003B0ADD" w:rsidRPr="003B0ADD" w:rsidRDefault="003B0ADD" w:rsidP="003B0A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Ela existe porque temos um Browser ou porque temos uma regra de negócio?</w:t>
      </w:r>
    </w:p>
    <w:p w14:paraId="1F097E1C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Se for Browser:</w:t>
      </w:r>
    </w:p>
    <w:p w14:paraId="4A37C3A0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5858A797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Se for negócio:</w:t>
      </w:r>
    </w:p>
    <w:p w14:paraId="5C223D3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14:paraId="289386BB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Esta é a única regra de classificação necessária.</w:t>
      </w:r>
    </w:p>
    <w:p w14:paraId="3EA4714D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00F330">
          <v:rect id="_x0000_i1048" style="width:0;height:1.5pt" o:hralign="center" o:hrstd="t" o:hr="t" fillcolor="#a0a0a0" stroked="f"/>
        </w:pict>
      </w:r>
    </w:p>
    <w:p w14:paraId="459B67BF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Documentos afetados</w:t>
      </w:r>
    </w:p>
    <w:p w14:paraId="75E7DCE1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esta consolidação:</w:t>
      </w:r>
    </w:p>
    <w:p w14:paraId="5B11A36A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ADR-005</w:t>
      </w:r>
    </w:p>
    <w:p w14:paraId="4EB70721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Define a decisão OIDC/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E994CDC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ADR-006</w:t>
      </w:r>
    </w:p>
    <w:p w14:paraId="3A2685E3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Define autorização.</w:t>
      </w:r>
    </w:p>
    <w:p w14:paraId="72EB39DE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ADR-018</w:t>
      </w:r>
    </w:p>
    <w:p w14:paraId="4517E2C6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Define a fronteira BFF.</w:t>
      </w:r>
    </w:p>
    <w:p w14:paraId="406399C6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B04</w:t>
      </w:r>
    </w:p>
    <w:p w14:paraId="480F2496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Define a implementação detalhada de autenticação e identidade.</w:t>
      </w:r>
    </w:p>
    <w:p w14:paraId="07FB584D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B07</w:t>
      </w:r>
    </w:p>
    <w:p w14:paraId="5077323A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Define a fundação do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7CEB404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VS01.4</w:t>
      </w:r>
    </w:p>
    <w:p w14:paraId="1FDCA1DF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 fisicamente 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utiliza as decisões acima.</w:t>
      </w:r>
    </w:p>
    <w:p w14:paraId="6E3AA620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desses documentos deverá reproduzir integralmente esta ADR.</w:t>
      </w:r>
    </w:p>
    <w:p w14:paraId="5B0409B7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7E34C1">
          <v:rect id="_x0000_i1049" style="width:0;height:1.5pt" o:hralign="center" o:hrstd="t" o:hr="t" fillcolor="#a0a0a0" stroked="f"/>
        </w:pict>
      </w:r>
    </w:p>
    <w:p w14:paraId="44F5A77E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Remoção de redundâncias</w:t>
      </w:r>
    </w:p>
    <w:p w14:paraId="1F2769D6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Ficam eliminados da documentação:</w:t>
      </w:r>
    </w:p>
    <w:p w14:paraId="46140125" w14:textId="77777777" w:rsidR="003B0ADD" w:rsidRPr="003B0ADD" w:rsidRDefault="003B0ADD" w:rsidP="003B0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matriz Browser × BFF × API duplicada;</w:t>
      </w:r>
    </w:p>
    <w:p w14:paraId="087CD072" w14:textId="77777777" w:rsidR="003B0ADD" w:rsidRPr="003B0ADD" w:rsidRDefault="003B0ADD" w:rsidP="003B0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matriz de armazenamento de tokens;</w:t>
      </w:r>
    </w:p>
    <w:p w14:paraId="37555D63" w14:textId="77777777" w:rsidR="003B0ADD" w:rsidRPr="003B0ADD" w:rsidRDefault="003B0ADD" w:rsidP="003B0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matriz de responsabilidades HTTP;</w:t>
      </w:r>
    </w:p>
    <w:p w14:paraId="60EC6CBD" w14:textId="77777777" w:rsidR="003B0ADD" w:rsidRPr="003B0ADD" w:rsidRDefault="003B0ADD" w:rsidP="003B0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matriz de responsabilidades de segurança;</w:t>
      </w:r>
    </w:p>
    <w:p w14:paraId="69147D54" w14:textId="77777777" w:rsidR="003B0ADD" w:rsidRPr="003B0ADD" w:rsidRDefault="003B0ADD" w:rsidP="003B0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matriz de classificação BFF ×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218E438" w14:textId="77777777" w:rsidR="003B0ADD" w:rsidRPr="003B0ADD" w:rsidRDefault="003B0ADD" w:rsidP="003B0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 diagramas equivalentes do fluxo BFF;</w:t>
      </w:r>
    </w:p>
    <w:p w14:paraId="1FF816FB" w14:textId="77777777" w:rsidR="003B0ADD" w:rsidRPr="003B0ADD" w:rsidRDefault="003B0ADD" w:rsidP="003B0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 fluxos de login idênticos;</w:t>
      </w:r>
    </w:p>
    <w:p w14:paraId="0B965E79" w14:textId="77777777" w:rsidR="003B0ADD" w:rsidRPr="003B0ADD" w:rsidRDefault="003B0ADD" w:rsidP="003B0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repetição das regras de token;</w:t>
      </w:r>
    </w:p>
    <w:p w14:paraId="22B2FFC8" w14:textId="77777777" w:rsidR="003B0ADD" w:rsidRPr="003B0ADD" w:rsidRDefault="003B0ADD" w:rsidP="003B0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repetição da definição de sessão;</w:t>
      </w:r>
    </w:p>
    <w:p w14:paraId="480B5B7F" w14:textId="77777777" w:rsidR="003B0ADD" w:rsidRPr="003B0ADD" w:rsidRDefault="003B0ADD" w:rsidP="003B0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repetição da definição de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ownership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6C1E7AE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necessário, os documentos deverão apenas dizer:</w:t>
      </w:r>
    </w:p>
    <w:p w14:paraId="07E20888" w14:textId="77777777" w:rsidR="003B0ADD" w:rsidRPr="003B0ADD" w:rsidRDefault="003B0ADD" w:rsidP="003B0A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Conforme ADR-018.</w:t>
      </w:r>
    </w:p>
    <w:p w14:paraId="056E08E0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BAB26B">
          <v:rect id="_x0000_i1050" style="width:0;height:1.5pt" o:hralign="center" o:hrstd="t" o:hr="t" fillcolor="#a0a0a0" stroked="f"/>
        </w:pict>
      </w:r>
    </w:p>
    <w:p w14:paraId="69572714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Regra documental</w:t>
      </w:r>
    </w:p>
    <w:p w14:paraId="4F8322D3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decisão deverá possuir </w:t>
      </w:r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fonte normativa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4DBDC7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Decisão</w:t>
      </w:r>
    </w:p>
    <w:p w14:paraId="31A54C3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D6ADB5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Documento proprietário</w:t>
      </w:r>
    </w:p>
    <w:p w14:paraId="776D52E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812278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Referências nos demais documentos</w:t>
      </w:r>
    </w:p>
    <w:p w14:paraId="2B836E7D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duplicar a decisão apenas para contextualização.</w:t>
      </w:r>
    </w:p>
    <w:p w14:paraId="6C328255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detalhes específicos de implementação poderão aparecer no documento dependente.</w:t>
      </w:r>
    </w:p>
    <w:p w14:paraId="68BED74F" w14:textId="77777777" w:rsidR="003B0ADD" w:rsidRPr="003B0ADD" w:rsidRDefault="003B0ADD" w:rsidP="003B0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7F5B98B2">
          <v:rect id="_x0000_i1051" style="width:0;height:1.5pt" o:hralign="center" o:hrstd="t" o:hr="t" fillcolor="#a0a0a0" stroked="f"/>
        </w:pict>
      </w:r>
    </w:p>
    <w:p w14:paraId="7C56E935" w14:textId="77777777" w:rsidR="003B0ADD" w:rsidRPr="003B0ADD" w:rsidRDefault="003B0ADD" w:rsidP="003B0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Decisão final</w:t>
      </w:r>
    </w:p>
    <w:p w14:paraId="2D3D8B98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arquitetura oficial do </w:t>
      </w:r>
      <w:proofErr w:type="spellStart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Web fica reduzida ao seguinte princípio:</w:t>
      </w:r>
    </w:p>
    <w:p w14:paraId="2D210B1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67B2D55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2AEFA44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1DC3DB1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DB9F49F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61EA7916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B342E9C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</w:p>
    <w:p w14:paraId="1BED0CE9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0151265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B0ADD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</w:p>
    <w:p w14:paraId="736F9F07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Onde:</w:t>
      </w:r>
    </w:p>
    <w:p w14:paraId="1C34D6F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322697B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</w:p>
    <w:p w14:paraId="0D974237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OAuth + Session + Cookie + CSRF + Web Adaptation</w:t>
      </w:r>
    </w:p>
    <w:p w14:paraId="7ED3FFAF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e:</w:t>
      </w:r>
    </w:p>
    <w:p w14:paraId="2604D642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229C7B38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</w:p>
    <w:p w14:paraId="682FD3A1" w14:textId="77777777" w:rsidR="003B0ADD" w:rsidRPr="003B0ADD" w:rsidRDefault="003B0ADD" w:rsidP="003B0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B0ADD">
        <w:rPr>
          <w:rFonts w:ascii="Courier New" w:eastAsia="Times New Roman" w:hAnsi="Courier New" w:cs="Courier New"/>
          <w:sz w:val="20"/>
          <w:szCs w:val="20"/>
          <w:lang w:val="en-US" w:eastAsia="pt-BR"/>
        </w:rPr>
        <w:t>Identity + Authorization + Business + Data + Transactions</w:t>
      </w:r>
    </w:p>
    <w:p w14:paraId="0DD6C1D9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BFF </w:t>
      </w:r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protege e adapta a Web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2D76D10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API </w:t>
      </w:r>
      <w:r w:rsidRPr="003B0A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protege e executa o negócio</w:t>
      </w: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D7FC061" w14:textId="77777777" w:rsidR="003B0ADD" w:rsidRPr="003B0ADD" w:rsidRDefault="003B0ADD" w:rsidP="003B0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ADD">
        <w:rPr>
          <w:rFonts w:ascii="Times New Roman" w:eastAsia="Times New Roman" w:hAnsi="Times New Roman" w:cs="Times New Roman"/>
          <w:sz w:val="24"/>
          <w:szCs w:val="24"/>
          <w:lang w:eastAsia="pt-BR"/>
        </w:rPr>
        <w:t>Essa definição é suficiente para orientar ADR-005, ADR-006, B04, B07 e VS01.4 sem repetir matrizes ou fluxos equivalentes.</w:t>
      </w:r>
    </w:p>
    <w:p w14:paraId="79BB42CA" w14:textId="77777777" w:rsidR="00866E7E" w:rsidRDefault="00866E7E"/>
    <w:sectPr w:rsidR="00866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735D2"/>
    <w:multiLevelType w:val="multilevel"/>
    <w:tmpl w:val="EDE8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D7FAD"/>
    <w:multiLevelType w:val="multilevel"/>
    <w:tmpl w:val="D48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DD"/>
    <w:rsid w:val="003B0ADD"/>
    <w:rsid w:val="008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AE7C1"/>
  <w15:chartTrackingRefBased/>
  <w15:docId w15:val="{226E50E0-1B55-40B1-820B-CDA55287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0A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B0A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B0A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0AD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B0AD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B0AD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B0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B0ADD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B0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B0AD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B0A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7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52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1612</Words>
  <Characters>8711</Characters>
  <Application>Microsoft Office Word</Application>
  <DocSecurity>0</DocSecurity>
  <Lines>72</Lines>
  <Paragraphs>20</Paragraphs>
  <ScaleCrop>false</ScaleCrop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Marcelo Bustamante Portes</dc:creator>
  <cp:keywords/>
  <dc:description/>
  <cp:lastModifiedBy>Carlos Marcelo Bustamante Portes</cp:lastModifiedBy>
  <cp:revision>1</cp:revision>
  <dcterms:created xsi:type="dcterms:W3CDTF">2026-09-21T09:55:00Z</dcterms:created>
  <dcterms:modified xsi:type="dcterms:W3CDTF">2026-09-21T09:56:00Z</dcterms:modified>
</cp:coreProperties>
</file>