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be6f769093d6ba4e7932f96628f3f6dbcde7685"/>
    <w:p>
      <w:pPr>
        <w:pStyle w:val="Heading1"/>
      </w:pPr>
      <w:r>
        <w:t xml:space="preserve">10.20.11 — E21 Integrações Externas, Adapters, APIs, Webhooks e Serviços de Terceiros</w:t>
      </w:r>
    </w:p>
    <w:p>
      <w:pPr>
        <w:pStyle w:val="FirstParagraph"/>
      </w:pPr>
      <w:r>
        <w:rPr>
          <w:b/>
          <w:bCs/>
        </w:rPr>
        <w:t xml:space="preserve">Projeto:</w:t>
      </w:r>
      <w:r>
        <w:t xml:space="preserve"> </w:t>
      </w:r>
      <w:r>
        <w:t xml:space="preserve">MiniHub</w:t>
      </w:r>
      <w:r>
        <w:br/>
      </w:r>
      <w:r>
        <w:rPr>
          <w:b/>
          <w:bCs/>
        </w:rPr>
        <w:t xml:space="preserve">Épico:</w:t>
      </w:r>
      <w:r>
        <w:t xml:space="preserve"> </w:t>
      </w:r>
      <w:r>
        <w:t xml:space="preserve">E21 — Integrations</w:t>
      </w:r>
      <w:r>
        <w:br/>
      </w:r>
      <w:r>
        <w:rPr>
          <w:b/>
          <w:bCs/>
        </w:rPr>
        <w:t xml:space="preserve">Versão: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Documento Arquitetural</w:t>
      </w:r>
      <w:r>
        <w:br/>
      </w:r>
      <w:r>
        <w:rPr>
          <w:b/>
          <w:bCs/>
        </w:rPr>
        <w:t xml:space="preserve">Dependências principais:</w:t>
      </w:r>
      <w:r>
        <w:t xml:space="preserve"> </w:t>
      </w:r>
      <w:r>
        <w:t xml:space="preserve">E02 Security, E12 Payments, E15 Shipment, E17 Notifications, E19 External Promotions, E20 Community, E23 Events/Workers</w:t>
      </w:r>
    </w:p>
    <w:p>
      <w:r>
        <w:pict>
          <v:rect style="width:0;height:1.5pt" o:hralign="center" o:hrstd="t" o:hr="t"/>
        </w:pict>
      </w:r>
    </w:p>
    <w:bookmarkEnd w:id="9"/>
    <w:bookmarkStart w:id="10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O E21 define a arquitetura responsável pela comunicação do MiniHub com sistemas, APIs, plataformas e serviços externos.</w:t>
      </w:r>
    </w:p>
    <w:p>
      <w:pPr>
        <w:pStyle w:val="BodyText"/>
      </w:pPr>
      <w:r>
        <w:t xml:space="preserve">O objetivo é permitir que o MiniHub utilize serviços de terceiros sem criar dependência direta entre os domínios internos e os fornecedores externos.</w:t>
      </w:r>
    </w:p>
    <w:p>
      <w:pPr>
        <w:pStyle w:val="BodyText"/>
      </w:pPr>
      <w:r>
        <w:t xml:space="preserve">As integrações deverão ser implementadas através de uma camada de abstração composta por:</w:t>
      </w:r>
    </w:p>
    <w:p>
      <w:pPr>
        <w:pStyle w:val="SourceCode"/>
      </w:pPr>
      <w:r>
        <w:rPr>
          <w:rStyle w:val="VerbatimChar"/>
        </w:rPr>
        <w:t xml:space="preserve">DOMÍNIO MINIHUB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APPLICATION SERVICE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INTEGRATION PORT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ADAPTER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API / SERVIÇO EXTERNO</w:t>
      </w:r>
    </w:p>
    <w:p>
      <w:pPr>
        <w:pStyle w:val="FirstParagraph"/>
      </w:pPr>
      <w:r>
        <w:t xml:space="preserve">O domínio do MiniHub não deverá conhecer detalhes específicos de Mercado Pago, transportadoras, provedores de e-mail, APIs de CEP ou qualquer outro fornecedor.</w:t>
      </w:r>
    </w:p>
    <w:p>
      <w:r>
        <w:pict>
          <v:rect style="width:0;height:1.5pt" o:hralign="center" o:hrstd="t" o:hr="t"/>
        </w:pict>
      </w:r>
    </w:p>
    <w:bookmarkEnd w:id="10"/>
    <w:bookmarkStart w:id="11" w:name="princípio-arquitetural"/>
    <w:p>
      <w:pPr>
        <w:pStyle w:val="Heading1"/>
      </w:pPr>
      <w:r>
        <w:t xml:space="preserve">2. Princípio Arquitetural</w:t>
      </w:r>
    </w:p>
    <w:p>
      <w:pPr>
        <w:pStyle w:val="FirstParagraph"/>
      </w:pPr>
      <w:r>
        <w:t xml:space="preserve">A regra central do E21 será:</w:t>
      </w:r>
    </w:p>
    <w:p>
      <w:pPr>
        <w:pStyle w:val="BlockText"/>
      </w:pPr>
      <w:r>
        <w:rPr>
          <w:b/>
          <w:bCs/>
        </w:rPr>
        <w:t xml:space="preserve">O domínio do MiniHub conhece o que precisa fazer. O Adapter conhece como fazer isso utilizando determinado fornecedor externo.</w:t>
      </w:r>
    </w:p>
    <w:p>
      <w:pPr>
        <w:pStyle w:val="FirstParagraph"/>
      </w:pPr>
      <w:r>
        <w:t xml:space="preserve">Exemplo:</w:t>
      </w:r>
    </w:p>
    <w:p>
      <w:pPr>
        <w:pStyle w:val="BodyText"/>
      </w:pPr>
      <w:r>
        <w:t xml:space="preserve">O domínio financeiro precisa cobrar um pagamento.</w:t>
      </w:r>
    </w:p>
    <w:p>
      <w:pPr>
        <w:pStyle w:val="BodyText"/>
      </w:pPr>
      <w:r>
        <w:t xml:space="preserve">Ele não deverá conhecer:</w:t>
      </w:r>
    </w:p>
    <w:p>
      <w:pPr>
        <w:pStyle w:val="SourceCode"/>
      </w:pPr>
      <w:r>
        <w:rPr>
          <w:rStyle w:val="VerbatimChar"/>
        </w:rPr>
        <w:t xml:space="preserve">Mercado Pago</w:t>
      </w:r>
      <w:r>
        <w:br/>
      </w:r>
      <w:r>
        <w:rPr>
          <w:rStyle w:val="VerbatimChar"/>
        </w:rPr>
        <w:t xml:space="preserve">Stripe</w:t>
      </w:r>
      <w:r>
        <w:br/>
      </w:r>
      <w:r>
        <w:rPr>
          <w:rStyle w:val="VerbatimChar"/>
        </w:rPr>
        <w:t xml:space="preserve">PagSeguro</w:t>
      </w:r>
      <w:r>
        <w:br/>
      </w:r>
      <w:r>
        <w:rPr>
          <w:rStyle w:val="VerbatimChar"/>
        </w:rPr>
        <w:t xml:space="preserve">Pagar.me</w:t>
      </w:r>
    </w:p>
    <w:p>
      <w:pPr>
        <w:pStyle w:val="FirstParagraph"/>
      </w:pPr>
      <w:r>
        <w:t xml:space="preserve">Ele deverá conhecer uma abstração:</w:t>
      </w:r>
    </w:p>
    <w:p>
      <w:pPr>
        <w:pStyle w:val="SourceCode"/>
      </w:pPr>
      <w:r>
        <w:rPr>
          <w:rStyle w:val="VerbatimChar"/>
        </w:rPr>
        <w:t xml:space="preserve">PaymentGateway</w:t>
      </w:r>
    </w:p>
    <w:p>
      <w:pPr>
        <w:pStyle w:val="FirstParagraph"/>
      </w:pPr>
      <w:r>
        <w:t xml:space="preserve">E o adapter implementará:</w:t>
      </w:r>
    </w:p>
    <w:p>
      <w:pPr>
        <w:pStyle w:val="SourceCode"/>
      </w:pPr>
      <w:r>
        <w:rPr>
          <w:rStyle w:val="VerbatimChar"/>
        </w:rPr>
        <w:t xml:space="preserve">MercadoPagoPaymentAdapter</w:t>
      </w:r>
      <w:r>
        <w:br/>
      </w:r>
      <w:r>
        <w:rPr>
          <w:rStyle w:val="VerbatimChar"/>
        </w:rPr>
        <w:t xml:space="preserve">StripePaymentAdapter</w:t>
      </w:r>
      <w:r>
        <w:br/>
      </w:r>
      <w:r>
        <w:rPr>
          <w:rStyle w:val="VerbatimChar"/>
        </w:rPr>
        <w:t xml:space="preserve">PagarmePaymentAdapter</w:t>
      </w:r>
    </w:p>
    <w:p>
      <w:pPr>
        <w:pStyle w:val="FirstParagraph"/>
      </w:pPr>
      <w:r>
        <w:t xml:space="preserve">Assim:</w:t>
      </w:r>
    </w:p>
    <w:p>
      <w:pPr>
        <w:pStyle w:val="SourceCode"/>
      </w:pPr>
      <w:r>
        <w:rPr>
          <w:rStyle w:val="VerbatimChar"/>
        </w:rPr>
        <w:t xml:space="preserve">PAYMENT DOMAIN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PaymentGateway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┌───────────────────────┐</w:t>
      </w:r>
      <w:r>
        <w:br/>
      </w:r>
      <w:r>
        <w:rPr>
          <w:rStyle w:val="VerbatimChar"/>
        </w:rPr>
        <w:t xml:space="preserve">│ MercadoPago Adapter   │</w:t>
      </w:r>
      <w:r>
        <w:br/>
      </w:r>
      <w:r>
        <w:rPr>
          <w:rStyle w:val="VerbatimChar"/>
        </w:rPr>
        <w:t xml:space="preserve">│ Stripe Adapter        │</w:t>
      </w:r>
      <w:r>
        <w:br/>
      </w:r>
      <w:r>
        <w:rPr>
          <w:rStyle w:val="VerbatimChar"/>
        </w:rPr>
        <w:t xml:space="preserve">│ Pagarme Adapter       │</w:t>
      </w:r>
      <w:r>
        <w:br/>
      </w:r>
      <w:r>
        <w:rPr>
          <w:rStyle w:val="VerbatimChar"/>
        </w:rPr>
        <w:t xml:space="preserve">└───────────────────────┘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PROVIDER</w:t>
      </w:r>
    </w:p>
    <w:p>
      <w:r>
        <w:pict>
          <v:rect style="width:0;height:1.5pt" o:hralign="center" o:hrstd="t" o:hr="t"/>
        </w:pict>
      </w:r>
    </w:p>
    <w:bookmarkEnd w:id="11"/>
    <w:bookmarkStart w:id="12" w:name="regra-fundamental"/>
    <w:p>
      <w:pPr>
        <w:pStyle w:val="Heading1"/>
      </w:pPr>
      <w:r>
        <w:t xml:space="preserve">3. Regra Fundamental</w:t>
      </w:r>
    </w:p>
    <w:p>
      <w:pPr>
        <w:pStyle w:val="FirstParagraph"/>
      </w:pPr>
      <w:r>
        <w:t xml:space="preserve">Nenhum domínio deverá possuir chamadas HTTP diretamente para fornecedores externos.</w:t>
      </w:r>
    </w:p>
    <w:p>
      <w:pPr>
        <w:pStyle w:val="BodyText"/>
      </w:pPr>
      <w:r>
        <w:t xml:space="preserve">Não será permitido:</w:t>
      </w:r>
    </w:p>
    <w:p>
      <w:pPr>
        <w:pStyle w:val="SourceCode"/>
      </w:pPr>
      <w:r>
        <w:rPr>
          <w:rStyle w:val="VerbatimChar"/>
        </w:rPr>
        <w:t xml:space="preserve">OrderService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axios.post("https://api.mercadopago...")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ShipmentService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fetch("https://api.transportadora...")</w:t>
      </w:r>
    </w:p>
    <w:p>
      <w:pPr>
        <w:pStyle w:val="FirstParagraph"/>
      </w:pPr>
      <w:r>
        <w:t xml:space="preserve">O correto será:</w:t>
      </w:r>
    </w:p>
    <w:p>
      <w:pPr>
        <w:pStyle w:val="SourceCode"/>
      </w:pPr>
      <w:r>
        <w:rPr>
          <w:rStyle w:val="VerbatimChar"/>
        </w:rPr>
        <w:t xml:space="preserve">OrderService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PaymentApplicationService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PaymentGateway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MercadoPagoAdapter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Mercado Pago</w:t>
      </w:r>
    </w:p>
    <w:p>
      <w:r>
        <w:pict>
          <v:rect style="width:0;height:1.5pt" o:hralign="center" o:hrstd="t" o:hr="t"/>
        </w:pict>
      </w:r>
    </w:p>
    <w:bookmarkEnd w:id="12"/>
    <w:bookmarkStart w:id="13" w:name="integrações-previstas"/>
    <w:p>
      <w:pPr>
        <w:pStyle w:val="Heading1"/>
      </w:pPr>
      <w:r>
        <w:t xml:space="preserve">4. Integrações previstas</w:t>
      </w:r>
    </w:p>
    <w:p>
      <w:pPr>
        <w:pStyle w:val="FirstParagraph"/>
      </w:pPr>
      <w:r>
        <w:t xml:space="preserve">O MiniHub poderá possuir as seguintes categorias de integração.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Serviço</w:t>
            </w:r>
          </w:p>
        </w:tc>
        <w:tc>
          <w:tcPr/>
          <w:p>
            <w:pPr>
              <w:pStyle w:val="Compact"/>
            </w:pPr>
            <w:r>
              <w:t xml:space="preserve">Prioridade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Pagamento</w:t>
            </w:r>
          </w:p>
        </w:tc>
        <w:tc>
          <w:tcPr/>
          <w:p>
            <w:pPr>
              <w:pStyle w:val="Compact"/>
            </w:pPr>
            <w:r>
              <w:t xml:space="preserve">Mercado Pago</w:t>
            </w:r>
          </w:p>
        </w:tc>
        <w:tc>
          <w:tcPr/>
          <w:p>
            <w:pPr>
              <w:pStyle w:val="Compact"/>
            </w:pPr>
            <w:r>
              <w:t xml:space="preserve">P0/P1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Frete</w:t>
            </w:r>
          </w:p>
        </w:tc>
        <w:tc>
          <w:tcPr/>
          <w:p>
            <w:pPr>
              <w:pStyle w:val="Compact"/>
            </w:pPr>
            <w:r>
              <w:t xml:space="preserve">Transportadoras / gateways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CEP</w:t>
            </w:r>
          </w:p>
        </w:tc>
        <w:tc>
          <w:tcPr/>
          <w:p>
            <w:pPr>
              <w:pStyle w:val="Compact"/>
            </w:pPr>
            <w:r>
              <w:t xml:space="preserve">API de CEP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Localidades</w:t>
            </w:r>
          </w:p>
        </w:tc>
        <w:tc>
          <w:tcPr/>
          <w:p>
            <w:pPr>
              <w:pStyle w:val="Compact"/>
            </w:pPr>
            <w:r>
              <w:t xml:space="preserve">IBGE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E-mail</w:t>
            </w:r>
          </w:p>
        </w:tc>
        <w:tc>
          <w:tcPr/>
          <w:p>
            <w:pPr>
              <w:pStyle w:val="Compact"/>
            </w:pPr>
            <w:r>
              <w:t xml:space="preserve">Provedor SMTP/API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</w:t>
            </w:r>
          </w:p>
        </w:tc>
        <w:tc>
          <w:tcPr/>
          <w:p>
            <w:pPr>
              <w:pStyle w:val="Compact"/>
            </w:pPr>
            <w:r>
              <w:t xml:space="preserve">Provedor oficial</w:t>
            </w:r>
          </w:p>
        </w:tc>
        <w:tc>
          <w:tcPr/>
          <w:p>
            <w:pPr>
              <w:pStyle w:val="Compact"/>
            </w:pPr>
            <w:r>
              <w:t xml:space="preserve">Futuro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SMS</w:t>
            </w:r>
          </w:p>
        </w:tc>
        <w:tc>
          <w:tcPr/>
          <w:p>
            <w:pPr>
              <w:pStyle w:val="Compact"/>
            </w:pPr>
            <w:r>
              <w:t xml:space="preserve">Provedor</w:t>
            </w:r>
          </w:p>
        </w:tc>
        <w:tc>
          <w:tcPr/>
          <w:p>
            <w:pPr>
              <w:pStyle w:val="Compact"/>
            </w:pPr>
            <w:r>
              <w:t xml:space="preserve">Futuro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Push</w:t>
            </w:r>
          </w:p>
        </w:tc>
        <w:tc>
          <w:tcPr/>
          <w:p>
            <w:pPr>
              <w:pStyle w:val="Compact"/>
            </w:pPr>
            <w:r>
              <w:t xml:space="preserve">Firebase/APNs</w:t>
            </w:r>
          </w:p>
        </w:tc>
        <w:tc>
          <w:tcPr/>
          <w:p>
            <w:pPr>
              <w:pStyle w:val="Compact"/>
            </w:pPr>
            <w:r>
              <w:t xml:space="preserve">Futuro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S3-compatible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Autenticação</w:t>
            </w:r>
          </w:p>
        </w:tc>
        <w:tc>
          <w:tcPr/>
          <w:p>
            <w:pPr>
              <w:pStyle w:val="Compact"/>
            </w:pPr>
            <w:r>
              <w:t xml:space="preserve">OIDC/OAuth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serviço externo</w:t>
            </w:r>
          </w:p>
        </w:tc>
        <w:tc>
          <w:tcPr/>
          <w:p>
            <w:pPr>
              <w:pStyle w:val="Compact"/>
            </w:pPr>
            <w:r>
              <w:t xml:space="preserve">Futuro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Antifraude</w:t>
            </w:r>
          </w:p>
        </w:tc>
        <w:tc>
          <w:tcPr/>
          <w:p>
            <w:pPr>
              <w:pStyle w:val="Compact"/>
            </w:pPr>
            <w:r>
              <w:t xml:space="preserve">provider externo</w:t>
            </w:r>
          </w:p>
        </w:tc>
        <w:tc>
          <w:tcPr/>
          <w:p>
            <w:pPr>
              <w:pStyle w:val="Compact"/>
            </w:pPr>
            <w:r>
              <w:t xml:space="preserve">Futuro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ERP</w:t>
            </w:r>
          </w:p>
        </w:tc>
        <w:tc>
          <w:tcPr/>
          <w:p>
            <w:pPr>
              <w:pStyle w:val="Compact"/>
            </w:pPr>
            <w:r>
              <w:t xml:space="preserve">eventual</w:t>
            </w:r>
          </w:p>
        </w:tc>
        <w:tc>
          <w:tcPr/>
          <w:p>
            <w:pPr>
              <w:pStyle w:val="Compact"/>
            </w:pPr>
            <w:r>
              <w:t xml:space="preserve">Futuro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Fiscal</w:t>
            </w:r>
          </w:p>
        </w:tc>
        <w:tc>
          <w:tcPr/>
          <w:p>
            <w:pPr>
              <w:pStyle w:val="Compact"/>
            </w:pPr>
            <w:r>
              <w:t xml:space="preserve">eventual</w:t>
            </w:r>
          </w:p>
        </w:tc>
        <w:tc>
          <w:tcPr/>
          <w:p>
            <w:pPr>
              <w:pStyle w:val="Compact"/>
            </w:pPr>
            <w:r>
              <w:t xml:space="preserve">Futuro</w:t>
            </w:r>
          </w:p>
        </w:tc>
      </w:tr>
    </w:tbl>
    <w:p>
      <w:pPr>
        <w:pStyle w:val="BodyText"/>
      </w:pPr>
      <w:r>
        <w:t xml:space="preserve">A existência de uma integração no catálogo arquitetural não significa que ela será implementada no MVP.</w:t>
      </w:r>
    </w:p>
    <w:p>
      <w:r>
        <w:pict>
          <v:rect style="width:0;height:1.5pt" o:hralign="center" o:hrstd="t" o:hr="t"/>
        </w:pict>
      </w:r>
    </w:p>
    <w:bookmarkEnd w:id="13"/>
    <w:bookmarkStart w:id="18" w:name="classificação-das-integrações"/>
    <w:p>
      <w:pPr>
        <w:pStyle w:val="Heading1"/>
      </w:pPr>
      <w:r>
        <w:t xml:space="preserve">5. Classificação das Integrações</w:t>
      </w:r>
    </w:p>
    <w:p>
      <w:pPr>
        <w:pStyle w:val="FirstParagraph"/>
      </w:pPr>
      <w:r>
        <w:t xml:space="preserve">As integrações serão classificadas em quatro grupos.</w:t>
      </w:r>
    </w:p>
    <w:bookmarkStart w:id="14" w:name="síncronas"/>
    <w:p>
      <w:pPr>
        <w:pStyle w:val="Heading2"/>
      </w:pPr>
      <w:r>
        <w:t xml:space="preserve">5.1 Síncronas</w:t>
      </w:r>
    </w:p>
    <w:p>
      <w:pPr>
        <w:pStyle w:val="FirstParagraph"/>
      </w:pPr>
      <w:r>
        <w:t xml:space="preserve">O MiniHub precisa de uma resposta imediata.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Consultar CEP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API CEP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Resposta</w:t>
      </w:r>
    </w:p>
    <w:p>
      <w:pPr>
        <w:pStyle w:val="FirstParagraph"/>
      </w:pPr>
      <w:r>
        <w:t xml:space="preserve">Outro exemplo:</w:t>
      </w:r>
    </w:p>
    <w:p>
      <w:pPr>
        <w:pStyle w:val="SourceCode"/>
      </w:pPr>
      <w:r>
        <w:rPr>
          <w:rStyle w:val="VerbatimChar"/>
        </w:rPr>
        <w:t xml:space="preserve">Calcular frete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Shipping Provider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Cotação</w:t>
      </w:r>
    </w:p>
    <w:p>
      <w:r>
        <w:pict>
          <v:rect style="width:0;height:1.5pt" o:hralign="center" o:hrstd="t" o:hr="t"/>
        </w:pict>
      </w:r>
    </w:p>
    <w:bookmarkEnd w:id="14"/>
    <w:bookmarkStart w:id="15" w:name="assíncronas"/>
    <w:p>
      <w:pPr>
        <w:pStyle w:val="Heading2"/>
      </w:pPr>
      <w:r>
        <w:t xml:space="preserve">5.2 Assíncronas</w:t>
      </w:r>
    </w:p>
    <w:p>
      <w:pPr>
        <w:pStyle w:val="FirstParagraph"/>
      </w:pPr>
      <w:r>
        <w:t xml:space="preserve">A operação pode ser processada posteriormente.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OrderConfirmed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Outbox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Provider</w:t>
      </w:r>
    </w:p>
    <w:p>
      <w:r>
        <w:pict>
          <v:rect style="width:0;height:1.5pt" o:hralign="center" o:hrstd="t" o:hr="t"/>
        </w:pict>
      </w:r>
    </w:p>
    <w:bookmarkEnd w:id="15"/>
    <w:bookmarkStart w:id="16" w:name="webhook"/>
    <w:p>
      <w:pPr>
        <w:pStyle w:val="Heading2"/>
      </w:pPr>
      <w:r>
        <w:t xml:space="preserve">5.3 Webhook</w:t>
      </w:r>
    </w:p>
    <w:p>
      <w:pPr>
        <w:pStyle w:val="FirstParagraph"/>
      </w:pPr>
      <w:r>
        <w:t xml:space="preserve">O fornecedor externo chama o MiniHub.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Mercado Pago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POST /webhooks/payment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MiniHub</w:t>
      </w:r>
    </w:p>
    <w:p>
      <w:r>
        <w:pict>
          <v:rect style="width:0;height:1.5pt" o:hralign="center" o:hrstd="t" o:hr="t"/>
        </w:pict>
      </w:r>
    </w:p>
    <w:bookmarkEnd w:id="16"/>
    <w:bookmarkStart w:id="17" w:name="polling"/>
    <w:p>
      <w:pPr>
        <w:pStyle w:val="Heading2"/>
      </w:pPr>
      <w:r>
        <w:t xml:space="preserve">5.4 Polling</w:t>
      </w:r>
    </w:p>
    <w:p>
      <w:pPr>
        <w:pStyle w:val="FirstParagraph"/>
      </w:pPr>
      <w:r>
        <w:t xml:space="preserve">O MiniHub consulta periodicamente o fornecedor.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Scheduler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Transportadora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Consultar status</w:t>
      </w:r>
    </w:p>
    <w:p>
      <w:pPr>
        <w:pStyle w:val="FirstParagraph"/>
      </w:pPr>
      <w:r>
        <w:t xml:space="preserve">Polling deverá ser utilizado somente quando webhook não estiver disponível ou quando houver necessidade operacional de reconciliação.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arquitetura-geral"/>
    <w:p>
      <w:pPr>
        <w:pStyle w:val="Heading1"/>
      </w:pPr>
      <w:r>
        <w:t xml:space="preserve">6. Arquitetura Geral</w:t>
      </w:r>
    </w:p>
    <w:p>
      <w:pPr>
        <w:pStyle w:val="SourceCode"/>
      </w:pPr>
      <w:r>
        <w:rPr>
          <w:rStyle w:val="VerbatimChar"/>
        </w:rPr>
        <w:t xml:space="preserve">                         ┌────────────────────┐</w:t>
      </w:r>
      <w:r>
        <w:br/>
      </w:r>
      <w:r>
        <w:rPr>
          <w:rStyle w:val="VerbatimChar"/>
        </w:rPr>
        <w:t xml:space="preserve">                         │     MINI HUB       │</w:t>
      </w:r>
      <w:r>
        <w:br/>
      </w:r>
      <w:r>
        <w:rPr>
          <w:rStyle w:val="VerbatimChar"/>
        </w:rPr>
        <w:t xml:space="preserve">                         │                    │</w:t>
      </w:r>
      <w:r>
        <w:br/>
      </w:r>
      <w:r>
        <w:rPr>
          <w:rStyle w:val="VerbatimChar"/>
        </w:rPr>
        <w:t xml:space="preserve">                         │  Business Domains   │</w:t>
      </w:r>
      <w:r>
        <w:br/>
      </w:r>
      <w:r>
        <w:rPr>
          <w:rStyle w:val="VerbatimChar"/>
        </w:rPr>
        <w:t xml:space="preserve">                         └─────────┬──────────┘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              Integration Ports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      ┌──────────────┼──────────────┐</w:t>
      </w:r>
      <w:r>
        <w:br/>
      </w:r>
      <w:r>
        <w:rPr>
          <w:rStyle w:val="VerbatimChar"/>
        </w:rPr>
        <w:t xml:space="preserve">                    │              │              │</w:t>
      </w:r>
      <w:r>
        <w:br/>
      </w:r>
      <w:r>
        <w:rPr>
          <w:rStyle w:val="VerbatimChar"/>
        </w:rPr>
        <w:t xml:space="preserve">               Payment         Shipping        Notification</w:t>
      </w:r>
      <w:r>
        <w:br/>
      </w:r>
      <w:r>
        <w:rPr>
          <w:rStyle w:val="VerbatimChar"/>
        </w:rPr>
        <w:t xml:space="preserve">               Gateway         Gateway          Gateway</w:t>
      </w:r>
      <w:r>
        <w:br/>
      </w:r>
      <w:r>
        <w:rPr>
          <w:rStyle w:val="VerbatimChar"/>
        </w:rPr>
        <w:t xml:space="preserve">                    │              │              │</w:t>
      </w:r>
      <w:r>
        <w:br/>
      </w:r>
      <w:r>
        <w:rPr>
          <w:rStyle w:val="VerbatimChar"/>
        </w:rPr>
        <w:t xml:space="preserve">                    ▼              ▼              ▼</w:t>
      </w:r>
      <w:r>
        <w:br/>
      </w:r>
      <w:r>
        <w:rPr>
          <w:rStyle w:val="VerbatimChar"/>
        </w:rPr>
        <w:t xml:space="preserve">              Mercado Pago   Transportadoras   E-mail/WhatsApp</w:t>
      </w:r>
    </w:p>
    <w:p>
      <w:pPr>
        <w:pStyle w:val="FirstParagraph"/>
      </w:pPr>
      <w:r>
        <w:t xml:space="preserve">Outros adapters:</w:t>
      </w:r>
    </w:p>
    <w:p>
      <w:pPr>
        <w:pStyle w:val="SourceCode"/>
      </w:pPr>
      <w:r>
        <w:rPr>
          <w:rStyle w:val="VerbatimChar"/>
        </w:rPr>
        <w:t xml:space="preserve">AddressProvider</w:t>
      </w:r>
      <w:r>
        <w:br/>
      </w:r>
      <w:r>
        <w:rPr>
          <w:rStyle w:val="VerbatimChar"/>
        </w:rPr>
        <w:t xml:space="preserve">IBGEProvider</w:t>
      </w:r>
      <w:r>
        <w:br/>
      </w:r>
      <w:r>
        <w:rPr>
          <w:rStyle w:val="VerbatimChar"/>
        </w:rPr>
        <w:t xml:space="preserve">StorageProvider</w:t>
      </w:r>
      <w:r>
        <w:br/>
      </w:r>
      <w:r>
        <w:rPr>
          <w:rStyle w:val="VerbatimChar"/>
        </w:rPr>
        <w:t xml:space="preserve">IdentityProvider</w:t>
      </w:r>
      <w:r>
        <w:br/>
      </w:r>
      <w:r>
        <w:rPr>
          <w:rStyle w:val="VerbatimChar"/>
        </w:rPr>
        <w:t xml:space="preserve">FraudProvider</w:t>
      </w:r>
      <w:r>
        <w:br/>
      </w:r>
      <w:r>
        <w:rPr>
          <w:rStyle w:val="VerbatimChar"/>
        </w:rPr>
        <w:t xml:space="preserve">AnalyticsProvider</w:t>
      </w:r>
    </w:p>
    <w:p>
      <w:r>
        <w:pict>
          <v:rect style="width:0;height:1.5pt" o:hralign="center" o:hrstd="t" o:hr="t"/>
        </w:pict>
      </w:r>
    </w:p>
    <w:bookmarkEnd w:id="19"/>
    <w:bookmarkStart w:id="20" w:name="integration-port"/>
    <w:p>
      <w:pPr>
        <w:pStyle w:val="Heading1"/>
      </w:pPr>
      <w:r>
        <w:t xml:space="preserve">7. Integration Port</w:t>
      </w:r>
    </w:p>
    <w:p>
      <w:pPr>
        <w:pStyle w:val="FirstParagraph"/>
      </w:pPr>
      <w:r>
        <w:t xml:space="preserve">Uma Integration Port representa o contrato que o domínio/aplicação espera.</w:t>
      </w:r>
    </w:p>
    <w:p>
      <w:pPr>
        <w:pStyle w:val="BodyText"/>
      </w:pPr>
      <w:r>
        <w:t xml:space="preserve">Exemplo conceitual:</w:t>
      </w:r>
    </w:p>
    <w:p>
      <w:pPr>
        <w:pStyle w:val="SourceCode"/>
      </w:pPr>
      <w:r>
        <w:rPr>
          <w:rStyle w:val="VerbatimChar"/>
        </w:rPr>
        <w:t xml:space="preserve">PaymentGateway</w:t>
      </w:r>
      <w:r>
        <w:br/>
      </w:r>
      <w:r>
        <w:br/>
      </w:r>
      <w:r>
        <w:rPr>
          <w:rStyle w:val="VerbatimChar"/>
        </w:rPr>
        <w:t xml:space="preserve">createPayment()</w:t>
      </w:r>
      <w:r>
        <w:br/>
      </w:r>
      <w:r>
        <w:rPr>
          <w:rStyle w:val="VerbatimChar"/>
        </w:rPr>
        <w:t xml:space="preserve">capturePayment()</w:t>
      </w:r>
      <w:r>
        <w:br/>
      </w:r>
      <w:r>
        <w:rPr>
          <w:rStyle w:val="VerbatimChar"/>
        </w:rPr>
        <w:t xml:space="preserve">cancelPayment()</w:t>
      </w:r>
      <w:r>
        <w:br/>
      </w:r>
      <w:r>
        <w:rPr>
          <w:rStyle w:val="VerbatimChar"/>
        </w:rPr>
        <w:t xml:space="preserve">refundPayment()</w:t>
      </w:r>
      <w:r>
        <w:br/>
      </w:r>
      <w:r>
        <w:rPr>
          <w:rStyle w:val="VerbatimChar"/>
        </w:rPr>
        <w:t xml:space="preserve">getPayment()</w:t>
      </w:r>
    </w:p>
    <w:p>
      <w:pPr>
        <w:pStyle w:val="FirstParagraph"/>
      </w:pPr>
      <w:r>
        <w:t xml:space="preserve">O contrato não deverá conter conceitos específicos do fornecedor.</w:t>
      </w:r>
    </w:p>
    <w:p>
      <w:pPr>
        <w:pStyle w:val="BodyText"/>
      </w:pPr>
      <w:r>
        <w:t xml:space="preserve">Não:</w:t>
      </w:r>
    </w:p>
    <w:p>
      <w:pPr>
        <w:pStyle w:val="SourceCode"/>
      </w:pPr>
      <w:r>
        <w:rPr>
          <w:rStyle w:val="VerbatimChar"/>
        </w:rPr>
        <w:t xml:space="preserve">mercadoPagoPreferenceId</w:t>
      </w:r>
      <w:r>
        <w:br/>
      </w:r>
      <w:r>
        <w:rPr>
          <w:rStyle w:val="VerbatimChar"/>
        </w:rPr>
        <w:t xml:space="preserve">mercadoPagoCollectorId</w:t>
      </w:r>
    </w:p>
    <w:p>
      <w:pPr>
        <w:pStyle w:val="FirstParagraph"/>
      </w:pPr>
      <w:r>
        <w:t xml:space="preserve">Sim:</w:t>
      </w:r>
    </w:p>
    <w:p>
      <w:pPr>
        <w:pStyle w:val="SourceCode"/>
      </w:pPr>
      <w:r>
        <w:rPr>
          <w:rStyle w:val="VerbatimChar"/>
        </w:rPr>
        <w:t xml:space="preserve">externalPaymentId</w:t>
      </w:r>
      <w:r>
        <w:br/>
      </w:r>
      <w:r>
        <w:rPr>
          <w:rStyle w:val="VerbatimChar"/>
        </w:rPr>
        <w:t xml:space="preserve">externalReference</w:t>
      </w:r>
    </w:p>
    <w:p>
      <w:pPr>
        <w:pStyle w:val="FirstParagraph"/>
      </w:pPr>
      <w:r>
        <w:t xml:space="preserve">Detalhes específicos pertencem ao Adapter.</w:t>
      </w:r>
    </w:p>
    <w:p>
      <w:r>
        <w:pict>
          <v:rect style="width:0;height:1.5pt" o:hralign="center" o:hrstd="t" o:hr="t"/>
        </w:pict>
      </w:r>
    </w:p>
    <w:bookmarkEnd w:id="20"/>
    <w:bookmarkStart w:id="21" w:name="adapter"/>
    <w:p>
      <w:pPr>
        <w:pStyle w:val="Heading1"/>
      </w:pPr>
      <w:r>
        <w:t xml:space="preserve">8. Adapter</w:t>
      </w:r>
    </w:p>
    <w:p>
      <w:pPr>
        <w:pStyle w:val="FirstParagraph"/>
      </w:pPr>
      <w:r>
        <w:t xml:space="preserve">O Adapter converte o modelo interno do MiniHub para o modelo externo.</w:t>
      </w:r>
    </w:p>
    <w:p>
      <w:pPr>
        <w:pStyle w:val="SourceCode"/>
      </w:pPr>
      <w:r>
        <w:rPr>
          <w:rStyle w:val="VerbatimChar"/>
        </w:rPr>
        <w:t xml:space="preserve">MiniHub Payment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MercadoPagoPaymentAdapter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Mercado Pago Request</w:t>
      </w:r>
    </w:p>
    <w:p>
      <w:pPr>
        <w:pStyle w:val="FirstParagraph"/>
      </w:pPr>
      <w:r>
        <w:t xml:space="preserve">E na volta:</w:t>
      </w:r>
    </w:p>
    <w:p>
      <w:pPr>
        <w:pStyle w:val="SourceCode"/>
      </w:pPr>
      <w:r>
        <w:rPr>
          <w:rStyle w:val="VerbatimChar"/>
        </w:rPr>
        <w:t xml:space="preserve">Mercado Pago Response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MercadoPagoPaymentAdapter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MiniHub PaymentResult</w:t>
      </w:r>
    </w:p>
    <w:p>
      <w:pPr>
        <w:pStyle w:val="FirstParagraph"/>
      </w:pPr>
      <w:r>
        <w:t xml:space="preserve">O domínio nunca deverá receber diretamente o objeto retornado pelo fornecedor.</w:t>
      </w:r>
    </w:p>
    <w:p>
      <w:r>
        <w:pict>
          <v:rect style="width:0;height:1.5pt" o:hralign="center" o:hrstd="t" o:hr="t"/>
        </w:pict>
      </w:r>
    </w:p>
    <w:bookmarkEnd w:id="21"/>
    <w:bookmarkStart w:id="22" w:name="modelo-interno-de-integração"/>
    <w:p>
      <w:pPr>
        <w:pStyle w:val="Heading1"/>
      </w:pPr>
      <w:r>
        <w:t xml:space="preserve">9. Modelo Interno de Integração</w:t>
      </w:r>
    </w:p>
    <w:p>
      <w:pPr>
        <w:pStyle w:val="FirstParagraph"/>
      </w:pPr>
      <w:r>
        <w:t xml:space="preserve">Recomenda-se uma estrutura conceitual:</w:t>
      </w:r>
    </w:p>
    <w:p>
      <w:pPr>
        <w:pStyle w:val="SourceCode"/>
      </w:pPr>
      <w:r>
        <w:rPr>
          <w:rStyle w:val="VerbatimChar"/>
        </w:rPr>
        <w:t xml:space="preserve">INTEGRATION_PROVIDER</w:t>
      </w:r>
      <w:r>
        <w:br/>
      </w:r>
      <w:r>
        <w:rPr>
          <w:rStyle w:val="VerbatimChar"/>
        </w:rPr>
        <w:t xml:space="preserve">INTEGRATION_ACCOUNT</w:t>
      </w:r>
      <w:r>
        <w:br/>
      </w:r>
      <w:r>
        <w:rPr>
          <w:rStyle w:val="VerbatimChar"/>
        </w:rPr>
        <w:t xml:space="preserve">INTEGRATION_CREDENTIAL</w:t>
      </w:r>
      <w:r>
        <w:br/>
      </w:r>
      <w:r>
        <w:rPr>
          <w:rStyle w:val="VerbatimChar"/>
        </w:rPr>
        <w:t xml:space="preserve">INTEGRATION_OPERATION</w:t>
      </w:r>
      <w:r>
        <w:br/>
      </w:r>
      <w:r>
        <w:rPr>
          <w:rStyle w:val="VerbatimChar"/>
        </w:rPr>
        <w:t xml:space="preserve">INTEGRATION_WEBHOOK</w:t>
      </w:r>
      <w:r>
        <w:br/>
      </w:r>
      <w:r>
        <w:rPr>
          <w:rStyle w:val="VerbatimChar"/>
        </w:rPr>
        <w:t xml:space="preserve">INTEGRATION_ERROR</w:t>
      </w:r>
    </w:p>
    <w:p>
      <w:r>
        <w:pict>
          <v:rect style="width:0;height:1.5pt" o:hralign="center" o:hrstd="t" o:hr="t"/>
        </w:pict>
      </w:r>
    </w:p>
    <w:bookmarkEnd w:id="22"/>
    <w:bookmarkStart w:id="23" w:name="integration_provider"/>
    <w:p>
      <w:pPr>
        <w:pStyle w:val="Heading1"/>
      </w:pPr>
      <w:r>
        <w:t xml:space="preserve">10. INTEGRATION_PROVIDER</w:t>
      </w:r>
    </w:p>
    <w:p>
      <w:pPr>
        <w:pStyle w:val="FirstParagraph"/>
      </w:pPr>
      <w:r>
        <w:t xml:space="preserve">Representa o fornecedor.</w:t>
      </w:r>
    </w:p>
    <w:p>
      <w:pPr>
        <w:pStyle w:val="BodyText"/>
      </w:pPr>
      <w:r>
        <w:t xml:space="preserve">Campos principais: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code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provider_type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base_url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MERCADOPAGO</w:t>
      </w:r>
      <w:r>
        <w:br/>
      </w:r>
      <w:r>
        <w:rPr>
          <w:rStyle w:val="VerbatimChar"/>
        </w:rPr>
        <w:t xml:space="preserve">CORREIOS</w:t>
      </w:r>
      <w:r>
        <w:br/>
      </w:r>
      <w:r>
        <w:rPr>
          <w:rStyle w:val="VerbatimChar"/>
        </w:rPr>
        <w:t xml:space="preserve">MELHOR_ENVIO</w:t>
      </w:r>
      <w:r>
        <w:br/>
      </w:r>
      <w:r>
        <w:rPr>
          <w:rStyle w:val="VerbatimChar"/>
        </w:rPr>
        <w:t xml:space="preserve">RESEND</w:t>
      </w:r>
      <w:r>
        <w:br/>
      </w:r>
      <w:r>
        <w:rPr>
          <w:rStyle w:val="VerbatimChar"/>
        </w:rPr>
        <w:t xml:space="preserve">SENDGRID</w:t>
      </w:r>
      <w:r>
        <w:br/>
      </w:r>
      <w:r>
        <w:rPr>
          <w:rStyle w:val="VerbatimChar"/>
        </w:rPr>
        <w:t xml:space="preserve">IBGE</w:t>
      </w:r>
      <w:r>
        <w:br/>
      </w:r>
      <w:r>
        <w:rPr>
          <w:rStyle w:val="VerbatimChar"/>
        </w:rPr>
        <w:t xml:space="preserve">VIACEP</w:t>
      </w:r>
    </w:p>
    <w:p>
      <w:r>
        <w:pict>
          <v:rect style="width:0;height:1.5pt" o:hralign="center" o:hrstd="t" o:hr="t"/>
        </w:pict>
      </w:r>
    </w:p>
    <w:bookmarkEnd w:id="23"/>
    <w:bookmarkStart w:id="24" w:name="integration_account"/>
    <w:p>
      <w:pPr>
        <w:pStyle w:val="Heading1"/>
      </w:pPr>
      <w:r>
        <w:t xml:space="preserve">11. INTEGRATION_ACCOUNT</w:t>
      </w:r>
    </w:p>
    <w:p>
      <w:pPr>
        <w:pStyle w:val="FirstParagraph"/>
      </w:pPr>
      <w:r>
        <w:t xml:space="preserve">Representa uma configuração operacional do fornecedor.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INTEGRATION_PROVIDER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INTEGRATION_ACCOUNT</w:t>
      </w:r>
    </w:p>
    <w:p>
      <w:pPr>
        <w:pStyle w:val="FirstParagraph"/>
      </w:pPr>
      <w:r>
        <w:t xml:space="preserve">Campos: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provider_id</w:t>
      </w:r>
      <w:r>
        <w:br/>
      </w:r>
      <w:r>
        <w:rPr>
          <w:rStyle w:val="VerbatimChar"/>
        </w:rPr>
        <w:t xml:space="preserve">environment</w:t>
      </w:r>
      <w:r>
        <w:br/>
      </w:r>
      <w:r>
        <w:rPr>
          <w:rStyle w:val="VerbatimChar"/>
        </w:rPr>
        <w:t xml:space="preserve">account_reference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t xml:space="preserve">Ambientes:</w:t>
      </w:r>
    </w:p>
    <w:p>
      <w:pPr>
        <w:pStyle w:val="SourceCode"/>
      </w:pPr>
      <w:r>
        <w:rPr>
          <w:rStyle w:val="VerbatimChar"/>
        </w:rPr>
        <w:t xml:space="preserve">SANDBOX</w:t>
      </w:r>
      <w:r>
        <w:br/>
      </w:r>
      <w:r>
        <w:rPr>
          <w:rStyle w:val="VerbatimChar"/>
        </w:rPr>
        <w:t xml:space="preserve">PRODUCTION</w:t>
      </w:r>
    </w:p>
    <w:p>
      <w:pPr>
        <w:pStyle w:val="FirstParagraph"/>
      </w:pPr>
      <w:r>
        <w:t xml:space="preserve">Nunca deverá existir mistura de credenciais de sandbox e produção.</w:t>
      </w:r>
    </w:p>
    <w:p>
      <w:r>
        <w:pict>
          <v:rect style="width:0;height:1.5pt" o:hralign="center" o:hrstd="t" o:hr="t"/>
        </w:pict>
      </w:r>
    </w:p>
    <w:bookmarkEnd w:id="24"/>
    <w:bookmarkStart w:id="25" w:name="credenciais"/>
    <w:p>
      <w:pPr>
        <w:pStyle w:val="Heading1"/>
      </w:pPr>
      <w:r>
        <w:t xml:space="preserve">12. Credenciais</w:t>
      </w:r>
    </w:p>
    <w:p>
      <w:pPr>
        <w:pStyle w:val="FirstParagraph"/>
      </w:pPr>
      <w:r>
        <w:t xml:space="preserve">Credenciais não deverão ser armazenadas em texto puro no banco.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API Key</w:t>
      </w:r>
      <w:r>
        <w:br/>
      </w:r>
      <w:r>
        <w:rPr>
          <w:rStyle w:val="VerbatimChar"/>
        </w:rPr>
        <w:t xml:space="preserve">Secret Key</w:t>
      </w:r>
      <w:r>
        <w:br/>
      </w:r>
      <w:r>
        <w:rPr>
          <w:rStyle w:val="VerbatimChar"/>
        </w:rPr>
        <w:t xml:space="preserve">Client Secret</w:t>
      </w:r>
      <w:r>
        <w:br/>
      </w:r>
      <w:r>
        <w:rPr>
          <w:rStyle w:val="VerbatimChar"/>
        </w:rPr>
        <w:t xml:space="preserve">Webhook Secret</w:t>
      </w:r>
      <w:r>
        <w:br/>
      </w:r>
      <w:r>
        <w:rPr>
          <w:rStyle w:val="VerbatimChar"/>
        </w:rPr>
        <w:t xml:space="preserve">OAuth Refresh Token</w:t>
      </w:r>
      <w:r>
        <w:br/>
      </w:r>
      <w:r>
        <w:rPr>
          <w:rStyle w:val="VerbatimChar"/>
        </w:rPr>
        <w:t xml:space="preserve">Private Key</w:t>
      </w:r>
      <w:r>
        <w:br/>
      </w:r>
      <w:r>
        <w:rPr>
          <w:rStyle w:val="VerbatimChar"/>
        </w:rPr>
        <w:t xml:space="preserve">Certificate</w:t>
      </w:r>
    </w:p>
    <w:p>
      <w:pPr>
        <w:pStyle w:val="FirstParagraph"/>
      </w:pPr>
      <w:r>
        <w:t xml:space="preserve">deverão utilizar mecanismo apropriado de gerenciamento de secrets.</w:t>
      </w:r>
    </w:p>
    <w:p>
      <w:pPr>
        <w:pStyle w:val="BodyText"/>
      </w:pPr>
      <w:r>
        <w:t xml:space="preserve">A OWASP recomenda centralizar o gerenciamento, controlar ciclo de vida, rotação, revogação e acesso mínimo aos secrets.</w:t>
      </w:r>
    </w:p>
    <w:p>
      <w:pPr>
        <w:pStyle w:val="BodyText"/>
      </w:pPr>
      <w:r>
        <w:t xml:space="preserve">Modelo:</w:t>
      </w:r>
    </w:p>
    <w:p>
      <w:pPr>
        <w:pStyle w:val="SourceCode"/>
      </w:pPr>
      <w:r>
        <w:rPr>
          <w:rStyle w:val="VerbatimChar"/>
        </w:rPr>
        <w:t xml:space="preserve">MiniHub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Secret Manager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Credential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Adapter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Provider</w:t>
      </w:r>
    </w:p>
    <w:p>
      <w:pPr>
        <w:pStyle w:val="FirstParagraph"/>
      </w:pPr>
      <w:r>
        <w:t xml:space="preserve">Nunca:</w:t>
      </w:r>
    </w:p>
    <w:p>
      <w:pPr>
        <w:pStyle w:val="SourceCode"/>
      </w:pP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Git</w:t>
      </w:r>
      <w:r>
        <w:br/>
      </w:r>
      <w:r>
        <w:rPr>
          <w:rStyle w:val="VerbatimChar"/>
        </w:rPr>
        <w:t xml:space="preserve">Banco em texto puro</w:t>
      </w:r>
      <w:r>
        <w:br/>
      </w:r>
      <w:r>
        <w:rPr>
          <w:rStyle w:val="VerbatimChar"/>
        </w:rPr>
        <w:t xml:space="preserve">Log</w:t>
      </w:r>
      <w:r>
        <w:br/>
      </w:r>
      <w:r>
        <w:rPr>
          <w:rStyle w:val="VerbatimChar"/>
        </w:rPr>
        <w:t xml:space="preserve">URL</w:t>
      </w:r>
      <w:r>
        <w:br/>
      </w:r>
      <w:r>
        <w:rPr>
          <w:rStyle w:val="VerbatimChar"/>
        </w:rPr>
        <w:t xml:space="preserve">Payload de auditoria</w:t>
      </w:r>
    </w:p>
    <w:p>
      <w:pPr>
        <w:pStyle w:val="FirstParagraph"/>
      </w:pPr>
      <w:r>
        <w:t xml:space="preserve">Credenciais também não deverão aparecer em URLs ou logs; a OWASP recomenda que informações sensíveis sejam transmitidas em headers/body e não em query strings.</w:t>
      </w:r>
    </w:p>
    <w:p>
      <w:r>
        <w:pict>
          <v:rect style="width:0;height:1.5pt" o:hralign="center" o:hrstd="t" o:hr="t"/>
        </w:pict>
      </w:r>
    </w:p>
    <w:bookmarkEnd w:id="25"/>
    <w:bookmarkStart w:id="26" w:name="ciclo-de-vida-de-credenciais"/>
    <w:p>
      <w:pPr>
        <w:pStyle w:val="Heading1"/>
      </w:pPr>
      <w:r>
        <w:t xml:space="preserve">13. Ciclo de Vida de Credenciais</w:t>
      </w:r>
    </w:p>
    <w:p>
      <w:pPr>
        <w:pStyle w:val="SourceCode"/>
      </w:pPr>
      <w:r>
        <w:rPr>
          <w:rStyle w:val="VerbatimChar"/>
        </w:rPr>
        <w:t xml:space="preserve">CREATE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ROTATION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REVOKED</w:t>
      </w:r>
    </w:p>
    <w:p>
      <w:pPr>
        <w:pStyle w:val="FirstParagraph"/>
      </w:pPr>
      <w:r>
        <w:t xml:space="preserve">Uma credencial deverá permitir:</w:t>
      </w:r>
    </w:p>
    <w:p>
      <w:pPr>
        <w:pStyle w:val="Compact"/>
        <w:numPr>
          <w:ilvl w:val="0"/>
          <w:numId w:val="1001"/>
        </w:numPr>
      </w:pPr>
      <w:r>
        <w:t xml:space="preserve">criação;</w:t>
      </w:r>
    </w:p>
    <w:p>
      <w:pPr>
        <w:pStyle w:val="Compact"/>
        <w:numPr>
          <w:ilvl w:val="0"/>
          <w:numId w:val="1001"/>
        </w:numPr>
      </w:pPr>
      <w:r>
        <w:t xml:space="preserve">ativação;</w:t>
      </w:r>
    </w:p>
    <w:p>
      <w:pPr>
        <w:pStyle w:val="Compact"/>
        <w:numPr>
          <w:ilvl w:val="0"/>
          <w:numId w:val="1001"/>
        </w:numPr>
      </w:pPr>
      <w:r>
        <w:t xml:space="preserve">rotação;</w:t>
      </w:r>
    </w:p>
    <w:p>
      <w:pPr>
        <w:pStyle w:val="Compact"/>
        <w:numPr>
          <w:ilvl w:val="0"/>
          <w:numId w:val="1001"/>
        </w:numPr>
      </w:pPr>
      <w:r>
        <w:t xml:space="preserve">revogação;</w:t>
      </w:r>
    </w:p>
    <w:p>
      <w:pPr>
        <w:pStyle w:val="Compact"/>
        <w:numPr>
          <w:ilvl w:val="0"/>
          <w:numId w:val="1001"/>
        </w:numPr>
      </w:pPr>
      <w:r>
        <w:t xml:space="preserve">expiração;</w:t>
      </w:r>
    </w:p>
    <w:p>
      <w:pPr>
        <w:pStyle w:val="Compact"/>
        <w:numPr>
          <w:ilvl w:val="0"/>
          <w:numId w:val="1001"/>
        </w:numPr>
      </w:pPr>
      <w:r>
        <w:t xml:space="preserve">auditoria.</w:t>
      </w:r>
    </w:p>
    <w:p>
      <w:pPr>
        <w:pStyle w:val="FirstParagraph"/>
      </w:pPr>
      <w:r>
        <w:t xml:space="preserve">O sistema deverá estar preparado para rotação sem necessidade de alteração de código.</w:t>
      </w:r>
    </w:p>
    <w:p>
      <w:r>
        <w:pict>
          <v:rect style="width:0;height:1.5pt" o:hralign="center" o:hrstd="t" o:hr="t"/>
        </w:pict>
      </w:r>
    </w:p>
    <w:bookmarkEnd w:id="26"/>
    <w:bookmarkStart w:id="27" w:name="ambientes"/>
    <w:p>
      <w:pPr>
        <w:pStyle w:val="Heading1"/>
      </w:pPr>
      <w:r>
        <w:t xml:space="preserve">14. Ambientes</w:t>
      </w:r>
    </w:p>
    <w:p>
      <w:pPr>
        <w:pStyle w:val="FirstParagraph"/>
      </w:pPr>
      <w:r>
        <w:t xml:space="preserve">Toda integração deverá distinguir:</w:t>
      </w:r>
    </w:p>
    <w:p>
      <w:pPr>
        <w:pStyle w:val="SourceCode"/>
      </w:pPr>
      <w:r>
        <w:rPr>
          <w:rStyle w:val="VerbatimChar"/>
        </w:rPr>
        <w:t xml:space="preserve">DEVELOPMENT</w:t>
      </w:r>
      <w:r>
        <w:br/>
      </w: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STAGING</w:t>
      </w:r>
      <w:r>
        <w:br/>
      </w:r>
      <w:r>
        <w:rPr>
          <w:rStyle w:val="VerbatimChar"/>
        </w:rPr>
        <w:t xml:space="preserve">PRODUCTION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Mercado Pago Sandbox</w:t>
      </w:r>
      <w:r>
        <w:br/>
      </w:r>
      <w:r>
        <w:rPr>
          <w:rStyle w:val="VerbatimChar"/>
        </w:rPr>
        <w:t xml:space="preserve">Mercado Pago Production</w:t>
      </w:r>
    </w:p>
    <w:p>
      <w:pPr>
        <w:pStyle w:val="FirstParagraph"/>
      </w:pPr>
      <w:r>
        <w:t xml:space="preserve">As credenciais deverão ser específicas por ambiente.</w:t>
      </w:r>
    </w:p>
    <w:p>
      <w:r>
        <w:pict>
          <v:rect style="width:0;height:1.5pt" o:hralign="center" o:hrstd="t" o:hr="t"/>
        </w:pict>
      </w:r>
    </w:p>
    <w:bookmarkEnd w:id="27"/>
    <w:bookmarkStart w:id="28" w:name="configuração"/>
    <w:p>
      <w:pPr>
        <w:pStyle w:val="Heading1"/>
      </w:pPr>
      <w:r>
        <w:t xml:space="preserve">15. Configuração</w:t>
      </w:r>
    </w:p>
    <w:p>
      <w:pPr>
        <w:pStyle w:val="FirstParagraph"/>
      </w:pPr>
      <w:r>
        <w:t xml:space="preserve">Configurações não sensíveis podem estar no mecanismo de configuração da aplicação.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PROVIDER_TIMEOUT</w:t>
      </w:r>
      <w:r>
        <w:br/>
      </w:r>
      <w:r>
        <w:rPr>
          <w:rStyle w:val="VerbatimChar"/>
        </w:rPr>
        <w:t xml:space="preserve">PROVIDER_MAX_RETRIES</w:t>
      </w:r>
      <w:r>
        <w:br/>
      </w:r>
      <w:r>
        <w:rPr>
          <w:rStyle w:val="VerbatimChar"/>
        </w:rPr>
        <w:t xml:space="preserve">WEBHOOK_TOLERANCE</w:t>
      </w:r>
      <w:r>
        <w:br/>
      </w:r>
      <w:r>
        <w:rPr>
          <w:rStyle w:val="VerbatimChar"/>
        </w:rPr>
        <w:t xml:space="preserve">POLLING_INTERVAL</w:t>
      </w:r>
    </w:p>
    <w:p>
      <w:pPr>
        <w:pStyle w:val="FirstParagraph"/>
      </w:pPr>
      <w:r>
        <w:t xml:space="preserve">Secrets devem permanecer no mecanismo de gerenciamento de secrets.</w:t>
      </w:r>
    </w:p>
    <w:p>
      <w:r>
        <w:pict>
          <v:rect style="width:0;height:1.5pt" o:hralign="center" o:hrstd="t" o:hr="t"/>
        </w:pict>
      </w:r>
    </w:p>
    <w:bookmarkEnd w:id="28"/>
    <w:bookmarkStart w:id="29" w:name="timeouts"/>
    <w:p>
      <w:pPr>
        <w:pStyle w:val="Heading1"/>
      </w:pPr>
      <w:r>
        <w:t xml:space="preserve">16. Timeouts</w:t>
      </w:r>
    </w:p>
    <w:p>
      <w:pPr>
        <w:pStyle w:val="FirstParagraph"/>
      </w:pPr>
      <w:r>
        <w:t xml:space="preserve">Toda chamada externa deverá possuir timeout.</w:t>
      </w:r>
    </w:p>
    <w:p>
      <w:pPr>
        <w:pStyle w:val="BodyText"/>
      </w:pPr>
      <w:r>
        <w:t xml:space="preserve">Nunca:</w:t>
      </w:r>
    </w:p>
    <w:p>
      <w:pPr>
        <w:pStyle w:val="SourceCode"/>
      </w:pPr>
      <w:r>
        <w:rPr>
          <w:rStyle w:val="VerbatimChar"/>
        </w:rPr>
        <w:t xml:space="preserve">HTTP request sem timeout</w:t>
      </w:r>
    </w:p>
    <w:p>
      <w:pPr>
        <w:pStyle w:val="FirstParagraph"/>
      </w:pPr>
      <w:r>
        <w:t xml:space="preserve">Exemplo conceitual:</w:t>
      </w:r>
    </w:p>
    <w:p>
      <w:pPr>
        <w:pStyle w:val="SourceCode"/>
      </w:pPr>
      <w:r>
        <w:rPr>
          <w:rStyle w:val="VerbatimChar"/>
        </w:rPr>
        <w:t xml:space="preserve">connect timeout</w:t>
      </w:r>
      <w:r>
        <w:br/>
      </w:r>
      <w:r>
        <w:rPr>
          <w:rStyle w:val="VerbatimChar"/>
        </w:rPr>
        <w:t xml:space="preserve">read timeout</w:t>
      </w:r>
      <w:r>
        <w:br/>
      </w:r>
      <w:r>
        <w:rPr>
          <w:rStyle w:val="VerbatimChar"/>
        </w:rPr>
        <w:t xml:space="preserve">total timeout</w:t>
      </w:r>
    </w:p>
    <w:p>
      <w:pPr>
        <w:pStyle w:val="FirstParagraph"/>
      </w:pPr>
      <w:r>
        <w:t xml:space="preserve">Um fornecedor externo indisponível não poderá bloquear indefinidamente uma requisição do MiniHub.</w:t>
      </w:r>
    </w:p>
    <w:p>
      <w:r>
        <w:pict>
          <v:rect style="width:0;height:1.5pt" o:hralign="center" o:hrstd="t" o:hr="t"/>
        </w:pict>
      </w:r>
    </w:p>
    <w:bookmarkEnd w:id="29"/>
    <w:bookmarkStart w:id="30" w:name="retry"/>
    <w:p>
      <w:pPr>
        <w:pStyle w:val="Heading1"/>
      </w:pPr>
      <w:r>
        <w:t xml:space="preserve">17. Retry</w:t>
      </w:r>
    </w:p>
    <w:p>
      <w:pPr>
        <w:pStyle w:val="FirstParagraph"/>
      </w:pPr>
      <w:r>
        <w:t xml:space="preserve">Retries serão permitidos apenas para erros considerados transitórios.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HTTP 408</w:t>
      </w:r>
      <w:r>
        <w:br/>
      </w:r>
      <w:r>
        <w:rPr>
          <w:rStyle w:val="VerbatimChar"/>
        </w:rPr>
        <w:t xml:space="preserve">HTTP 429</w:t>
      </w:r>
      <w:r>
        <w:br/>
      </w:r>
      <w:r>
        <w:rPr>
          <w:rStyle w:val="VerbatimChar"/>
        </w:rPr>
        <w:t xml:space="preserve">HTTP 502</w:t>
      </w:r>
      <w:r>
        <w:br/>
      </w:r>
      <w:r>
        <w:rPr>
          <w:rStyle w:val="VerbatimChar"/>
        </w:rPr>
        <w:t xml:space="preserve">HTTP 503</w:t>
      </w:r>
      <w:r>
        <w:br/>
      </w:r>
      <w:r>
        <w:rPr>
          <w:rStyle w:val="VerbatimChar"/>
        </w:rPr>
        <w:t xml:space="preserve">HTTP 504</w:t>
      </w:r>
      <w:r>
        <w:br/>
      </w:r>
      <w:r>
        <w:rPr>
          <w:rStyle w:val="VerbatimChar"/>
        </w:rPr>
        <w:t xml:space="preserve">network timeout</w:t>
      </w:r>
      <w:r>
        <w:br/>
      </w:r>
      <w:r>
        <w:rPr>
          <w:rStyle w:val="VerbatimChar"/>
        </w:rPr>
        <w:t xml:space="preserve">connection reset</w:t>
      </w:r>
    </w:p>
    <w:p>
      <w:pPr>
        <w:pStyle w:val="FirstParagraph"/>
      </w:pPr>
      <w:r>
        <w:t xml:space="preserve">Não deverão ser repetidos automaticamente:</w:t>
      </w:r>
    </w:p>
    <w:p>
      <w:pPr>
        <w:pStyle w:val="SourceCode"/>
      </w:pPr>
      <w:r>
        <w:rPr>
          <w:rStyle w:val="VerbatimChar"/>
        </w:rPr>
        <w:t xml:space="preserve">HTTP 400</w:t>
      </w:r>
      <w:r>
        <w:br/>
      </w:r>
      <w:r>
        <w:rPr>
          <w:rStyle w:val="VerbatimChar"/>
        </w:rPr>
        <w:t xml:space="preserve">HTTP 401</w:t>
      </w:r>
      <w:r>
        <w:br/>
      </w:r>
      <w:r>
        <w:rPr>
          <w:rStyle w:val="VerbatimChar"/>
        </w:rPr>
        <w:t xml:space="preserve">HTTP 403</w:t>
      </w:r>
      <w:r>
        <w:br/>
      </w:r>
      <w:r>
        <w:rPr>
          <w:rStyle w:val="VerbatimChar"/>
        </w:rPr>
        <w:t xml:space="preserve">HTTP 404</w:t>
      </w:r>
      <w:r>
        <w:br/>
      </w:r>
      <w:r>
        <w:rPr>
          <w:rStyle w:val="VerbatimChar"/>
        </w:rPr>
        <w:t xml:space="preserve">erro de validação</w:t>
      </w:r>
      <w:r>
        <w:br/>
      </w:r>
      <w:r>
        <w:rPr>
          <w:rStyle w:val="VerbatimChar"/>
        </w:rPr>
        <w:t xml:space="preserve">operação rejeitada pelo negócio</w:t>
      </w:r>
    </w:p>
    <w:p>
      <w:r>
        <w:pict>
          <v:rect style="width:0;height:1.5pt" o:hralign="center" o:hrstd="t" o:hr="t"/>
        </w:pict>
      </w:r>
    </w:p>
    <w:bookmarkEnd w:id="30"/>
    <w:bookmarkStart w:id="31" w:name="backoff"/>
    <w:p>
      <w:pPr>
        <w:pStyle w:val="Heading1"/>
      </w:pPr>
      <w:r>
        <w:t xml:space="preserve">18. Backoff</w:t>
      </w:r>
    </w:p>
    <w:p>
      <w:pPr>
        <w:pStyle w:val="FirstParagraph"/>
      </w:pPr>
      <w:r>
        <w:t xml:space="preserve">Retries deverão utilizar backoff.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1ª tentativa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1s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2ª tentativa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2s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3ª tentativa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4s</w:t>
      </w:r>
    </w:p>
    <w:p>
      <w:pPr>
        <w:pStyle w:val="FirstParagraph"/>
      </w:pPr>
      <w:r>
        <w:t xml:space="preserve">Com jitter quando apropriado.</w:t>
      </w:r>
    </w:p>
    <w:p>
      <w:pPr>
        <w:pStyle w:val="BodyText"/>
      </w:pPr>
      <w:r>
        <w:t xml:space="preserve">O número máximo de tentativas deverá ser configurável.</w:t>
      </w:r>
    </w:p>
    <w:p>
      <w:r>
        <w:pict>
          <v:rect style="width:0;height:1.5pt" o:hralign="center" o:hrstd="t" o:hr="t"/>
        </w:pict>
      </w:r>
    </w:p>
    <w:bookmarkEnd w:id="31"/>
    <w:bookmarkStart w:id="32" w:name="idempotência"/>
    <w:p>
      <w:pPr>
        <w:pStyle w:val="Heading1"/>
      </w:pPr>
      <w:r>
        <w:t xml:space="preserve">19. Idempotência</w:t>
      </w:r>
    </w:p>
    <w:p>
      <w:pPr>
        <w:pStyle w:val="FirstParagraph"/>
      </w:pPr>
      <w:r>
        <w:t xml:space="preserve">Integrações financeiras e operações de criação deverão utilizar idempotência.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Order #123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Create Payment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Request ID = ABC123</w:t>
      </w:r>
    </w:p>
    <w:p>
      <w:pPr>
        <w:pStyle w:val="FirstParagraph"/>
      </w:pPr>
      <w:r>
        <w:t xml:space="preserve">Se a requisição for repetida:</w:t>
      </w:r>
    </w:p>
    <w:p>
      <w:pPr>
        <w:pStyle w:val="SourceCode"/>
      </w:pPr>
      <w:r>
        <w:rPr>
          <w:rStyle w:val="VerbatimChar"/>
        </w:rPr>
        <w:t xml:space="preserve">ABC123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já processado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retornar resultado anterior</w:t>
      </w:r>
    </w:p>
    <w:p>
      <w:pPr>
        <w:pStyle w:val="FirstParagraph"/>
      </w:pPr>
      <w:r>
        <w:t xml:space="preserve">Nunca:</w:t>
      </w:r>
    </w:p>
    <w:p>
      <w:pPr>
        <w:pStyle w:val="SourceCode"/>
      </w:pPr>
      <w:r>
        <w:rPr>
          <w:rStyle w:val="VerbatimChar"/>
        </w:rPr>
        <w:t xml:space="preserve">Retry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Criar pagamento novamente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Cobrar duas vezes</w:t>
      </w:r>
    </w:p>
    <w:p>
      <w:r>
        <w:pict>
          <v:rect style="width:0;height:1.5pt" o:hralign="center" o:hrstd="t" o:hr="t"/>
        </w:pict>
      </w:r>
    </w:p>
    <w:bookmarkEnd w:id="32"/>
    <w:bookmarkStart w:id="33" w:name="integration-operation"/>
    <w:p>
      <w:pPr>
        <w:pStyle w:val="Heading1"/>
      </w:pPr>
      <w:r>
        <w:t xml:space="preserve">20. Integration Operation</w:t>
      </w:r>
    </w:p>
    <w:p>
      <w:pPr>
        <w:pStyle w:val="FirstParagraph"/>
      </w:pPr>
      <w:r>
        <w:t xml:space="preserve">Recomenda-se registrar operações relevantes.</w:t>
      </w:r>
    </w:p>
    <w:p>
      <w:pPr>
        <w:pStyle w:val="BodyText"/>
      </w:pPr>
      <w:r>
        <w:t xml:space="preserve">Campos: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provider_id</w:t>
      </w:r>
      <w:r>
        <w:br/>
      </w:r>
      <w:r>
        <w:rPr>
          <w:rStyle w:val="VerbatimChar"/>
        </w:rPr>
        <w:t xml:space="preserve">account_id</w:t>
      </w:r>
      <w:r>
        <w:br/>
      </w:r>
      <w:r>
        <w:rPr>
          <w:rStyle w:val="VerbatimChar"/>
        </w:rPr>
        <w:t xml:space="preserve">operation_type</w:t>
      </w:r>
      <w:r>
        <w:br/>
      </w:r>
      <w:r>
        <w:rPr>
          <w:rStyle w:val="VerbatimChar"/>
        </w:rPr>
        <w:t xml:space="preserve">reference_type</w:t>
      </w:r>
      <w:r>
        <w:br/>
      </w:r>
      <w:r>
        <w:rPr>
          <w:rStyle w:val="VerbatimChar"/>
        </w:rPr>
        <w:t xml:space="preserve">reference_id</w:t>
      </w:r>
      <w:r>
        <w:br/>
      </w:r>
      <w:r>
        <w:rPr>
          <w:rStyle w:val="VerbatimChar"/>
        </w:rPr>
        <w:t xml:space="preserve">idempotency_key</w:t>
      </w:r>
      <w:r>
        <w:br/>
      </w:r>
      <w:r>
        <w:rPr>
          <w:rStyle w:val="VerbatimChar"/>
        </w:rPr>
        <w:t xml:space="preserve">external_request_id</w:t>
      </w:r>
      <w:r>
        <w:br/>
      </w:r>
      <w:r>
        <w:rPr>
          <w:rStyle w:val="VerbatimChar"/>
        </w:rPr>
        <w:t xml:space="preserve">external_response_id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http_status</w:t>
      </w:r>
      <w:r>
        <w:br/>
      </w:r>
      <w:r>
        <w:rPr>
          <w:rStyle w:val="VerbatimChar"/>
        </w:rPr>
        <w:t xml:space="preserve">attempt_count</w:t>
      </w:r>
      <w:r>
        <w:br/>
      </w:r>
      <w:r>
        <w:rPr>
          <w:rStyle w:val="VerbatimChar"/>
        </w:rPr>
        <w:t xml:space="preserve">started_at</w:t>
      </w:r>
      <w:r>
        <w:br/>
      </w:r>
      <w:r>
        <w:rPr>
          <w:rStyle w:val="VerbatimChar"/>
        </w:rPr>
        <w:t xml:space="preserve">completed_at</w:t>
      </w:r>
      <w:r>
        <w:br/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PAYMENT_CREATE</w:t>
      </w:r>
      <w:r>
        <w:br/>
      </w:r>
      <w:r>
        <w:rPr>
          <w:rStyle w:val="VerbatimChar"/>
        </w:rPr>
        <w:t xml:space="preserve">PAYMENT_REFUND</w:t>
      </w:r>
      <w:r>
        <w:br/>
      </w:r>
      <w:r>
        <w:rPr>
          <w:rStyle w:val="VerbatimChar"/>
        </w:rPr>
        <w:t xml:space="preserve">SHIPMENT_CREATE</w:t>
      </w:r>
      <w:r>
        <w:br/>
      </w:r>
      <w:r>
        <w:rPr>
          <w:rStyle w:val="VerbatimChar"/>
        </w:rPr>
        <w:t xml:space="preserve">SHIPMENT_LABEL</w:t>
      </w:r>
      <w:r>
        <w:br/>
      </w:r>
      <w:r>
        <w:rPr>
          <w:rStyle w:val="VerbatimChar"/>
        </w:rPr>
        <w:t xml:space="preserve">SHIPPING_QUOTE</w:t>
      </w:r>
      <w:r>
        <w:br/>
      </w:r>
      <w:r>
        <w:rPr>
          <w:rStyle w:val="VerbatimChar"/>
        </w:rPr>
        <w:t xml:space="preserve">EMAIL_SEND</w:t>
      </w:r>
      <w:r>
        <w:br/>
      </w:r>
      <w:r>
        <w:rPr>
          <w:rStyle w:val="VerbatimChar"/>
        </w:rPr>
        <w:t xml:space="preserve">CEP_LOOKUP</w:t>
      </w:r>
    </w:p>
    <w:p>
      <w:r>
        <w:pict>
          <v:rect style="width:0;height:1.5pt" o:hralign="center" o:hrstd="t" o:hr="t"/>
        </w:pict>
      </w:r>
    </w:p>
    <w:bookmarkEnd w:id="33"/>
    <w:bookmarkStart w:id="34" w:name="estado-da-integração"/>
    <w:p>
      <w:pPr>
        <w:pStyle w:val="Heading1"/>
      </w:pPr>
      <w:r>
        <w:t xml:space="preserve">21. Estado da Integração</w:t>
      </w:r>
    </w:p>
    <w:p>
      <w:pPr>
        <w:pStyle w:val="FirstParagraph"/>
      </w:pPr>
      <w:r>
        <w:t xml:space="preserve">Uma operação poderá possuir: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SUCCEEDED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RETRYING</w:t>
      </w:r>
      <w:r>
        <w:br/>
      </w:r>
      <w:r>
        <w:rPr>
          <w:rStyle w:val="VerbatimChar"/>
        </w:rPr>
        <w:t xml:space="preserve">CANCELLED</w:t>
      </w:r>
    </w:p>
    <w:p>
      <w:pPr>
        <w:pStyle w:val="FirstParagraph"/>
      </w:pPr>
      <w:r>
        <w:t xml:space="preserve">Não confundir:</w:t>
      </w:r>
    </w:p>
    <w:p>
      <w:pPr>
        <w:pStyle w:val="SourceCode"/>
      </w:pPr>
      <w:r>
        <w:rPr>
          <w:rStyle w:val="VerbatimChar"/>
        </w:rPr>
        <w:t xml:space="preserve">IntegrationOperation.status</w:t>
      </w:r>
    </w:p>
    <w:p>
      <w:pPr>
        <w:pStyle w:val="FirstParagraph"/>
      </w:pPr>
      <w:r>
        <w:t xml:space="preserve">com:</w:t>
      </w:r>
    </w:p>
    <w:p>
      <w:pPr>
        <w:pStyle w:val="SourceCode"/>
      </w:pPr>
      <w:r>
        <w:rPr>
          <w:rStyle w:val="VerbatimChar"/>
        </w:rPr>
        <w:t xml:space="preserve">Payment.status</w:t>
      </w:r>
      <w:r>
        <w:br/>
      </w:r>
      <w:r>
        <w:rPr>
          <w:rStyle w:val="VerbatimChar"/>
        </w:rPr>
        <w:t xml:space="preserve">Order.status</w:t>
      </w:r>
      <w:r>
        <w:br/>
      </w:r>
      <w:r>
        <w:rPr>
          <w:rStyle w:val="VerbatimChar"/>
        </w:rPr>
        <w:t xml:space="preserve">Shipment.status</w:t>
      </w:r>
    </w:p>
    <w:p>
      <w:pPr>
        <w:pStyle w:val="FirstParagraph"/>
      </w:pPr>
      <w:r>
        <w:t xml:space="preserve">São estados diferentes.</w:t>
      </w:r>
    </w:p>
    <w:p>
      <w:r>
        <w:pict>
          <v:rect style="width:0;height:1.5pt" o:hralign="center" o:hrstd="t" o:hr="t"/>
        </w:pict>
      </w:r>
    </w:p>
    <w:bookmarkEnd w:id="34"/>
    <w:bookmarkStart w:id="35" w:name="webhooks"/>
    <w:p>
      <w:pPr>
        <w:pStyle w:val="Heading1"/>
      </w:pPr>
      <w:r>
        <w:t xml:space="preserve">22. Webhooks</w:t>
      </w:r>
    </w:p>
    <w:p>
      <w:pPr>
        <w:pStyle w:val="FirstParagraph"/>
      </w:pPr>
      <w:r>
        <w:t xml:space="preserve">Webhooks são eventos enviados pelo fornecedor para o MiniHub.</w:t>
      </w:r>
    </w:p>
    <w:p>
      <w:pPr>
        <w:pStyle w:val="BodyText"/>
      </w:pPr>
      <w:r>
        <w:t xml:space="preserve">Fluxo obrigatório:</w:t>
      </w:r>
    </w:p>
    <w:p>
      <w:pPr>
        <w:pStyle w:val="SourceCode"/>
      </w:pPr>
      <w:r>
        <w:rPr>
          <w:rStyle w:val="VerbatimChar"/>
        </w:rPr>
        <w:t xml:space="preserve">PROVIDER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HTTPS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Webhook Endpoint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Validar assinatura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Validar estrutura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Idempotência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Persistir evento recebido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Responder 2xx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Outbox / Queue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Processar</w:t>
      </w:r>
    </w:p>
    <w:p>
      <w:pPr>
        <w:pStyle w:val="FirstParagraph"/>
      </w:pPr>
      <w:r>
        <w:t xml:space="preserve">O endpoint não deverá executar toda a regra de negócio de forma síncrona.</w:t>
      </w:r>
    </w:p>
    <w:p>
      <w:r>
        <w:pict>
          <v:rect style="width:0;height:1.5pt" o:hralign="center" o:hrstd="t" o:hr="t"/>
        </w:pict>
      </w:r>
    </w:p>
    <w:bookmarkEnd w:id="35"/>
    <w:bookmarkStart w:id="36" w:name="segurança-de-webhooks"/>
    <w:p>
      <w:pPr>
        <w:pStyle w:val="Heading1"/>
      </w:pPr>
      <w:r>
        <w:t xml:space="preserve">23. Segurança de Webhooks</w:t>
      </w:r>
    </w:p>
    <w:p>
      <w:pPr>
        <w:pStyle w:val="FirstParagraph"/>
      </w:pPr>
      <w:r>
        <w:t xml:space="preserve">Cada provider deverá possuir mecanismo de validação quando disponível.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HMAC</w:t>
      </w:r>
      <w:r>
        <w:br/>
      </w:r>
      <w:r>
        <w:rPr>
          <w:rStyle w:val="VerbatimChar"/>
        </w:rPr>
        <w:t xml:space="preserve">Signature</w:t>
      </w:r>
      <w:r>
        <w:br/>
      </w:r>
      <w:r>
        <w:rPr>
          <w:rStyle w:val="VerbatimChar"/>
        </w:rPr>
        <w:t xml:space="preserve">Timestamp</w:t>
      </w:r>
      <w:r>
        <w:br/>
      </w:r>
      <w:r>
        <w:rPr>
          <w:rStyle w:val="VerbatimChar"/>
        </w:rPr>
        <w:t xml:space="preserve">Webhook Secret</w:t>
      </w:r>
      <w:r>
        <w:br/>
      </w:r>
      <w:r>
        <w:rPr>
          <w:rStyle w:val="VerbatimChar"/>
        </w:rPr>
        <w:t xml:space="preserve">mTLS</w:t>
      </w:r>
      <w:r>
        <w:br/>
      </w:r>
      <w:r>
        <w:rPr>
          <w:rStyle w:val="VerbatimChar"/>
        </w:rPr>
        <w:t xml:space="preserve">Provider Token</w:t>
      </w:r>
    </w:p>
    <w:p>
      <w:pPr>
        <w:pStyle w:val="FirstParagraph"/>
      </w:pPr>
      <w:r>
        <w:t xml:space="preserve">O MiniHub deverá:</w:t>
      </w:r>
    </w:p>
    <w:p>
      <w:pPr>
        <w:pStyle w:val="Compact"/>
        <w:numPr>
          <w:ilvl w:val="0"/>
          <w:numId w:val="1002"/>
        </w:numPr>
      </w:pPr>
      <w:r>
        <w:t xml:space="preserve">receber requisição;</w:t>
      </w:r>
    </w:p>
    <w:p>
      <w:pPr>
        <w:pStyle w:val="Compact"/>
        <w:numPr>
          <w:ilvl w:val="0"/>
          <w:numId w:val="1002"/>
        </w:numPr>
      </w:pPr>
      <w:r>
        <w:t xml:space="preserve">validar origem/assinatura;</w:t>
      </w:r>
    </w:p>
    <w:p>
      <w:pPr>
        <w:pStyle w:val="Compact"/>
        <w:numPr>
          <w:ilvl w:val="0"/>
          <w:numId w:val="1002"/>
        </w:numPr>
      </w:pPr>
      <w:r>
        <w:t xml:space="preserve">validar timestamp quando aplicável;</w:t>
      </w:r>
    </w:p>
    <w:p>
      <w:pPr>
        <w:pStyle w:val="Compact"/>
        <w:numPr>
          <w:ilvl w:val="0"/>
          <w:numId w:val="1002"/>
        </w:numPr>
      </w:pPr>
      <w:r>
        <w:t xml:space="preserve">validar payload;</w:t>
      </w:r>
    </w:p>
    <w:p>
      <w:pPr>
        <w:pStyle w:val="Compact"/>
        <w:numPr>
          <w:ilvl w:val="0"/>
          <w:numId w:val="1002"/>
        </w:numPr>
      </w:pPr>
      <w:r>
        <w:t xml:space="preserve">verificar idempotência;</w:t>
      </w:r>
    </w:p>
    <w:p>
      <w:pPr>
        <w:pStyle w:val="Compact"/>
        <w:numPr>
          <w:ilvl w:val="0"/>
          <w:numId w:val="1002"/>
        </w:numPr>
      </w:pPr>
      <w:r>
        <w:t xml:space="preserve">persistir evento;</w:t>
      </w:r>
    </w:p>
    <w:p>
      <w:pPr>
        <w:pStyle w:val="Compact"/>
        <w:numPr>
          <w:ilvl w:val="0"/>
          <w:numId w:val="1002"/>
        </w:numPr>
      </w:pPr>
      <w:r>
        <w:t xml:space="preserve">processar assincronamente.</w:t>
      </w:r>
    </w:p>
    <w:p>
      <w:r>
        <w:pict>
          <v:rect style="width:0;height:1.5pt" o:hralign="center" o:hrstd="t" o:hr="t"/>
        </w:pict>
      </w:r>
    </w:p>
    <w:bookmarkEnd w:id="36"/>
    <w:bookmarkStart w:id="37" w:name="webhook-replay"/>
    <w:p>
      <w:pPr>
        <w:pStyle w:val="Heading1"/>
      </w:pPr>
      <w:r>
        <w:t xml:space="preserve">24. Webhook Replay</w:t>
      </w:r>
    </w:p>
    <w:p>
      <w:pPr>
        <w:pStyle w:val="FirstParagraph"/>
      </w:pPr>
      <w:r>
        <w:t xml:space="preserve">O sistema deverá impedir processamento duplicado.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provider_event_id = EVT123</w:t>
      </w:r>
    </w:p>
    <w:p>
      <w:pPr>
        <w:pStyle w:val="FirstParagraph"/>
      </w:pPr>
      <w:r>
        <w:t xml:space="preserve">Primeira chegada:</w:t>
      </w:r>
    </w:p>
    <w:p>
      <w:pPr>
        <w:pStyle w:val="SourceCode"/>
      </w:pPr>
      <w:r>
        <w:rPr>
          <w:rStyle w:val="VerbatimChar"/>
        </w:rPr>
        <w:t xml:space="preserve">EVT123 → PROCESSADO</w:t>
      </w:r>
    </w:p>
    <w:p>
      <w:pPr>
        <w:pStyle w:val="FirstParagraph"/>
      </w:pPr>
      <w:r>
        <w:t xml:space="preserve">Segunda chegada:</w:t>
      </w:r>
    </w:p>
    <w:p>
      <w:pPr>
        <w:pStyle w:val="SourceCode"/>
      </w:pPr>
      <w:r>
        <w:rPr>
          <w:rStyle w:val="VerbatimChar"/>
        </w:rPr>
        <w:t xml:space="preserve">EVT123 → IGNORADO COMO DUPLICADO</w:t>
      </w:r>
    </w:p>
    <w:p>
      <w:pPr>
        <w:pStyle w:val="FirstParagraph"/>
      </w:pPr>
      <w:r>
        <w:t xml:space="preserve">Isso é particularmente importante para:</w:t>
      </w:r>
    </w:p>
    <w:p>
      <w:pPr>
        <w:pStyle w:val="Compact"/>
        <w:numPr>
          <w:ilvl w:val="0"/>
          <w:numId w:val="1003"/>
        </w:numPr>
      </w:pPr>
      <w:r>
        <w:t xml:space="preserve">pagamentos;</w:t>
      </w:r>
    </w:p>
    <w:p>
      <w:pPr>
        <w:pStyle w:val="Compact"/>
        <w:numPr>
          <w:ilvl w:val="0"/>
          <w:numId w:val="1003"/>
        </w:numPr>
      </w:pPr>
      <w:r>
        <w:t xml:space="preserve">refunds;</w:t>
      </w:r>
    </w:p>
    <w:p>
      <w:pPr>
        <w:pStyle w:val="Compact"/>
        <w:numPr>
          <w:ilvl w:val="0"/>
          <w:numId w:val="1003"/>
        </w:numPr>
      </w:pPr>
      <w:r>
        <w:t xml:space="preserve">chargebacks;</w:t>
      </w:r>
    </w:p>
    <w:p>
      <w:pPr>
        <w:pStyle w:val="Compact"/>
        <w:numPr>
          <w:ilvl w:val="0"/>
          <w:numId w:val="1003"/>
        </w:numPr>
      </w:pPr>
      <w:r>
        <w:t xml:space="preserve">shipments;</w:t>
      </w:r>
    </w:p>
    <w:p>
      <w:pPr>
        <w:pStyle w:val="Compact"/>
        <w:numPr>
          <w:ilvl w:val="0"/>
          <w:numId w:val="1003"/>
        </w:numPr>
      </w:pPr>
      <w:r>
        <w:t xml:space="preserve">tracking.</w:t>
      </w:r>
    </w:p>
    <w:p>
      <w:r>
        <w:pict>
          <v:rect style="width:0;height:1.5pt" o:hralign="center" o:hrstd="t" o:hr="t"/>
        </w:pict>
      </w:r>
    </w:p>
    <w:bookmarkEnd w:id="37"/>
    <w:bookmarkStart w:id="38" w:name="ordem-dos-webhooks"/>
    <w:p>
      <w:pPr>
        <w:pStyle w:val="Heading1"/>
      </w:pPr>
      <w:r>
        <w:t xml:space="preserve">25. Ordem dos Webhooks</w:t>
      </w:r>
    </w:p>
    <w:p>
      <w:pPr>
        <w:pStyle w:val="FirstParagraph"/>
      </w:pPr>
      <w:r>
        <w:t xml:space="preserve">O sistema não deverá assumir que os eventos externos chegarão na ordem esperada.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PAYMENT_APPROVED</w:t>
      </w:r>
      <w:r>
        <w:br/>
      </w:r>
      <w:r>
        <w:rPr>
          <w:rStyle w:val="VerbatimChar"/>
        </w:rPr>
        <w:t xml:space="preserve">PAYMENT_CREATED</w:t>
      </w:r>
    </w:p>
    <w:p>
      <w:pPr>
        <w:pStyle w:val="FirstParagraph"/>
      </w:pPr>
      <w:r>
        <w:t xml:space="preserve">pode chegar nessa ordem:</w:t>
      </w:r>
    </w:p>
    <w:p>
      <w:pPr>
        <w:pStyle w:val="SourceCode"/>
      </w:pPr>
      <w:r>
        <w:rPr>
          <w:rStyle w:val="VerbatimChar"/>
        </w:rPr>
        <w:t xml:space="preserve">PAYMENT_APPROVED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PAYMENT_CREATED</w:t>
      </w:r>
    </w:p>
    <w:p>
      <w:pPr>
        <w:pStyle w:val="FirstParagraph"/>
      </w:pPr>
      <w:r>
        <w:t xml:space="preserve">O processamento deverá ser resiliente à ordem dos eventos.</w:t>
      </w:r>
    </w:p>
    <w:p>
      <w:pPr>
        <w:pStyle w:val="BodyText"/>
      </w:pPr>
      <w:r>
        <w:t xml:space="preserve">Quando necessário, o sistema deverá consultar o estado atual no provider antes de aplicar uma transição.</w:t>
      </w:r>
    </w:p>
    <w:p>
      <w:r>
        <w:pict>
          <v:rect style="width:0;height:1.5pt" o:hralign="center" o:hrstd="t" o:hr="t"/>
        </w:pict>
      </w:r>
    </w:p>
    <w:bookmarkEnd w:id="38"/>
    <w:bookmarkStart w:id="39" w:name="eventos-externos"/>
    <w:p>
      <w:pPr>
        <w:pStyle w:val="Heading1"/>
      </w:pPr>
      <w:r>
        <w:t xml:space="preserve">26. Eventos Externos</w:t>
      </w:r>
    </w:p>
    <w:p>
      <w:pPr>
        <w:pStyle w:val="FirstParagraph"/>
      </w:pPr>
      <w:r>
        <w:t xml:space="preserve">Recomenda-se armazenar:</w:t>
      </w:r>
    </w:p>
    <w:p>
      <w:pPr>
        <w:pStyle w:val="SourceCode"/>
      </w:pPr>
      <w:r>
        <w:rPr>
          <w:rStyle w:val="VerbatimChar"/>
        </w:rPr>
        <w:t xml:space="preserve">INTEGRATION_WEBHOOK</w:t>
      </w:r>
    </w:p>
    <w:p>
      <w:pPr>
        <w:pStyle w:val="FirstParagraph"/>
      </w:pPr>
      <w:r>
        <w:t xml:space="preserve">com: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provider_id</w:t>
      </w:r>
      <w:r>
        <w:br/>
      </w:r>
      <w:r>
        <w:rPr>
          <w:rStyle w:val="VerbatimChar"/>
        </w:rPr>
        <w:t xml:space="preserve">external_event_id</w:t>
      </w:r>
      <w:r>
        <w:br/>
      </w:r>
      <w:r>
        <w:rPr>
          <w:rStyle w:val="VerbatimChar"/>
        </w:rPr>
        <w:t xml:space="preserve">event_type</w:t>
      </w:r>
      <w:r>
        <w:br/>
      </w:r>
      <w:r>
        <w:rPr>
          <w:rStyle w:val="VerbatimChar"/>
        </w:rPr>
        <w:t xml:space="preserve">payload</w:t>
      </w:r>
      <w:r>
        <w:br/>
      </w:r>
      <w:r>
        <w:rPr>
          <w:rStyle w:val="VerbatimChar"/>
        </w:rPr>
        <w:t xml:space="preserve">signature_valid</w:t>
      </w:r>
      <w:r>
        <w:br/>
      </w:r>
      <w:r>
        <w:rPr>
          <w:rStyle w:val="VerbatimChar"/>
        </w:rPr>
        <w:t xml:space="preserve">received_at</w:t>
      </w:r>
      <w:r>
        <w:br/>
      </w:r>
      <w:r>
        <w:rPr>
          <w:rStyle w:val="VerbatimChar"/>
        </w:rPr>
        <w:t xml:space="preserve">processed_at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error_message</w:t>
      </w:r>
    </w:p>
    <w:p>
      <w:pPr>
        <w:pStyle w:val="FirstParagraph"/>
      </w:pPr>
      <w:r>
        <w:t xml:space="preserve">O payload original deverá ser preservado quando necessário para auditoria e troubleshooting, observando as regras de proteção de dados.</w:t>
      </w:r>
    </w:p>
    <w:p>
      <w:r>
        <w:pict>
          <v:rect style="width:0;height:1.5pt" o:hralign="center" o:hrstd="t" o:hr="t"/>
        </w:pict>
      </w:r>
    </w:p>
    <w:bookmarkEnd w:id="39"/>
    <w:bookmarkStart w:id="40" w:name="payment-integration"/>
    <w:p>
      <w:pPr>
        <w:pStyle w:val="Heading1"/>
      </w:pPr>
      <w:r>
        <w:t xml:space="preserve">27. Payment Integration</w:t>
      </w:r>
    </w:p>
    <w:p>
      <w:pPr>
        <w:pStyle w:val="FirstParagraph"/>
      </w:pPr>
      <w:r>
        <w:t xml:space="preserve">A integração de pagamentos pertence ao E12, enquanto E21 fornece a infraestrutura de comunicação.</w:t>
      </w:r>
    </w:p>
    <w:p>
      <w:pPr>
        <w:pStyle w:val="BodyText"/>
      </w:pPr>
      <w:r>
        <w:t xml:space="preserve">Arquitetura:</w:t>
      </w:r>
    </w:p>
    <w:p>
      <w:pPr>
        <w:pStyle w:val="SourceCode"/>
      </w:pPr>
      <w:r>
        <w:rPr>
          <w:rStyle w:val="VerbatimChar"/>
        </w:rPr>
        <w:t xml:space="preserve">E12 PAYMENT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PaymentGateway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Payment Adapter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Provider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MercadoPagoPaymentAdapter</w:t>
      </w:r>
    </w:p>
    <w:p>
      <w:pPr>
        <w:pStyle w:val="FirstParagraph"/>
      </w:pPr>
      <w:r>
        <w:t xml:space="preserve">Operações:</w:t>
      </w:r>
    </w:p>
    <w:p>
      <w:pPr>
        <w:pStyle w:val="SourceCode"/>
      </w:pPr>
      <w:r>
        <w:rPr>
          <w:rStyle w:val="VerbatimChar"/>
        </w:rPr>
        <w:t xml:space="preserve">createPayment()</w:t>
      </w:r>
      <w:r>
        <w:br/>
      </w:r>
      <w:r>
        <w:rPr>
          <w:rStyle w:val="VerbatimChar"/>
        </w:rPr>
        <w:t xml:space="preserve">getPayment()</w:t>
      </w:r>
      <w:r>
        <w:br/>
      </w:r>
      <w:r>
        <w:rPr>
          <w:rStyle w:val="VerbatimChar"/>
        </w:rPr>
        <w:t xml:space="preserve">capturePayment()</w:t>
      </w:r>
      <w:r>
        <w:br/>
      </w:r>
      <w:r>
        <w:rPr>
          <w:rStyle w:val="VerbatimChar"/>
        </w:rPr>
        <w:t xml:space="preserve">cancelPayment()</w:t>
      </w:r>
      <w:r>
        <w:br/>
      </w:r>
      <w:r>
        <w:rPr>
          <w:rStyle w:val="VerbatimChar"/>
        </w:rPr>
        <w:t xml:space="preserve">refundPayment()</w:t>
      </w:r>
    </w:p>
    <w:p>
      <w:pPr>
        <w:pStyle w:val="FirstParagraph"/>
      </w:pPr>
      <w:r>
        <w:t xml:space="preserve">O provider nunca será a fonte única de verdade do domínio.</w:t>
      </w:r>
    </w:p>
    <w:p>
      <w:pPr>
        <w:pStyle w:val="BodyText"/>
      </w:pPr>
      <w:r>
        <w:t xml:space="preserve">O MiniHub mantém seus próprios registros.</w:t>
      </w:r>
    </w:p>
    <w:p>
      <w:r>
        <w:pict>
          <v:rect style="width:0;height:1.5pt" o:hralign="center" o:hrstd="t" o:hr="t"/>
        </w:pict>
      </w:r>
    </w:p>
    <w:bookmarkEnd w:id="40"/>
    <w:bookmarkStart w:id="41" w:name="payment-webhook"/>
    <w:p>
      <w:pPr>
        <w:pStyle w:val="Heading1"/>
      </w:pPr>
      <w:r>
        <w:t xml:space="preserve">28. Payment Webhook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Mercado Pago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payment.updated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Webhook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IntegrationWebhook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PaymentApplicationService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Finance</w:t>
      </w:r>
    </w:p>
    <w:p>
      <w:pPr>
        <w:pStyle w:val="FirstParagraph"/>
      </w:pPr>
      <w:r>
        <w:t xml:space="preserve">Nunca:</w:t>
      </w:r>
    </w:p>
    <w:p>
      <w:pPr>
        <w:pStyle w:val="SourceCode"/>
      </w:pPr>
      <w:r>
        <w:rPr>
          <w:rStyle w:val="VerbatimChar"/>
        </w:rPr>
        <w:t xml:space="preserve">Webhook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UPDATE payment.status diretamente</w:t>
      </w:r>
    </w:p>
    <w:p>
      <w:pPr>
        <w:pStyle w:val="FirstParagraph"/>
      </w:pPr>
      <w:r>
        <w:t xml:space="preserve">A transição deverá passar pela regra de negócio correspondente.</w:t>
      </w:r>
    </w:p>
    <w:p>
      <w:r>
        <w:pict>
          <v:rect style="width:0;height:1.5pt" o:hralign="center" o:hrstd="t" o:hr="t"/>
        </w:pict>
      </w:r>
    </w:p>
    <w:bookmarkEnd w:id="41"/>
    <w:bookmarkStart w:id="42" w:name="shipping-integration"/>
    <w:p>
      <w:pPr>
        <w:pStyle w:val="Heading1"/>
      </w:pPr>
      <w:r>
        <w:t xml:space="preserve">29. Shipping Integration</w:t>
      </w:r>
    </w:p>
    <w:p>
      <w:pPr>
        <w:pStyle w:val="FirstParagraph"/>
      </w:pPr>
      <w:r>
        <w:t xml:space="preserve">O E15 utiliza a abstração:</w:t>
      </w:r>
    </w:p>
    <w:p>
      <w:pPr>
        <w:pStyle w:val="SourceCode"/>
      </w:pPr>
      <w:r>
        <w:rPr>
          <w:rStyle w:val="VerbatimChar"/>
        </w:rPr>
        <w:t xml:space="preserve">ShippingProvider</w:t>
      </w:r>
    </w:p>
    <w:p>
      <w:pPr>
        <w:pStyle w:val="FirstParagraph"/>
      </w:pPr>
      <w:r>
        <w:t xml:space="preserve">Adapters poderão representar:</w:t>
      </w:r>
    </w:p>
    <w:p>
      <w:pPr>
        <w:pStyle w:val="SourceCode"/>
      </w:pPr>
      <w:r>
        <w:rPr>
          <w:rStyle w:val="VerbatimChar"/>
        </w:rPr>
        <w:t xml:space="preserve">CorreiosAdapter</w:t>
      </w:r>
      <w:r>
        <w:br/>
      </w:r>
      <w:r>
        <w:rPr>
          <w:rStyle w:val="VerbatimChar"/>
        </w:rPr>
        <w:t xml:space="preserve">MelhorEnvioAdapter</w:t>
      </w:r>
      <w:r>
        <w:br/>
      </w:r>
      <w:r>
        <w:rPr>
          <w:rStyle w:val="VerbatimChar"/>
        </w:rPr>
        <w:t xml:space="preserve">JadlogAdapter</w:t>
      </w:r>
      <w:r>
        <w:br/>
      </w:r>
      <w:r>
        <w:rPr>
          <w:rStyle w:val="VerbatimChar"/>
        </w:rPr>
        <w:t xml:space="preserve">FrenetAdapter</w:t>
      </w:r>
    </w:p>
    <w:p>
      <w:pPr>
        <w:pStyle w:val="FirstParagraph"/>
      </w:pPr>
      <w:r>
        <w:t xml:space="preserve">Operações:</w:t>
      </w:r>
    </w:p>
    <w:p>
      <w:pPr>
        <w:pStyle w:val="SourceCode"/>
      </w:pPr>
      <w:r>
        <w:rPr>
          <w:rStyle w:val="VerbatimChar"/>
        </w:rPr>
        <w:t xml:space="preserve">quote()</w:t>
      </w:r>
      <w:r>
        <w:br/>
      </w:r>
      <w:r>
        <w:rPr>
          <w:rStyle w:val="VerbatimChar"/>
        </w:rPr>
        <w:t xml:space="preserve">createShipment()</w:t>
      </w:r>
      <w:r>
        <w:br/>
      </w:r>
      <w:r>
        <w:rPr>
          <w:rStyle w:val="VerbatimChar"/>
        </w:rPr>
        <w:t xml:space="preserve">generateLabel()</w:t>
      </w:r>
      <w:r>
        <w:br/>
      </w:r>
      <w:r>
        <w:rPr>
          <w:rStyle w:val="VerbatimChar"/>
        </w:rPr>
        <w:t xml:space="preserve">cancelShipment()</w:t>
      </w:r>
      <w:r>
        <w:br/>
      </w:r>
      <w:r>
        <w:rPr>
          <w:rStyle w:val="VerbatimChar"/>
        </w:rPr>
        <w:t xml:space="preserve">getTracking()</w:t>
      </w:r>
    </w:p>
    <w:p>
      <w:pPr>
        <w:pStyle w:val="FirstParagraph"/>
      </w:pPr>
      <w:r>
        <w:t xml:space="preserve">O E15 permanece responsável pela entidade Shipment.</w:t>
      </w:r>
    </w:p>
    <w:p>
      <w:pPr>
        <w:pStyle w:val="BodyText"/>
      </w:pPr>
      <w:r>
        <w:t xml:space="preserve">O E21 é responsável pela comunicação externa.</w:t>
      </w:r>
    </w:p>
    <w:p>
      <w:r>
        <w:pict>
          <v:rect style="width:0;height:1.5pt" o:hralign="center" o:hrstd="t" o:hr="t"/>
        </w:pict>
      </w:r>
    </w:p>
    <w:bookmarkEnd w:id="42"/>
    <w:bookmarkStart w:id="43" w:name="shipping-quote"/>
    <w:p>
      <w:pPr>
        <w:pStyle w:val="Heading1"/>
      </w:pPr>
      <w:r>
        <w:t xml:space="preserve">30. Shipping Quote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ShippingApplicationService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ShippingProvider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Adapter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Provider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Quote</w:t>
      </w:r>
    </w:p>
    <w:p>
      <w:pPr>
        <w:pStyle w:val="FirstParagraph"/>
      </w:pPr>
      <w:r>
        <w:t xml:space="preserve">A resposta externa será convertida para um modelo interno:</w:t>
      </w:r>
    </w:p>
    <w:p>
      <w:pPr>
        <w:pStyle w:val="SourceCode"/>
      </w:pPr>
      <w:r>
        <w:rPr>
          <w:rStyle w:val="VerbatimChar"/>
        </w:rPr>
        <w:t xml:space="preserve">ShippingQuoteResult</w:t>
      </w:r>
    </w:p>
    <w:p>
      <w:pPr>
        <w:pStyle w:val="FirstParagraph"/>
      </w:pPr>
      <w:r>
        <w:t xml:space="preserve">O domínio não deverá depender do JSON original do provider.</w:t>
      </w:r>
    </w:p>
    <w:p>
      <w:r>
        <w:pict>
          <v:rect style="width:0;height:1.5pt" o:hralign="center" o:hrstd="t" o:hr="t"/>
        </w:pict>
      </w:r>
    </w:p>
    <w:bookmarkEnd w:id="43"/>
    <w:bookmarkStart w:id="44" w:name="tracking"/>
    <w:p>
      <w:pPr>
        <w:pStyle w:val="Heading1"/>
      </w:pPr>
      <w:r>
        <w:t xml:space="preserve">31. Tracking</w:t>
      </w:r>
    </w:p>
    <w:p>
      <w:pPr>
        <w:pStyle w:val="FirstParagraph"/>
      </w:pPr>
      <w:r>
        <w:t xml:space="preserve">O tracking poderá ser obtido por:</w:t>
      </w:r>
    </w:p>
    <w:p>
      <w:pPr>
        <w:pStyle w:val="SourceCode"/>
      </w:pPr>
      <w:r>
        <w:rPr>
          <w:rStyle w:val="VerbatimChar"/>
        </w:rPr>
        <w:t xml:space="preserve">WEBHOOK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POLLING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Provider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Tracking Event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Adapter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Normalized Tracking Event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Shipment Domain</w:t>
      </w:r>
    </w:p>
    <w:p>
      <w:pPr>
        <w:pStyle w:val="FirstParagraph"/>
      </w:pPr>
      <w:r>
        <w:t xml:space="preserve">O provider poderá utilizar códigos diferentes.</w:t>
      </w:r>
    </w:p>
    <w:p>
      <w:pPr>
        <w:pStyle w:val="BodyText"/>
      </w:pPr>
      <w:r>
        <w:t xml:space="preserve">O MiniHub deverá normalizá-los.</w:t>
      </w:r>
    </w:p>
    <w:p>
      <w:r>
        <w:pict>
          <v:rect style="width:0;height:1.5pt" o:hralign="center" o:hrstd="t" o:hr="t"/>
        </w:pict>
      </w:r>
    </w:p>
    <w:bookmarkEnd w:id="44"/>
    <w:bookmarkStart w:id="45" w:name="address-provider"/>
    <w:p>
      <w:pPr>
        <w:pStyle w:val="Heading1"/>
      </w:pPr>
      <w:r>
        <w:t xml:space="preserve">32. Address Provider</w:t>
      </w:r>
    </w:p>
    <w:p>
      <w:pPr>
        <w:pStyle w:val="FirstParagraph"/>
      </w:pPr>
      <w:r>
        <w:t xml:space="preserve">O MiniHub poderá utilizar:</w:t>
      </w:r>
    </w:p>
    <w:p>
      <w:pPr>
        <w:pStyle w:val="SourceCode"/>
      </w:pPr>
      <w:r>
        <w:rPr>
          <w:rStyle w:val="VerbatimChar"/>
        </w:rPr>
        <w:t xml:space="preserve">CEP Provider</w:t>
      </w:r>
    </w:p>
    <w:p>
      <w:pPr>
        <w:pStyle w:val="FirstParagraph"/>
      </w:pPr>
      <w:r>
        <w:t xml:space="preserve">para auxiliar o preenchimento e validação de endereços.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CEP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AddressProvider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Rua</w:t>
      </w:r>
      <w:r>
        <w:br/>
      </w:r>
      <w:r>
        <w:rPr>
          <w:rStyle w:val="VerbatimChar"/>
        </w:rPr>
        <w:t xml:space="preserve">Cidade</w:t>
      </w:r>
      <w:r>
        <w:br/>
      </w:r>
      <w:r>
        <w:rPr>
          <w:rStyle w:val="VerbatimChar"/>
        </w:rPr>
        <w:t xml:space="preserve">Estado</w:t>
      </w:r>
      <w:r>
        <w:br/>
      </w:r>
      <w:r>
        <w:rPr>
          <w:rStyle w:val="VerbatimChar"/>
        </w:rPr>
        <w:t xml:space="preserve">Bairro</w:t>
      </w:r>
    </w:p>
    <w:p>
      <w:pPr>
        <w:pStyle w:val="FirstParagraph"/>
      </w:pPr>
      <w:r>
        <w:t xml:space="preserve">A resposta do provider não deverá substituir a informação histórica do pedido.</w:t>
      </w:r>
    </w:p>
    <w:p>
      <w:pPr>
        <w:pStyle w:val="BodyText"/>
      </w:pPr>
      <w:r>
        <w:t xml:space="preserve">Pedidos e shipments continuam utilizando snapshots.</w:t>
      </w:r>
    </w:p>
    <w:p>
      <w:r>
        <w:pict>
          <v:rect style="width:0;height:1.5pt" o:hralign="center" o:hrstd="t" o:hr="t"/>
        </w:pict>
      </w:r>
    </w:p>
    <w:bookmarkEnd w:id="45"/>
    <w:bookmarkStart w:id="46" w:name="ibge"/>
    <w:p>
      <w:pPr>
        <w:pStyle w:val="Heading1"/>
      </w:pPr>
      <w:r>
        <w:t xml:space="preserve">33. IBGE</w:t>
      </w:r>
    </w:p>
    <w:p>
      <w:pPr>
        <w:pStyle w:val="FirstParagraph"/>
      </w:pPr>
      <w:r>
        <w:t xml:space="preserve">Uma futura integração com IBGE poderá fornecer dados oficiais de:</w:t>
      </w:r>
    </w:p>
    <w:p>
      <w:pPr>
        <w:pStyle w:val="SourceCode"/>
      </w:pPr>
      <w:r>
        <w:rPr>
          <w:rStyle w:val="VerbatimChar"/>
        </w:rPr>
        <w:t xml:space="preserve">UF</w:t>
      </w:r>
      <w:r>
        <w:br/>
      </w:r>
      <w:r>
        <w:rPr>
          <w:rStyle w:val="VerbatimChar"/>
        </w:rPr>
        <w:t xml:space="preserve">Município</w:t>
      </w:r>
      <w:r>
        <w:br/>
      </w:r>
      <w:r>
        <w:rPr>
          <w:rStyle w:val="VerbatimChar"/>
        </w:rPr>
        <w:t xml:space="preserve">Código IBGE</w:t>
      </w:r>
    </w:p>
    <w:p>
      <w:pPr>
        <w:pStyle w:val="FirstParagraph"/>
      </w:pPr>
      <w:r>
        <w:t xml:space="preserve">A integração deverá possuir adapter próprio:</w:t>
      </w:r>
    </w:p>
    <w:p>
      <w:pPr>
        <w:pStyle w:val="SourceCode"/>
      </w:pPr>
      <w:r>
        <w:rPr>
          <w:rStyle w:val="VerbatimChar"/>
        </w:rPr>
        <w:t xml:space="preserve">IBGEProvider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IBGEAdapter</w:t>
      </w:r>
    </w:p>
    <w:p>
      <w:pPr>
        <w:pStyle w:val="FirstParagraph"/>
      </w:pPr>
      <w:r>
        <w:t xml:space="preserve">O domínio não deverá conhecer endpoints específicos da API externa.</w:t>
      </w:r>
    </w:p>
    <w:p>
      <w:r>
        <w:pict>
          <v:rect style="width:0;height:1.5pt" o:hralign="center" o:hrstd="t" o:hr="t"/>
        </w:pict>
      </w:r>
    </w:p>
    <w:bookmarkEnd w:id="46"/>
    <w:bookmarkStart w:id="47" w:name="e-mail"/>
    <w:p>
      <w:pPr>
        <w:pStyle w:val="Heading1"/>
      </w:pPr>
      <w:r>
        <w:t xml:space="preserve">34. E-mail</w:t>
      </w:r>
    </w:p>
    <w:p>
      <w:pPr>
        <w:pStyle w:val="FirstParagraph"/>
      </w:pPr>
      <w:r>
        <w:t xml:space="preserve">E17 define a intenção de comunicação.</w:t>
      </w:r>
    </w:p>
    <w:p>
      <w:pPr>
        <w:pStyle w:val="BodyText"/>
      </w:pPr>
      <w:r>
        <w:t xml:space="preserve">E21 implementa o transporte externo.</w:t>
      </w:r>
    </w:p>
    <w:p>
      <w:pPr>
        <w:pStyle w:val="BodyText"/>
      </w:pPr>
      <w:r>
        <w:t xml:space="preserve">Arquitetura:</w:t>
      </w:r>
    </w:p>
    <w:p>
      <w:pPr>
        <w:pStyle w:val="SourceCode"/>
      </w:pPr>
      <w:r>
        <w:rPr>
          <w:rStyle w:val="VerbatimChar"/>
        </w:rPr>
        <w:t xml:space="preserve">E17 Notification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EmailGateway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EmailAdapter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Provider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ResendAdapter</w:t>
      </w:r>
      <w:r>
        <w:br/>
      </w:r>
      <w:r>
        <w:rPr>
          <w:rStyle w:val="VerbatimChar"/>
        </w:rPr>
        <w:t xml:space="preserve">SendGridAdapter</w:t>
      </w:r>
      <w:r>
        <w:br/>
      </w:r>
      <w:r>
        <w:rPr>
          <w:rStyle w:val="VerbatimChar"/>
        </w:rPr>
        <w:t xml:space="preserve">SMTPAdapter</w:t>
      </w:r>
    </w:p>
    <w:p>
      <w:r>
        <w:pict>
          <v:rect style="width:0;height:1.5pt" o:hralign="center" o:hrstd="t" o:hr="t"/>
        </w:pict>
      </w:r>
    </w:p>
    <w:bookmarkEnd w:id="47"/>
    <w:bookmarkStart w:id="48" w:name="whatsapp"/>
    <w:p>
      <w:pPr>
        <w:pStyle w:val="Heading1"/>
      </w:pPr>
      <w:r>
        <w:t xml:space="preserve">35. WhatsApp</w:t>
      </w:r>
    </w:p>
    <w:p>
      <w:pPr>
        <w:pStyle w:val="FirstParagraph"/>
      </w:pPr>
      <w:r>
        <w:t xml:space="preserve">Futuro:</w:t>
      </w:r>
    </w:p>
    <w:p>
      <w:pPr>
        <w:pStyle w:val="SourceCode"/>
      </w:pP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WhatsAppGateway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WhatsAppAdapter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Provider oficial</w:t>
      </w:r>
    </w:p>
    <w:p>
      <w:pPr>
        <w:pStyle w:val="FirstParagraph"/>
      </w:pPr>
      <w:r>
        <w:t xml:space="preserve">O domínio de Notification não deverá conhecer detalhes de templates, IDs ou APIs específicas do fornecedor.</w:t>
      </w:r>
    </w:p>
    <w:p>
      <w:r>
        <w:pict>
          <v:rect style="width:0;height:1.5pt" o:hralign="center" o:hrstd="t" o:hr="t"/>
        </w:pict>
      </w:r>
    </w:p>
    <w:bookmarkEnd w:id="48"/>
    <w:bookmarkStart w:id="49" w:name="sms"/>
    <w:p>
      <w:pPr>
        <w:pStyle w:val="Heading1"/>
      </w:pPr>
      <w:r>
        <w:t xml:space="preserve">36. SMS</w:t>
      </w:r>
    </w:p>
    <w:p>
      <w:pPr>
        <w:pStyle w:val="FirstParagraph"/>
      </w:pPr>
      <w:r>
        <w:t xml:space="preserve">Mesmo princípio:</w:t>
      </w:r>
    </w:p>
    <w:p>
      <w:pPr>
        <w:pStyle w:val="SourceCode"/>
      </w:pP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SmsGateway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SmsAdapter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Provider</w:t>
      </w:r>
    </w:p>
    <w:p>
      <w:r>
        <w:pict>
          <v:rect style="width:0;height:1.5pt" o:hralign="center" o:hrstd="t" o:hr="t"/>
        </w:pict>
      </w:r>
    </w:p>
    <w:bookmarkEnd w:id="49"/>
    <w:bookmarkStart w:id="50" w:name="object-storage"/>
    <w:p>
      <w:pPr>
        <w:pStyle w:val="Heading1"/>
      </w:pPr>
      <w:r>
        <w:t xml:space="preserve">37. Object Storage</w:t>
      </w:r>
    </w:p>
    <w:p>
      <w:pPr>
        <w:pStyle w:val="FirstParagraph"/>
      </w:pPr>
      <w:r>
        <w:t xml:space="preserve">Imagens da Community, Collection, Catalog e outros arquivos não deverão ser armazenados diretamente no banco.</w:t>
      </w:r>
    </w:p>
    <w:p>
      <w:pPr>
        <w:pStyle w:val="BodyText"/>
      </w:pPr>
      <w:r>
        <w:t xml:space="preserve">Arquitetura:</w:t>
      </w:r>
    </w:p>
    <w:p>
      <w:pPr>
        <w:pStyle w:val="SourceCode"/>
      </w:pPr>
      <w:r>
        <w:rPr>
          <w:rStyle w:val="VerbatimChar"/>
        </w:rPr>
        <w:t xml:space="preserve">Application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StorageProvider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S3Adapter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Object Storage</w:t>
      </w:r>
    </w:p>
    <w:p>
      <w:pPr>
        <w:pStyle w:val="FirstParagraph"/>
      </w:pPr>
      <w:r>
        <w:t xml:space="preserve">O banco armazenará metadados e referências.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storage_key</w:t>
      </w:r>
      <w:r>
        <w:br/>
      </w:r>
      <w:r>
        <w:rPr>
          <w:rStyle w:val="VerbatimChar"/>
        </w:rPr>
        <w:t xml:space="preserve">mime_type</w:t>
      </w:r>
      <w:r>
        <w:br/>
      </w:r>
      <w:r>
        <w:rPr>
          <w:rStyle w:val="VerbatimChar"/>
        </w:rPr>
        <w:t xml:space="preserve">size</w:t>
      </w:r>
      <w:r>
        <w:br/>
      </w:r>
      <w:r>
        <w:rPr>
          <w:rStyle w:val="VerbatimChar"/>
        </w:rPr>
        <w:t xml:space="preserve">checksum</w:t>
      </w:r>
      <w:r>
        <w:br/>
      </w:r>
      <w:r>
        <w:rPr>
          <w:rStyle w:val="VerbatimChar"/>
        </w:rPr>
        <w:t xml:space="preserve">width</w:t>
      </w:r>
      <w:r>
        <w:br/>
      </w:r>
      <w:r>
        <w:rPr>
          <w:rStyle w:val="VerbatimChar"/>
        </w:rPr>
        <w:t xml:space="preserve">height</w:t>
      </w:r>
      <w:r>
        <w:br/>
      </w:r>
      <w:r>
        <w:rPr>
          <w:rStyle w:val="VerbatimChar"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End w:id="50"/>
    <w:bookmarkStart w:id="51" w:name="upload"/>
    <w:p>
      <w:pPr>
        <w:pStyle w:val="Heading1"/>
      </w:pPr>
      <w:r>
        <w:t xml:space="preserve">38. Upload</w:t>
      </w:r>
    </w:p>
    <w:p>
      <w:pPr>
        <w:pStyle w:val="FirstParagraph"/>
      </w:pPr>
      <w:r>
        <w:t xml:space="preserve">Fluxo recomendado:</w:t>
      </w:r>
    </w:p>
    <w:p>
      <w:pPr>
        <w:pStyle w:val="SourceCode"/>
      </w:pPr>
      <w:r>
        <w:rPr>
          <w:rStyle w:val="VerbatimChar"/>
        </w:rPr>
        <w:t xml:space="preserve">CLIENT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MiniHub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Upload validation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Storage Adapter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Object Storage</w:t>
      </w:r>
    </w:p>
    <w:p>
      <w:pPr>
        <w:pStyle w:val="FirstParagraph"/>
      </w:pPr>
      <w:r>
        <w:t xml:space="preserve">O sistema deverá validar:</w:t>
      </w:r>
    </w:p>
    <w:p>
      <w:pPr>
        <w:pStyle w:val="Compact"/>
        <w:numPr>
          <w:ilvl w:val="0"/>
          <w:numId w:val="1004"/>
        </w:numPr>
      </w:pPr>
      <w:r>
        <w:t xml:space="preserve">tamanho;</w:t>
      </w:r>
    </w:p>
    <w:p>
      <w:pPr>
        <w:pStyle w:val="Compact"/>
        <w:numPr>
          <w:ilvl w:val="0"/>
          <w:numId w:val="1004"/>
        </w:numPr>
      </w:pPr>
      <w:r>
        <w:t xml:space="preserve">MIME type;</w:t>
      </w:r>
    </w:p>
    <w:p>
      <w:pPr>
        <w:pStyle w:val="Compact"/>
        <w:numPr>
          <w:ilvl w:val="0"/>
          <w:numId w:val="1004"/>
        </w:numPr>
      </w:pPr>
      <w:r>
        <w:t xml:space="preserve">extensão;</w:t>
      </w:r>
    </w:p>
    <w:p>
      <w:pPr>
        <w:pStyle w:val="Compact"/>
        <w:numPr>
          <w:ilvl w:val="0"/>
          <w:numId w:val="1004"/>
        </w:numPr>
      </w:pPr>
      <w:r>
        <w:t xml:space="preserve">conteúdo;</w:t>
      </w:r>
    </w:p>
    <w:p>
      <w:pPr>
        <w:pStyle w:val="Compact"/>
        <w:numPr>
          <w:ilvl w:val="0"/>
          <w:numId w:val="1004"/>
        </w:numPr>
      </w:pPr>
      <w:r>
        <w:t xml:space="preserve">dimensões;</w:t>
      </w:r>
    </w:p>
    <w:p>
      <w:pPr>
        <w:pStyle w:val="Compact"/>
        <w:numPr>
          <w:ilvl w:val="0"/>
          <w:numId w:val="1004"/>
        </w:numPr>
      </w:pPr>
      <w:r>
        <w:t xml:space="preserve">nome;</w:t>
      </w:r>
    </w:p>
    <w:p>
      <w:pPr>
        <w:pStyle w:val="Compact"/>
        <w:numPr>
          <w:ilvl w:val="0"/>
          <w:numId w:val="1004"/>
        </w:numPr>
      </w:pPr>
      <w:r>
        <w:t xml:space="preserve">checksum.</w:t>
      </w:r>
    </w:p>
    <w:p>
      <w:pPr>
        <w:pStyle w:val="FirstParagraph"/>
      </w:pPr>
      <w:r>
        <w:t xml:space="preserve">Conteúdo enviado pelo usuário deverá ser considerado não confiável.</w:t>
      </w:r>
    </w:p>
    <w:p>
      <w:r>
        <w:pict>
          <v:rect style="width:0;height:1.5pt" o:hralign="center" o:hrstd="t" o:hr="t"/>
        </w:pict>
      </w:r>
    </w:p>
    <w:bookmarkEnd w:id="51"/>
    <w:bookmarkStart w:id="52" w:name="identity-provider"/>
    <w:p>
      <w:pPr>
        <w:pStyle w:val="Heading1"/>
      </w:pPr>
      <w:r>
        <w:t xml:space="preserve">39. Identity Provider</w:t>
      </w:r>
    </w:p>
    <w:p>
      <w:pPr>
        <w:pStyle w:val="FirstParagraph"/>
      </w:pPr>
      <w:r>
        <w:t xml:space="preserve">Caso o MiniHub utilize OIDC/OAuth:</w:t>
      </w:r>
    </w:p>
    <w:p>
      <w:pPr>
        <w:pStyle w:val="SourceCode"/>
      </w:pPr>
      <w:r>
        <w:rPr>
          <w:rStyle w:val="VerbatimChar"/>
        </w:rPr>
        <w:t xml:space="preserve">MiniHub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IdentityProvider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OIDC/OAuth Provider</w:t>
      </w:r>
    </w:p>
    <w:p>
      <w:pPr>
        <w:pStyle w:val="FirstParagraph"/>
      </w:pPr>
      <w:r>
        <w:t xml:space="preserve">O MiniHub deverá trabalhar com identidade normalizada.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external_subject</w:t>
      </w:r>
      <w:r>
        <w:br/>
      </w:r>
      <w:r>
        <w:rPr>
          <w:rStyle w:val="VerbatimChar"/>
        </w:rPr>
        <w:t xml:space="preserve">provider</w:t>
      </w:r>
      <w:r>
        <w:br/>
      </w:r>
      <w:r>
        <w:rPr>
          <w:rStyle w:val="VerbatimChar"/>
        </w:rPr>
        <w:t xml:space="preserve">email_verified</w:t>
      </w:r>
    </w:p>
    <w:p>
      <w:pPr>
        <w:pStyle w:val="FirstParagraph"/>
      </w:pPr>
      <w:r>
        <w:t xml:space="preserve">A aplicação não deverá depender de um formato específico de token do fornecedor.</w:t>
      </w:r>
    </w:p>
    <w:p>
      <w:r>
        <w:pict>
          <v:rect style="width:0;height:1.5pt" o:hralign="center" o:hrstd="t" o:hr="t"/>
        </w:pict>
      </w:r>
    </w:p>
    <w:bookmarkEnd w:id="52"/>
    <w:bookmarkStart w:id="53" w:name="integrações-de-autenticação"/>
    <w:p>
      <w:pPr>
        <w:pStyle w:val="Heading1"/>
      </w:pPr>
      <w:r>
        <w:t xml:space="preserve">40. Integrações de Autenticação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Google</w:t>
      </w:r>
      <w:r>
        <w:br/>
      </w:r>
      <w:r>
        <w:rPr>
          <w:rStyle w:val="VerbatimChar"/>
        </w:rPr>
        <w:t xml:space="preserve">Microsoft</w:t>
      </w:r>
      <w:r>
        <w:br/>
      </w:r>
      <w:r>
        <w:rPr>
          <w:rStyle w:val="VerbatimChar"/>
        </w:rPr>
        <w:t xml:space="preserve">Apple</w:t>
      </w:r>
      <w:r>
        <w:br/>
      </w:r>
      <w:r>
        <w:rPr>
          <w:rStyle w:val="VerbatimChar"/>
        </w:rPr>
        <w:t xml:space="preserve">Keycloak</w:t>
      </w:r>
      <w:r>
        <w:br/>
      </w:r>
      <w:r>
        <w:rPr>
          <w:rStyle w:val="VerbatimChar"/>
        </w:rPr>
        <w:t xml:space="preserve">Auth0</w:t>
      </w:r>
    </w:p>
    <w:p>
      <w:pPr>
        <w:pStyle w:val="FirstParagraph"/>
      </w:pPr>
      <w:r>
        <w:t xml:space="preserve">poderão futuramente ser utilizados através de:</w:t>
      </w:r>
    </w:p>
    <w:p>
      <w:pPr>
        <w:pStyle w:val="SourceCode"/>
      </w:pPr>
      <w:r>
        <w:rPr>
          <w:rStyle w:val="VerbatimChar"/>
        </w:rPr>
        <w:t xml:space="preserve">OIDCIdentityAdapter</w:t>
      </w:r>
    </w:p>
    <w:p>
      <w:pPr>
        <w:pStyle w:val="FirstParagraph"/>
      </w:pPr>
      <w:r>
        <w:t xml:space="preserve">O domínio continuará trabalhando com:</w:t>
      </w:r>
    </w:p>
    <w:p>
      <w:pPr>
        <w:pStyle w:val="SourceCode"/>
      </w:pPr>
      <w:r>
        <w:rPr>
          <w:rStyle w:val="VerbatimChar"/>
        </w:rPr>
        <w:t xml:space="preserve">APP_USER</w:t>
      </w:r>
    </w:p>
    <w:p>
      <w:r>
        <w:pict>
          <v:rect style="width:0;height:1.5pt" o:hralign="center" o:hrstd="t" o:hr="t"/>
        </w:pict>
      </w:r>
    </w:p>
    <w:bookmarkEnd w:id="53"/>
    <w:bookmarkStart w:id="54" w:name="antifraude"/>
    <w:p>
      <w:pPr>
        <w:pStyle w:val="Heading1"/>
      </w:pPr>
      <w:r>
        <w:t xml:space="preserve">41. Antifraude</w:t>
      </w:r>
    </w:p>
    <w:p>
      <w:pPr>
        <w:pStyle w:val="FirstParagraph"/>
      </w:pPr>
      <w:r>
        <w:t xml:space="preserve">Futuro:</w:t>
      </w:r>
    </w:p>
    <w:p>
      <w:pPr>
        <w:pStyle w:val="SourceCode"/>
      </w:pP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FraudGateway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FraudAdapter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Provider</w:t>
      </w:r>
    </w:p>
    <w:p>
      <w:pPr>
        <w:pStyle w:val="FirstParagraph"/>
      </w:pPr>
      <w:r>
        <w:t xml:space="preserve">O resultado deverá ser normalizado:</w:t>
      </w:r>
    </w:p>
    <w:p>
      <w:pPr>
        <w:pStyle w:val="SourceCode"/>
      </w:pP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REVIEW</w:t>
      </w:r>
      <w:r>
        <w:br/>
      </w:r>
      <w:r>
        <w:rPr>
          <w:rStyle w:val="VerbatimChar"/>
        </w:rPr>
        <w:t xml:space="preserve">REJECTED</w:t>
      </w:r>
      <w:r>
        <w:br/>
      </w:r>
      <w:r>
        <w:rPr>
          <w:rStyle w:val="VerbatimChar"/>
        </w:rPr>
        <w:t xml:space="preserve">UNKNOWN</w:t>
      </w:r>
    </w:p>
    <w:p>
      <w:pPr>
        <w:pStyle w:val="FirstParagraph"/>
      </w:pPr>
      <w:r>
        <w:t xml:space="preserve">O MiniHub não deverá depender diretamente do vocabulário específico do fornecedor.</w:t>
      </w:r>
    </w:p>
    <w:p>
      <w:r>
        <w:pict>
          <v:rect style="width:0;height:1.5pt" o:hralign="center" o:hrstd="t" o:hr="t"/>
        </w:pict>
      </w:r>
    </w:p>
    <w:bookmarkEnd w:id="54"/>
    <w:bookmarkStart w:id="55" w:name="falha-de-provider"/>
    <w:p>
      <w:pPr>
        <w:pStyle w:val="Heading1"/>
      </w:pPr>
      <w:r>
        <w:t xml:space="preserve">42. Falha de Provider</w:t>
      </w:r>
    </w:p>
    <w:p>
      <w:pPr>
        <w:pStyle w:val="FirstParagraph"/>
      </w:pPr>
      <w:r>
        <w:t xml:space="preserve">Uma falha externa não deverá necessariamente significar falha do negócio.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Mercado Pago indisponível</w:t>
      </w:r>
    </w:p>
    <w:p>
      <w:pPr>
        <w:pStyle w:val="FirstParagraph"/>
      </w:pPr>
      <w:r>
        <w:t xml:space="preserve">não significa automaticamente:</w:t>
      </w:r>
    </w:p>
    <w:p>
      <w:pPr>
        <w:pStyle w:val="SourceCode"/>
      </w:pPr>
      <w:r>
        <w:rPr>
          <w:rStyle w:val="VerbatimChar"/>
        </w:rPr>
        <w:t xml:space="preserve">ORDER = CANCELLED</w:t>
      </w:r>
    </w:p>
    <w:p>
      <w:pPr>
        <w:pStyle w:val="FirstParagraph"/>
      </w:pPr>
      <w:r>
        <w:t xml:space="preserve">Poderá significar:</w:t>
      </w:r>
    </w:p>
    <w:p>
      <w:pPr>
        <w:pStyle w:val="SourceCode"/>
      </w:pPr>
      <w:r>
        <w:rPr>
          <w:rStyle w:val="VerbatimChar"/>
        </w:rPr>
        <w:t xml:space="preserve">PAYMENT = PENDING</w:t>
      </w:r>
    </w:p>
    <w:p>
      <w:pPr>
        <w:pStyle w:val="FirstParagraph"/>
      </w:pPr>
      <w:r>
        <w:t xml:space="preserve">e uma operação assíncrona poderá tentar novamente.</w:t>
      </w:r>
    </w:p>
    <w:p>
      <w:r>
        <w:pict>
          <v:rect style="width:0;height:1.5pt" o:hralign="center" o:hrstd="t" o:hr="t"/>
        </w:pict>
      </w:r>
    </w:p>
    <w:bookmarkEnd w:id="55"/>
    <w:bookmarkStart w:id="56" w:name="circuit-breaker"/>
    <w:p>
      <w:pPr>
        <w:pStyle w:val="Heading1"/>
      </w:pPr>
      <w:r>
        <w:t xml:space="preserve">43. Circuit Breaker</w:t>
      </w:r>
    </w:p>
    <w:p>
      <w:pPr>
        <w:pStyle w:val="FirstParagraph"/>
      </w:pPr>
      <w:r>
        <w:t xml:space="preserve">Para providers críticos poderá ser utilizado:</w:t>
      </w:r>
    </w:p>
    <w:p>
      <w:pPr>
        <w:pStyle w:val="SourceCode"/>
      </w:pPr>
      <w:r>
        <w:rPr>
          <w:rStyle w:val="VerbatimChar"/>
        </w:rPr>
        <w:t xml:space="preserve">CLOSED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HALF_OPEN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CLOSED</w:t>
      </w:r>
    </w:p>
    <w:p>
      <w:pPr>
        <w:pStyle w:val="FirstParagraph"/>
      </w:pPr>
      <w:r>
        <w:t xml:space="preserve">Objetivo:</w:t>
      </w:r>
    </w:p>
    <w:p>
      <w:pPr>
        <w:pStyle w:val="Compact"/>
        <w:numPr>
          <w:ilvl w:val="0"/>
          <w:numId w:val="1005"/>
        </w:numPr>
      </w:pPr>
      <w:r>
        <w:t xml:space="preserve">evitar avalanche de requisições;</w:t>
      </w:r>
    </w:p>
    <w:p>
      <w:pPr>
        <w:pStyle w:val="Compact"/>
        <w:numPr>
          <w:ilvl w:val="0"/>
          <w:numId w:val="1005"/>
        </w:numPr>
      </w:pPr>
      <w:r>
        <w:t xml:space="preserve">proteger o MiniHub;</w:t>
      </w:r>
    </w:p>
    <w:p>
      <w:pPr>
        <w:pStyle w:val="Compact"/>
        <w:numPr>
          <w:ilvl w:val="0"/>
          <w:numId w:val="1005"/>
        </w:numPr>
      </w:pPr>
      <w:r>
        <w:t xml:space="preserve">proteger o provider;</w:t>
      </w:r>
    </w:p>
    <w:p>
      <w:pPr>
        <w:pStyle w:val="Compact"/>
        <w:numPr>
          <w:ilvl w:val="0"/>
          <w:numId w:val="1005"/>
        </w:numPr>
      </w:pPr>
      <w:r>
        <w:t xml:space="preserve">detectar indisponibilidade.</w:t>
      </w:r>
    </w:p>
    <w:p>
      <w:pPr>
        <w:pStyle w:val="FirstParagraph"/>
      </w:pPr>
      <w:r>
        <w:t xml:space="preserve">Não será obrigatório para todos os providers no MVP.</w:t>
      </w:r>
    </w:p>
    <w:p>
      <w:r>
        <w:pict>
          <v:rect style="width:0;height:1.5pt" o:hralign="center" o:hrstd="t" o:hr="t"/>
        </w:pict>
      </w:r>
    </w:p>
    <w:bookmarkEnd w:id="56"/>
    <w:bookmarkStart w:id="57" w:name="rate-limit"/>
    <w:p>
      <w:pPr>
        <w:pStyle w:val="Heading1"/>
      </w:pPr>
      <w:r>
        <w:t xml:space="preserve">44. Rate Limit</w:t>
      </w:r>
    </w:p>
    <w:p>
      <w:pPr>
        <w:pStyle w:val="FirstParagraph"/>
      </w:pPr>
      <w:r>
        <w:t xml:space="preserve">Cada provider poderá possuir limite diferente.</w:t>
      </w:r>
    </w:p>
    <w:p>
      <w:pPr>
        <w:pStyle w:val="BodyText"/>
      </w:pPr>
      <w:r>
        <w:t xml:space="preserve">O adapter deverá respeitar:</w:t>
      </w:r>
    </w:p>
    <w:p>
      <w:pPr>
        <w:pStyle w:val="SourceCode"/>
      </w:pPr>
      <w:r>
        <w:rPr>
          <w:rStyle w:val="VerbatimChar"/>
        </w:rPr>
        <w:t xml:space="preserve">Provider Rate Limit</w:t>
      </w:r>
    </w:p>
    <w:p>
      <w:pPr>
        <w:pStyle w:val="FirstParagraph"/>
      </w:pPr>
      <w:r>
        <w:t xml:space="preserve">e o MiniHub deverá possuir mecanismos próprios para evitar excesso de chamadas.</w:t>
      </w:r>
    </w:p>
    <w:p>
      <w:pPr>
        <w:pStyle w:val="BodyText"/>
      </w:pPr>
      <w:r>
        <w:t xml:space="preserve">A OWASP recomenda proteção contra excesso de requisições e uso de respostas como HTTP 429 quando aplicável.</w:t>
      </w:r>
    </w:p>
    <w:p>
      <w:r>
        <w:pict>
          <v:rect style="width:0;height:1.5pt" o:hralign="center" o:hrstd="t" o:hr="t"/>
        </w:pict>
      </w:r>
    </w:p>
    <w:bookmarkEnd w:id="57"/>
    <w:bookmarkStart w:id="58" w:name="cache"/>
    <w:p>
      <w:pPr>
        <w:pStyle w:val="Heading1"/>
      </w:pPr>
      <w:r>
        <w:t xml:space="preserve">45. Cache</w:t>
      </w:r>
    </w:p>
    <w:p>
      <w:pPr>
        <w:pStyle w:val="FirstParagraph"/>
      </w:pPr>
      <w:r>
        <w:t xml:space="preserve">Algumas integrações poderão utilizar cache.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IBGE</w:t>
      </w:r>
      <w:r>
        <w:br/>
      </w:r>
      <w:r>
        <w:rPr>
          <w:rStyle w:val="VerbatimChar"/>
        </w:rPr>
        <w:t xml:space="preserve">CEP</w:t>
      </w:r>
      <w:r>
        <w:br/>
      </w:r>
      <w:r>
        <w:rPr>
          <w:rStyle w:val="VerbatimChar"/>
        </w:rPr>
        <w:t xml:space="preserve">Shipping Services</w:t>
      </w:r>
      <w:r>
        <w:br/>
      </w:r>
      <w:r>
        <w:rPr>
          <w:rStyle w:val="VerbatimChar"/>
        </w:rPr>
        <w:t xml:space="preserve">Provider metadata</w:t>
      </w:r>
    </w:p>
    <w:p>
      <w:pPr>
        <w:pStyle w:val="FirstParagraph"/>
      </w:pPr>
      <w:r>
        <w:t xml:space="preserve">Não utilizar cache para informações financeiras críticas sem regra explícita.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Payment status</w:t>
      </w:r>
    </w:p>
    <w:p>
      <w:pPr>
        <w:pStyle w:val="FirstParagraph"/>
      </w:pPr>
      <w:r>
        <w:t xml:space="preserve">não deverá ser tratado como dado estático.</w:t>
      </w:r>
    </w:p>
    <w:p>
      <w:r>
        <w:pict>
          <v:rect style="width:0;height:1.5pt" o:hralign="center" o:hrstd="t" o:hr="t"/>
        </w:pict>
      </w:r>
    </w:p>
    <w:bookmarkEnd w:id="58"/>
    <w:bookmarkStart w:id="59" w:name="reconciliação"/>
    <w:p>
      <w:pPr>
        <w:pStyle w:val="Heading1"/>
      </w:pPr>
      <w:r>
        <w:t xml:space="preserve">46. Reconciliação</w:t>
      </w:r>
    </w:p>
    <w:p>
      <w:pPr>
        <w:pStyle w:val="FirstParagraph"/>
      </w:pPr>
      <w:r>
        <w:t xml:space="preserve">Integrações financeiras e logísticas poderão exigir reconciliação.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MiniHub:</w:t>
      </w:r>
      <w:r>
        <w:br/>
      </w:r>
      <w:r>
        <w:rPr>
          <w:rStyle w:val="VerbatimChar"/>
        </w:rPr>
        <w:t xml:space="preserve">Payment = PENDING</w:t>
      </w:r>
      <w:r>
        <w:br/>
      </w:r>
      <w:r>
        <w:br/>
      </w:r>
      <w:r>
        <w:rPr>
          <w:rStyle w:val="VerbatimChar"/>
        </w:rPr>
        <w:t xml:space="preserve">Provider:</w:t>
      </w:r>
      <w:r>
        <w:br/>
      </w:r>
      <w:r>
        <w:rPr>
          <w:rStyle w:val="VerbatimChar"/>
        </w:rPr>
        <w:t xml:space="preserve">Payment = APPROVED</w:t>
      </w:r>
    </w:p>
    <w:p>
      <w:pPr>
        <w:pStyle w:val="FirstParagraph"/>
      </w:pPr>
      <w:r>
        <w:t xml:space="preserve">Um processo de reconciliação deverá detectar divergências.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Scheduler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Reconciliation Worker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Provider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Comparar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Divergência?</w:t>
      </w:r>
      <w:r>
        <w:br/>
      </w:r>
      <w:r>
        <w:rPr>
          <w:rStyle w:val="VerbatimChar"/>
        </w:rPr>
        <w:t xml:space="preserve">   ↙     ↘</w:t>
      </w:r>
      <w:r>
        <w:br/>
      </w:r>
      <w:r>
        <w:rPr>
          <w:rStyle w:val="VerbatimChar"/>
        </w:rPr>
        <w:t xml:space="preserve"> NÃO      SIM</w:t>
      </w:r>
      <w:r>
        <w:br/>
      </w:r>
      <w:r>
        <w:rPr>
          <w:rStyle w:val="VerbatimChar"/>
        </w:rPr>
        <w:t xml:space="preserve">  ↓        ↓</w:t>
      </w:r>
      <w:r>
        <w:br/>
      </w:r>
      <w:r>
        <w:rPr>
          <w:rStyle w:val="VerbatimChar"/>
        </w:rPr>
        <w:t xml:space="preserve">Fim     Investigation</w:t>
      </w:r>
    </w:p>
    <w:p>
      <w:pPr>
        <w:pStyle w:val="FirstParagraph"/>
      </w:pPr>
      <w:r>
        <w:t xml:space="preserve">Reconciliação não deverá alterar Ledger arbitrariamente.</w:t>
      </w:r>
    </w:p>
    <w:p>
      <w:pPr>
        <w:pStyle w:val="BodyText"/>
      </w:pPr>
      <w:r>
        <w:t xml:space="preserve">Isso permanece sob responsabilidade do domínio Financeiro.</w:t>
      </w:r>
    </w:p>
    <w:p>
      <w:r>
        <w:pict>
          <v:rect style="width:0;height:1.5pt" o:hralign="center" o:hrstd="t" o:hr="t"/>
        </w:pict>
      </w:r>
    </w:p>
    <w:bookmarkEnd w:id="59"/>
    <w:bookmarkStart w:id="60" w:name="integração-fonte-de-verdade"/>
    <w:p>
      <w:pPr>
        <w:pStyle w:val="Heading1"/>
      </w:pPr>
      <w:r>
        <w:t xml:space="preserve">47. Integração ≠ Fonte de Verdade</w:t>
      </w:r>
    </w:p>
    <w:p>
      <w:pPr>
        <w:pStyle w:val="FirstParagraph"/>
      </w:pPr>
      <w:r>
        <w:t xml:space="preserve">Regra:</w:t>
      </w:r>
    </w:p>
    <w:p>
      <w:pPr>
        <w:pStyle w:val="BlockText"/>
      </w:pPr>
      <w:r>
        <w:rPr>
          <w:b/>
          <w:bCs/>
        </w:rPr>
        <w:t xml:space="preserve">O provider externo fornece informação ou executa uma operação externa; o MiniHub mantém a representação interna da operação.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Mercado Pago</w:t>
      </w:r>
    </w:p>
    <w:p>
      <w:pPr>
        <w:pStyle w:val="FirstParagraph"/>
      </w:pPr>
      <w:r>
        <w:t xml:space="preserve">não substitui:</w:t>
      </w:r>
    </w:p>
    <w:p>
      <w:pPr>
        <w:pStyle w:val="SourceCode"/>
      </w:pP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PAYMENT_TRANSACTION</w:t>
      </w:r>
      <w:r>
        <w:br/>
      </w:r>
      <w:r>
        <w:rPr>
          <w:rStyle w:val="VerbatimChar"/>
        </w:rPr>
        <w:t xml:space="preserve">FINANCIAL_TRANSACTION</w:t>
      </w:r>
      <w:r>
        <w:br/>
      </w:r>
      <w:r>
        <w:rPr>
          <w:rStyle w:val="VerbatimChar"/>
        </w:rPr>
        <w:t xml:space="preserve">LEDGER</w:t>
      </w:r>
    </w:p>
    <w:p>
      <w:pPr>
        <w:pStyle w:val="FirstParagraph"/>
      </w:pPr>
      <w:r>
        <w:t xml:space="preserve">Da mesma forma:</w:t>
      </w:r>
    </w:p>
    <w:p>
      <w:pPr>
        <w:pStyle w:val="SourceCode"/>
      </w:pPr>
      <w:r>
        <w:rPr>
          <w:rStyle w:val="VerbatimChar"/>
        </w:rPr>
        <w:t xml:space="preserve">Transportadora</w:t>
      </w:r>
    </w:p>
    <w:p>
      <w:pPr>
        <w:pStyle w:val="FirstParagraph"/>
      </w:pPr>
      <w:r>
        <w:t xml:space="preserve">não substitui:</w:t>
      </w:r>
    </w:p>
    <w:p>
      <w:pPr>
        <w:pStyle w:val="SourceCode"/>
      </w:pP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TRACKING_EVENT</w:t>
      </w:r>
    </w:p>
    <w:p>
      <w:r>
        <w:pict>
          <v:rect style="width:0;height:1.5pt" o:hralign="center" o:hrstd="t" o:hr="t"/>
        </w:pict>
      </w:r>
    </w:p>
    <w:bookmarkEnd w:id="60"/>
    <w:bookmarkStart w:id="61" w:name="external-reference"/>
    <w:p>
      <w:pPr>
        <w:pStyle w:val="Heading1"/>
      </w:pPr>
      <w:r>
        <w:t xml:space="preserve">48. External Reference</w:t>
      </w:r>
    </w:p>
    <w:p>
      <w:pPr>
        <w:pStyle w:val="FirstParagraph"/>
      </w:pPr>
      <w:r>
        <w:t xml:space="preserve">Entidades que possuem contraparte externa poderão armazenar:</w:t>
      </w:r>
    </w:p>
    <w:p>
      <w:pPr>
        <w:pStyle w:val="SourceCode"/>
      </w:pPr>
      <w:r>
        <w:rPr>
          <w:rStyle w:val="VerbatimChar"/>
        </w:rPr>
        <w:t xml:space="preserve">external_provider_id</w:t>
      </w:r>
      <w:r>
        <w:br/>
      </w:r>
      <w:r>
        <w:rPr>
          <w:rStyle w:val="VerbatimChar"/>
        </w:rPr>
        <w:t xml:space="preserve">external_reference</w:t>
      </w:r>
      <w:r>
        <w:br/>
      </w:r>
      <w:r>
        <w:rPr>
          <w:rStyle w:val="VerbatimChar"/>
        </w:rPr>
        <w:t xml:space="preserve">external_status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external_payment_id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external_shipment_id</w:t>
      </w:r>
    </w:p>
    <w:p>
      <w:pPr>
        <w:pStyle w:val="FirstParagraph"/>
      </w:pPr>
      <w:r>
        <w:t xml:space="preserve">Esses campos não deverão substituir o ID interno.</w:t>
      </w:r>
    </w:p>
    <w:p>
      <w:r>
        <w:pict>
          <v:rect style="width:0;height:1.5pt" o:hralign="center" o:hrstd="t" o:hr="t"/>
        </w:pict>
      </w:r>
    </w:p>
    <w:bookmarkEnd w:id="61"/>
    <w:bookmarkStart w:id="62" w:name="correlation-id"/>
    <w:p>
      <w:pPr>
        <w:pStyle w:val="Heading1"/>
      </w:pPr>
      <w:r>
        <w:t xml:space="preserve">49. Correlation ID</w:t>
      </w:r>
    </w:p>
    <w:p>
      <w:pPr>
        <w:pStyle w:val="FirstParagraph"/>
      </w:pPr>
      <w:r>
        <w:t xml:space="preserve">Toda operação externa deverá possuir:</w:t>
      </w:r>
    </w:p>
    <w:p>
      <w:pPr>
        <w:pStyle w:val="SourceCode"/>
      </w:pPr>
      <w:r>
        <w:rPr>
          <w:rStyle w:val="VerbatimChar"/>
        </w:rPr>
        <w:t xml:space="preserve">correlation_id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Order #123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IntegrationOperation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Provider</w:t>
      </w:r>
    </w:p>
    <w:p>
      <w:pPr>
        <w:pStyle w:val="FirstParagraph"/>
      </w:pPr>
      <w:r>
        <w:t xml:space="preserve">Tudo poderá ser rastreado pelo mesmo:</w:t>
      </w:r>
    </w:p>
    <w:p>
      <w:pPr>
        <w:pStyle w:val="SourceCode"/>
      </w:pPr>
      <w:r>
        <w:rPr>
          <w:rStyle w:val="VerbatimChar"/>
        </w:rPr>
        <w:t xml:space="preserve">correlation_id = 7f8...</w:t>
      </w:r>
    </w:p>
    <w:p>
      <w:pPr>
        <w:pStyle w:val="FirstParagraph"/>
      </w:pPr>
      <w:r>
        <w:t xml:space="preserve">Isso será especialmente importante para E22 Observability.</w:t>
      </w:r>
    </w:p>
    <w:p>
      <w:r>
        <w:pict>
          <v:rect style="width:0;height:1.5pt" o:hralign="center" o:hrstd="t" o:hr="t"/>
        </w:pict>
      </w:r>
    </w:p>
    <w:bookmarkEnd w:id="62"/>
    <w:bookmarkStart w:id="63" w:name="idempotency-key"/>
    <w:p>
      <w:pPr>
        <w:pStyle w:val="Heading1"/>
      </w:pPr>
      <w:r>
        <w:t xml:space="preserve">50. Idempotency Key</w:t>
      </w:r>
    </w:p>
    <w:p>
      <w:pPr>
        <w:pStyle w:val="FirstParagraph"/>
      </w:pPr>
      <w:r>
        <w:t xml:space="preserve">Toda operação que possa produzir efeito externo deverá considerar:</w:t>
      </w:r>
    </w:p>
    <w:p>
      <w:pPr>
        <w:pStyle w:val="SourceCode"/>
      </w:pPr>
      <w:r>
        <w:rPr>
          <w:rStyle w:val="VerbatimChar"/>
        </w:rPr>
        <w:t xml:space="preserve">idempotency_key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MINIHUB-PAYMENT-ORDER-123</w:t>
      </w:r>
    </w:p>
    <w:p>
      <w:pPr>
        <w:pStyle w:val="FirstParagraph"/>
      </w:pPr>
      <w:r>
        <w:t xml:space="preserve">A chave deverá possuir escopo adequado para evitar colisões.</w:t>
      </w:r>
    </w:p>
    <w:p>
      <w:r>
        <w:pict>
          <v:rect style="width:0;height:1.5pt" o:hralign="center" o:hrstd="t" o:hr="t"/>
        </w:pict>
      </w:r>
    </w:p>
    <w:bookmarkEnd w:id="63"/>
    <w:bookmarkStart w:id="64" w:name="segurança"/>
    <w:p>
      <w:pPr>
        <w:pStyle w:val="Heading1"/>
      </w:pPr>
      <w:r>
        <w:t xml:space="preserve">51. Segurança</w:t>
      </w:r>
    </w:p>
    <w:p>
      <w:pPr>
        <w:pStyle w:val="FirstParagraph"/>
      </w:pPr>
      <w:r>
        <w:t xml:space="preserve">Integrações externas deverão obedecer:</w:t>
      </w:r>
    </w:p>
    <w:p>
      <w:pPr>
        <w:pStyle w:val="Compact"/>
        <w:numPr>
          <w:ilvl w:val="0"/>
          <w:numId w:val="1006"/>
        </w:numPr>
      </w:pPr>
      <w:r>
        <w:t xml:space="preserve">HTTPS;</w:t>
      </w:r>
    </w:p>
    <w:p>
      <w:pPr>
        <w:pStyle w:val="Compact"/>
        <w:numPr>
          <w:ilvl w:val="0"/>
          <w:numId w:val="1006"/>
        </w:numPr>
      </w:pPr>
      <w:r>
        <w:t xml:space="preserve">autenticação adequada;</w:t>
      </w:r>
    </w:p>
    <w:p>
      <w:pPr>
        <w:pStyle w:val="Compact"/>
        <w:numPr>
          <w:ilvl w:val="0"/>
          <w:numId w:val="1006"/>
        </w:numPr>
      </w:pPr>
      <w:r>
        <w:t xml:space="preserve">autorização;</w:t>
      </w:r>
    </w:p>
    <w:p>
      <w:pPr>
        <w:pStyle w:val="Compact"/>
        <w:numPr>
          <w:ilvl w:val="0"/>
          <w:numId w:val="1006"/>
        </w:numPr>
      </w:pPr>
      <w:r>
        <w:t xml:space="preserve">secrets centralizados;</w:t>
      </w:r>
    </w:p>
    <w:p>
      <w:pPr>
        <w:pStyle w:val="Compact"/>
        <w:numPr>
          <w:ilvl w:val="0"/>
          <w:numId w:val="1006"/>
        </w:numPr>
      </w:pPr>
      <w:r>
        <w:t xml:space="preserve">least privilege;</w:t>
      </w:r>
    </w:p>
    <w:p>
      <w:pPr>
        <w:pStyle w:val="Compact"/>
        <w:numPr>
          <w:ilvl w:val="0"/>
          <w:numId w:val="1006"/>
        </w:numPr>
      </w:pPr>
      <w:r>
        <w:t xml:space="preserve">rotação de credenciais;</w:t>
      </w:r>
    </w:p>
    <w:p>
      <w:pPr>
        <w:pStyle w:val="Compact"/>
        <w:numPr>
          <w:ilvl w:val="0"/>
          <w:numId w:val="1006"/>
        </w:numPr>
      </w:pPr>
      <w:r>
        <w:t xml:space="preserve">timeout;</w:t>
      </w:r>
    </w:p>
    <w:p>
      <w:pPr>
        <w:pStyle w:val="Compact"/>
        <w:numPr>
          <w:ilvl w:val="0"/>
          <w:numId w:val="1006"/>
        </w:numPr>
      </w:pPr>
      <w:r>
        <w:t xml:space="preserve">rate limiting;</w:t>
      </w:r>
    </w:p>
    <w:p>
      <w:pPr>
        <w:pStyle w:val="Compact"/>
        <w:numPr>
          <w:ilvl w:val="0"/>
          <w:numId w:val="1006"/>
        </w:numPr>
      </w:pPr>
      <w:r>
        <w:t xml:space="preserve">validação de resposta;</w:t>
      </w:r>
    </w:p>
    <w:p>
      <w:pPr>
        <w:pStyle w:val="Compact"/>
        <w:numPr>
          <w:ilvl w:val="0"/>
          <w:numId w:val="1006"/>
        </w:numPr>
      </w:pPr>
      <w:r>
        <w:t xml:space="preserve">validação de webhook;</w:t>
      </w:r>
    </w:p>
    <w:p>
      <w:pPr>
        <w:pStyle w:val="Compact"/>
        <w:numPr>
          <w:ilvl w:val="0"/>
          <w:numId w:val="1006"/>
        </w:numPr>
      </w:pPr>
      <w:r>
        <w:t xml:space="preserve">idempotência;</w:t>
      </w:r>
    </w:p>
    <w:p>
      <w:pPr>
        <w:pStyle w:val="Compact"/>
        <w:numPr>
          <w:ilvl w:val="0"/>
          <w:numId w:val="1006"/>
        </w:numPr>
      </w:pPr>
      <w:r>
        <w:t xml:space="preserve">logs sem secrets;</w:t>
      </w:r>
    </w:p>
    <w:p>
      <w:pPr>
        <w:pStyle w:val="Compact"/>
        <w:numPr>
          <w:ilvl w:val="0"/>
          <w:numId w:val="1006"/>
        </w:numPr>
      </w:pPr>
      <w:r>
        <w:t xml:space="preserve">proteção contra SSRF;</w:t>
      </w:r>
    </w:p>
    <w:p>
      <w:pPr>
        <w:pStyle w:val="Compact"/>
        <w:numPr>
          <w:ilvl w:val="0"/>
          <w:numId w:val="1006"/>
        </w:numPr>
      </w:pPr>
      <w:r>
        <w:t xml:space="preserve">controle de destinos permitidos;</w:t>
      </w:r>
    </w:p>
    <w:p>
      <w:pPr>
        <w:pStyle w:val="Compact"/>
        <w:numPr>
          <w:ilvl w:val="0"/>
          <w:numId w:val="1006"/>
        </w:numPr>
      </w:pPr>
      <w:r>
        <w:t xml:space="preserve">auditoria.</w:t>
      </w:r>
    </w:p>
    <w:p>
      <w:pPr>
        <w:pStyle w:val="FirstParagraph"/>
      </w:pPr>
      <w:r>
        <w:t xml:space="preserve">A OWASP recomenda tratar APIs de terceiros com cautela, pois dados recebidos de serviços externos não devem receber confiança maior que dados enviados por usuários.</w:t>
      </w:r>
    </w:p>
    <w:p>
      <w:r>
        <w:pict>
          <v:rect style="width:0;height:1.5pt" o:hralign="center" o:hrstd="t" o:hr="t"/>
        </w:pict>
      </w:r>
    </w:p>
    <w:bookmarkEnd w:id="64"/>
    <w:bookmarkStart w:id="65" w:name="ssrf"/>
    <w:p>
      <w:pPr>
        <w:pStyle w:val="Heading1"/>
      </w:pPr>
      <w:r>
        <w:t xml:space="preserve">52. SSRF</w:t>
      </w:r>
    </w:p>
    <w:p>
      <w:pPr>
        <w:pStyle w:val="FirstParagraph"/>
      </w:pPr>
      <w:r>
        <w:t xml:space="preserve">Integrações que recebem URLs externas deverão possuir proteção contra SSRF.</w:t>
      </w:r>
    </w:p>
    <w:p>
      <w:pPr>
        <w:pStyle w:val="BodyText"/>
      </w:pPr>
      <w:r>
        <w:t xml:space="preserve">Não será permitido que o usuário determine livremente:</w:t>
      </w:r>
    </w:p>
    <w:p>
      <w:pPr>
        <w:pStyle w:val="SourceCode"/>
      </w:pPr>
      <w:r>
        <w:rPr>
          <w:rStyle w:val="VerbatimChar"/>
        </w:rPr>
        <w:t xml:space="preserve">http://qualquer-endereco-interno</w:t>
      </w:r>
    </w:p>
    <w:p>
      <w:pPr>
        <w:pStyle w:val="FirstParagraph"/>
      </w:pPr>
      <w:r>
        <w:t xml:space="preserve">para que o servidor faça uma requisição.</w:t>
      </w:r>
    </w:p>
    <w:p>
      <w:pPr>
        <w:pStyle w:val="BodyText"/>
      </w:pPr>
      <w:r>
        <w:t xml:space="preserve">Deverá existir:</w:t>
      </w:r>
    </w:p>
    <w:p>
      <w:pPr>
        <w:pStyle w:val="SourceCode"/>
      </w:pPr>
      <w:r>
        <w:rPr>
          <w:rStyle w:val="VerbatimChar"/>
        </w:rPr>
        <w:t xml:space="preserve">allowlist</w:t>
      </w:r>
      <w:r>
        <w:br/>
      </w:r>
      <w:r>
        <w:rPr>
          <w:rStyle w:val="VerbatimChar"/>
        </w:rPr>
        <w:t xml:space="preserve">DNS validation</w:t>
      </w:r>
      <w:r>
        <w:br/>
      </w:r>
      <w:r>
        <w:rPr>
          <w:rStyle w:val="VerbatimChar"/>
        </w:rPr>
        <w:t xml:space="preserve">private network blocking</w:t>
      </w:r>
      <w:r>
        <w:br/>
      </w:r>
      <w:r>
        <w:rPr>
          <w:rStyle w:val="VerbatimChar"/>
        </w:rPr>
        <w:t xml:space="preserve">protocol validation</w:t>
      </w:r>
      <w:r>
        <w:br/>
      </w:r>
      <w:r>
        <w:rPr>
          <w:rStyle w:val="VerbatimChar"/>
        </w:rPr>
        <w:t xml:space="preserve">redirect validation</w:t>
      </w:r>
      <w:r>
        <w:br/>
      </w:r>
      <w:r>
        <w:rPr>
          <w:rStyle w:val="VerbatimChar"/>
        </w:rPr>
        <w:t xml:space="preserve">timeout</w:t>
      </w:r>
    </w:p>
    <w:p>
      <w:r>
        <w:pict>
          <v:rect style="width:0;height:1.5pt" o:hralign="center" o:hrstd="t" o:hr="t"/>
        </w:pict>
      </w:r>
    </w:p>
    <w:bookmarkEnd w:id="65"/>
    <w:bookmarkStart w:id="66" w:name="open-redirect"/>
    <w:p>
      <w:pPr>
        <w:pStyle w:val="Heading1"/>
      </w:pPr>
      <w:r>
        <w:t xml:space="preserve">53. Open Redirect</w:t>
      </w:r>
    </w:p>
    <w:p>
      <w:pPr>
        <w:pStyle w:val="FirstParagraph"/>
      </w:pPr>
      <w:r>
        <w:t xml:space="preserve">Integrações que redirecionam usuários deverão utilizar identificadores internos.</w:t>
      </w:r>
    </w:p>
    <w:p>
      <w:pPr>
        <w:pStyle w:val="BodyText"/>
      </w:pPr>
      <w:r>
        <w:t xml:space="preserve">Correto:</w:t>
      </w:r>
    </w:p>
    <w:p>
      <w:pPr>
        <w:pStyle w:val="SourceCode"/>
      </w:pPr>
      <w:r>
        <w:rPr>
          <w:rStyle w:val="VerbatimChar"/>
        </w:rPr>
        <w:t xml:space="preserve">/external-promotions/{id}/redirect</w:t>
      </w:r>
    </w:p>
    <w:p>
      <w:pPr>
        <w:pStyle w:val="FirstParagraph"/>
      </w:pPr>
      <w:r>
        <w:t xml:space="preserve">Incorreto:</w:t>
      </w:r>
    </w:p>
    <w:p>
      <w:pPr>
        <w:pStyle w:val="SourceCode"/>
      </w:pPr>
      <w:r>
        <w:rPr>
          <w:rStyle w:val="VerbatimChar"/>
        </w:rPr>
        <w:t xml:space="preserve">/redirect?url=https://qualquer-site.com</w:t>
      </w:r>
    </w:p>
    <w:p>
      <w:pPr>
        <w:pStyle w:val="FirstParagraph"/>
      </w:pPr>
      <w:r>
        <w:t xml:space="preserve">A regra já estabelecida em E19 permanece válida.</w:t>
      </w:r>
    </w:p>
    <w:p>
      <w:r>
        <w:pict>
          <v:rect style="width:0;height:1.5pt" o:hralign="center" o:hrstd="t" o:hr="t"/>
        </w:pict>
      </w:r>
    </w:p>
    <w:bookmarkEnd w:id="66"/>
    <w:bookmarkStart w:id="67" w:name="validação-de-respostas"/>
    <w:p>
      <w:pPr>
        <w:pStyle w:val="Heading1"/>
      </w:pPr>
      <w:r>
        <w:t xml:space="preserve">54. Validação de Respostas</w:t>
      </w:r>
    </w:p>
    <w:p>
      <w:pPr>
        <w:pStyle w:val="FirstParagraph"/>
      </w:pPr>
      <w:r>
        <w:t xml:space="preserve">Resposta externa deverá ser tratada como dado não confiável.</w:t>
      </w:r>
    </w:p>
    <w:p>
      <w:pPr>
        <w:pStyle w:val="BodyText"/>
      </w:pPr>
      <w:r>
        <w:t xml:space="preserve">O adapter deverá validar:</w:t>
      </w:r>
    </w:p>
    <w:p>
      <w:pPr>
        <w:pStyle w:val="SourceCode"/>
      </w:pPr>
      <w:r>
        <w:rPr>
          <w:rStyle w:val="VerbatimChar"/>
        </w:rPr>
        <w:t xml:space="preserve">schema</w:t>
      </w:r>
      <w:r>
        <w:br/>
      </w:r>
      <w:r>
        <w:rPr>
          <w:rStyle w:val="VerbatimChar"/>
        </w:rPr>
        <w:t xml:space="preserve">required fields</w:t>
      </w:r>
      <w:r>
        <w:br/>
      </w:r>
      <w:r>
        <w:rPr>
          <w:rStyle w:val="VerbatimChar"/>
        </w:rPr>
        <w:t xml:space="preserve">types</w:t>
      </w:r>
      <w:r>
        <w:br/>
      </w:r>
      <w:r>
        <w:rPr>
          <w:rStyle w:val="VerbatimChar"/>
        </w:rPr>
        <w:t xml:space="preserve">ranges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identifiers</w:t>
      </w:r>
    </w:p>
    <w:p>
      <w:pPr>
        <w:pStyle w:val="FirstParagraph"/>
      </w:pPr>
      <w:r>
        <w:t xml:space="preserve">Antes de enviar dados para o domínio.</w:t>
      </w:r>
    </w:p>
    <w:p>
      <w:r>
        <w:pict>
          <v:rect style="width:0;height:1.5pt" o:hralign="center" o:hrstd="t" o:hr="t"/>
        </w:pict>
      </w:r>
    </w:p>
    <w:bookmarkEnd w:id="67"/>
    <w:bookmarkStart w:id="68" w:name="versionamento"/>
    <w:p>
      <w:pPr>
        <w:pStyle w:val="Heading1"/>
      </w:pPr>
      <w:r>
        <w:t xml:space="preserve">55. Versionamento</w:t>
      </w:r>
    </w:p>
    <w:p>
      <w:pPr>
        <w:pStyle w:val="FirstParagraph"/>
      </w:pPr>
      <w:r>
        <w:t xml:space="preserve">Providers externos podem alterar APIs.</w:t>
      </w:r>
    </w:p>
    <w:p>
      <w:pPr>
        <w:pStyle w:val="BodyText"/>
      </w:pPr>
      <w:r>
        <w:t xml:space="preserve">O adapter deverá encapsular:</w:t>
      </w:r>
    </w:p>
    <w:p>
      <w:pPr>
        <w:pStyle w:val="SourceCode"/>
      </w:pPr>
      <w:r>
        <w:rPr>
          <w:rStyle w:val="VerbatimChar"/>
        </w:rPr>
        <w:t xml:space="preserve">API v1</w:t>
      </w:r>
      <w:r>
        <w:br/>
      </w:r>
      <w:r>
        <w:rPr>
          <w:rStyle w:val="VerbatimChar"/>
        </w:rPr>
        <w:t xml:space="preserve">API v2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MercadoPagoAdapterV1</w:t>
      </w:r>
      <w:r>
        <w:br/>
      </w:r>
      <w:r>
        <w:rPr>
          <w:rStyle w:val="VerbatimChar"/>
        </w:rPr>
        <w:t xml:space="preserve">MercadoPagoAdapterV2</w:t>
      </w:r>
    </w:p>
    <w:p>
      <w:pPr>
        <w:pStyle w:val="FirstParagraph"/>
      </w:pPr>
      <w:r>
        <w:t xml:space="preserve">O domínio não deverá precisar conhecer a versão externa.</w:t>
      </w:r>
    </w:p>
    <w:p>
      <w:r>
        <w:pict>
          <v:rect style="width:0;height:1.5pt" o:hralign="center" o:hrstd="t" o:hr="t"/>
        </w:pict>
      </w:r>
    </w:p>
    <w:bookmarkEnd w:id="68"/>
    <w:bookmarkStart w:id="69" w:name="deprecation"/>
    <w:p>
      <w:pPr>
        <w:pStyle w:val="Heading1"/>
      </w:pPr>
      <w:r>
        <w:t xml:space="preserve">56. Deprecation</w:t>
      </w:r>
    </w:p>
    <w:p>
      <w:pPr>
        <w:pStyle w:val="FirstParagraph"/>
      </w:pPr>
      <w:r>
        <w:t xml:space="preserve">Uma integração deverá possuir ciclo de vida: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DEPRECATED</w:t>
      </w:r>
      <w:r>
        <w:br/>
      </w:r>
      <w:r>
        <w:rPr>
          <w:rStyle w:val="VerbatimChar"/>
        </w:rPr>
        <w:t xml:space="preserve">DISABLED</w:t>
      </w:r>
      <w:r>
        <w:br/>
      </w:r>
      <w:r>
        <w:rPr>
          <w:rStyle w:val="VerbatimChar"/>
        </w:rPr>
        <w:t xml:space="preserve">RETIRED</w:t>
      </w:r>
    </w:p>
    <w:p>
      <w:pPr>
        <w:pStyle w:val="FirstParagraph"/>
      </w:pPr>
      <w:r>
        <w:t xml:space="preserve">Antes de retirar um provider:</w:t>
      </w:r>
    </w:p>
    <w:p>
      <w:pPr>
        <w:pStyle w:val="Compact"/>
        <w:numPr>
          <w:ilvl w:val="0"/>
          <w:numId w:val="1007"/>
        </w:numPr>
      </w:pPr>
      <w:r>
        <w:t xml:space="preserve">identificar consumidores;</w:t>
      </w:r>
    </w:p>
    <w:p>
      <w:pPr>
        <w:pStyle w:val="Compact"/>
        <w:numPr>
          <w:ilvl w:val="0"/>
          <w:numId w:val="1007"/>
        </w:numPr>
      </w:pPr>
      <w:r>
        <w:t xml:space="preserve">migrar operações;</w:t>
      </w:r>
    </w:p>
    <w:p>
      <w:pPr>
        <w:pStyle w:val="Compact"/>
        <w:numPr>
          <w:ilvl w:val="0"/>
          <w:numId w:val="1007"/>
        </w:numPr>
      </w:pPr>
      <w:r>
        <w:t xml:space="preserve">validar produção;</w:t>
      </w:r>
    </w:p>
    <w:p>
      <w:pPr>
        <w:pStyle w:val="Compact"/>
        <w:numPr>
          <w:ilvl w:val="0"/>
          <w:numId w:val="1007"/>
        </w:numPr>
      </w:pPr>
      <w:r>
        <w:t xml:space="preserve">desativar novas operações;</w:t>
      </w:r>
    </w:p>
    <w:p>
      <w:pPr>
        <w:pStyle w:val="Compact"/>
        <w:numPr>
          <w:ilvl w:val="0"/>
          <w:numId w:val="1007"/>
        </w:numPr>
      </w:pPr>
      <w:r>
        <w:t xml:space="preserve">manter leitura/reconciliação quando necessário;</w:t>
      </w:r>
    </w:p>
    <w:p>
      <w:pPr>
        <w:pStyle w:val="Compact"/>
        <w:numPr>
          <w:ilvl w:val="0"/>
          <w:numId w:val="1007"/>
        </w:numPr>
      </w:pPr>
      <w:r>
        <w:t xml:space="preserve">remover credenciais;</w:t>
      </w:r>
    </w:p>
    <w:p>
      <w:pPr>
        <w:pStyle w:val="Compact"/>
        <w:numPr>
          <w:ilvl w:val="0"/>
          <w:numId w:val="1007"/>
        </w:numPr>
      </w:pPr>
      <w:r>
        <w:t xml:space="preserve">registrar auditoria.</w:t>
      </w:r>
    </w:p>
    <w:p>
      <w:pPr>
        <w:pStyle w:val="FirstParagraph"/>
      </w:pPr>
      <w:r>
        <w:t xml:space="preserve">A gestão de dependências e fornecedores externos deverá fazer parte do inventário técnico do projeto; a OWASP recomenda avaliar fornecedores e componentes de terceiros antes de incorporá-los ao software.</w:t>
      </w:r>
    </w:p>
    <w:p>
      <w:r>
        <w:pict>
          <v:rect style="width:0;height:1.5pt" o:hralign="center" o:hrstd="t" o:hr="t"/>
        </w:pict>
      </w:r>
    </w:p>
    <w:bookmarkEnd w:id="69"/>
    <w:bookmarkStart w:id="70" w:name="observabilidade"/>
    <w:p>
      <w:pPr>
        <w:pStyle w:val="Heading1"/>
      </w:pPr>
      <w:r>
        <w:t xml:space="preserve">57. Observabilidade</w:t>
      </w:r>
    </w:p>
    <w:p>
      <w:pPr>
        <w:pStyle w:val="FirstParagraph"/>
      </w:pPr>
      <w:r>
        <w:t xml:space="preserve">Cada integração deverá registrar:</w:t>
      </w:r>
    </w:p>
    <w:p>
      <w:pPr>
        <w:pStyle w:val="SourceCode"/>
      </w:pPr>
      <w:r>
        <w:rPr>
          <w:rStyle w:val="VerbatimChar"/>
        </w:rPr>
        <w:t xml:space="preserve">provider</w:t>
      </w:r>
      <w:r>
        <w:br/>
      </w:r>
      <w:r>
        <w:rPr>
          <w:rStyle w:val="VerbatimChar"/>
        </w:rPr>
        <w:t xml:space="preserve">operation</w:t>
      </w:r>
      <w:r>
        <w:br/>
      </w:r>
      <w:r>
        <w:rPr>
          <w:rStyle w:val="VerbatimChar"/>
        </w:rPr>
        <w:t xml:space="preserve">correlation_id</w:t>
      </w:r>
      <w:r>
        <w:br/>
      </w:r>
      <w:r>
        <w:rPr>
          <w:rStyle w:val="VerbatimChar"/>
        </w:rPr>
        <w:t xml:space="preserve">external_request_id</w:t>
      </w:r>
      <w:r>
        <w:br/>
      </w:r>
      <w:r>
        <w:rPr>
          <w:rStyle w:val="VerbatimChar"/>
        </w:rPr>
        <w:t xml:space="preserve">external_response_id</w:t>
      </w:r>
      <w:r>
        <w:br/>
      </w:r>
      <w:r>
        <w:rPr>
          <w:rStyle w:val="VerbatimChar"/>
        </w:rPr>
        <w:t xml:space="preserve">duration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attempt</w:t>
      </w:r>
      <w:r>
        <w:br/>
      </w:r>
      <w:r>
        <w:rPr>
          <w:rStyle w:val="VerbatimChar"/>
        </w:rPr>
        <w:t xml:space="preserve">http_status</w:t>
      </w:r>
      <w:r>
        <w:br/>
      </w:r>
      <w:r>
        <w:rPr>
          <w:rStyle w:val="VerbatimChar"/>
        </w:rPr>
        <w:t xml:space="preserve">error_code</w:t>
      </w:r>
    </w:p>
    <w:p>
      <w:pPr>
        <w:pStyle w:val="FirstParagraph"/>
      </w:pPr>
      <w:r>
        <w:t xml:space="preserve">Nunca registrar:</w:t>
      </w:r>
    </w:p>
    <w:p>
      <w:pPr>
        <w:pStyle w:val="SourceCode"/>
      </w:pPr>
      <w:r>
        <w:rPr>
          <w:rStyle w:val="VerbatimChar"/>
        </w:rPr>
        <w:t xml:space="preserve">API Key</w:t>
      </w:r>
      <w:r>
        <w:br/>
      </w:r>
      <w:r>
        <w:rPr>
          <w:rStyle w:val="VerbatimChar"/>
        </w:rPr>
        <w:t xml:space="preserve">Secret</w:t>
      </w:r>
      <w:r>
        <w:br/>
      </w:r>
      <w:r>
        <w:rPr>
          <w:rStyle w:val="VerbatimChar"/>
        </w:rPr>
        <w:t xml:space="preserve">Token</w:t>
      </w:r>
      <w:r>
        <w:br/>
      </w:r>
      <w:r>
        <w:rPr>
          <w:rStyle w:val="VerbatimChar"/>
        </w:rPr>
        <w:t xml:space="preserve">Senha</w:t>
      </w:r>
      <w:r>
        <w:br/>
      </w:r>
      <w:r>
        <w:rPr>
          <w:rStyle w:val="VerbatimChar"/>
        </w:rPr>
        <w:t xml:space="preserve">Dados completos de cartão</w:t>
      </w:r>
    </w:p>
    <w:p>
      <w:pPr>
        <w:pStyle w:val="FirstParagraph"/>
      </w:pPr>
      <w:r>
        <w:t xml:space="preserve">E22 detalhará observabilidade.</w:t>
      </w:r>
    </w:p>
    <w:p>
      <w:r>
        <w:pict>
          <v:rect style="width:0;height:1.5pt" o:hralign="center" o:hrstd="t" o:hr="t"/>
        </w:pict>
      </w:r>
    </w:p>
    <w:bookmarkEnd w:id="70"/>
    <w:bookmarkStart w:id="71" w:name="erros"/>
    <w:p>
      <w:pPr>
        <w:pStyle w:val="Heading1"/>
      </w:pPr>
      <w:r>
        <w:t xml:space="preserve">58. Erros</w:t>
      </w:r>
    </w:p>
    <w:p>
      <w:pPr>
        <w:pStyle w:val="FirstParagraph"/>
      </w:pPr>
      <w:r>
        <w:t xml:space="preserve">Os erros externos deverão ser normalizados.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Provider:</w:t>
      </w:r>
      <w:r>
        <w:br/>
      </w:r>
      <w:r>
        <w:rPr>
          <w:rStyle w:val="VerbatimChar"/>
        </w:rPr>
        <w:t xml:space="preserve">"card_declined"</w:t>
      </w:r>
      <w:r>
        <w:br/>
      </w:r>
      <w:r>
        <w:br/>
      </w:r>
      <w:r>
        <w:rPr>
          <w:rStyle w:val="VerbatimChar"/>
        </w:rPr>
        <w:t xml:space="preserve">MiniHub:</w:t>
      </w:r>
      <w:r>
        <w:br/>
      </w:r>
      <w:r>
        <w:rPr>
          <w:rStyle w:val="VerbatimChar"/>
        </w:rPr>
        <w:t xml:space="preserve">PAYMENT_DECLINED</w:t>
      </w:r>
    </w:p>
    <w:p>
      <w:pPr>
        <w:pStyle w:val="FirstParagraph"/>
      </w:pPr>
      <w:r>
        <w:t xml:space="preserve">Outro:</w:t>
      </w:r>
    </w:p>
    <w:p>
      <w:pPr>
        <w:pStyle w:val="SourceCode"/>
      </w:pPr>
      <w:r>
        <w:rPr>
          <w:rStyle w:val="VerbatimChar"/>
        </w:rPr>
        <w:t xml:space="preserve">Provider:</w:t>
      </w:r>
      <w:r>
        <w:br/>
      </w:r>
      <w:r>
        <w:rPr>
          <w:rStyle w:val="VerbatimChar"/>
        </w:rPr>
        <w:t xml:space="preserve">"rate_limit_exceeded"</w:t>
      </w:r>
      <w:r>
        <w:br/>
      </w:r>
      <w:r>
        <w:br/>
      </w:r>
      <w:r>
        <w:rPr>
          <w:rStyle w:val="VerbatimChar"/>
        </w:rPr>
        <w:t xml:space="preserve">MiniHub:</w:t>
      </w:r>
      <w:r>
        <w:br/>
      </w:r>
      <w:r>
        <w:rPr>
          <w:rStyle w:val="VerbatimChar"/>
        </w:rPr>
        <w:t xml:space="preserve">PROVIDER_RATE_LIMITED</w:t>
      </w:r>
    </w:p>
    <w:p>
      <w:pPr>
        <w:pStyle w:val="FirstParagraph"/>
      </w:pPr>
      <w:r>
        <w:t xml:space="preserve">Modelo:</w:t>
      </w:r>
    </w:p>
    <w:p>
      <w:pPr>
        <w:pStyle w:val="SourceCode"/>
      </w:pPr>
      <w:r>
        <w:rPr>
          <w:rStyle w:val="VerbatimChar"/>
        </w:rPr>
        <w:t xml:space="preserve">IntegrationError</w:t>
      </w:r>
    </w:p>
    <w:p>
      <w:pPr>
        <w:pStyle w:val="FirstParagraph"/>
      </w:pPr>
      <w:r>
        <w:t xml:space="preserve">com:</w:t>
      </w:r>
    </w:p>
    <w:p>
      <w:pPr>
        <w:pStyle w:val="SourceCode"/>
      </w:pPr>
      <w:r>
        <w:rPr>
          <w:rStyle w:val="VerbatimChar"/>
        </w:rPr>
        <w:t xml:space="preserve">provider</w:t>
      </w:r>
      <w:r>
        <w:br/>
      </w:r>
      <w:r>
        <w:rPr>
          <w:rStyle w:val="VerbatimChar"/>
        </w:rPr>
        <w:t xml:space="preserve">provider_error_code</w:t>
      </w:r>
      <w:r>
        <w:br/>
      </w:r>
      <w:r>
        <w:rPr>
          <w:rStyle w:val="VerbatimChar"/>
        </w:rPr>
        <w:t xml:space="preserve">normalized_error_code</w:t>
      </w:r>
      <w:r>
        <w:br/>
      </w:r>
      <w:r>
        <w:rPr>
          <w:rStyle w:val="VerbatimChar"/>
        </w:rPr>
        <w:t xml:space="preserve">message</w:t>
      </w:r>
      <w:r>
        <w:br/>
      </w:r>
      <w:r>
        <w:rPr>
          <w:rStyle w:val="VerbatimChar"/>
        </w:rPr>
        <w:t xml:space="preserve">retryable</w:t>
      </w:r>
      <w:r>
        <w:br/>
      </w:r>
      <w:r>
        <w:rPr>
          <w:rStyle w:val="VerbatimChar"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End w:id="71"/>
    <w:bookmarkStart w:id="72" w:name="dead-letter-queue"/>
    <w:p>
      <w:pPr>
        <w:pStyle w:val="Heading1"/>
      </w:pPr>
      <w:r>
        <w:t xml:space="preserve">59. Dead Letter Queue</w:t>
      </w:r>
    </w:p>
    <w:p>
      <w:pPr>
        <w:pStyle w:val="FirstParagraph"/>
      </w:pPr>
      <w:r>
        <w:t xml:space="preserve">Operações que não puderem ser processadas após todas as tentativas deverão ir para:</w:t>
      </w:r>
    </w:p>
    <w:p>
      <w:pPr>
        <w:pStyle w:val="SourceCode"/>
      </w:pPr>
      <w:r>
        <w:rPr>
          <w:rStyle w:val="VerbatimChar"/>
        </w:rPr>
        <w:t xml:space="preserve">DLQ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Webhook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Retry 1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Retry 2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Retry 3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DLQ</w:t>
      </w:r>
    </w:p>
    <w:p>
      <w:pPr>
        <w:pStyle w:val="FirstParagraph"/>
      </w:pPr>
      <w:r>
        <w:t xml:space="preserve">A operação deverá permanecer investigável.</w:t>
      </w:r>
    </w:p>
    <w:p>
      <w:pPr>
        <w:pStyle w:val="BodyText"/>
      </w:pPr>
      <w:r>
        <w:t xml:space="preserve">E23 será responsável pelo detalhamento da infraestrutura de workers e DLQ.</w:t>
      </w:r>
    </w:p>
    <w:p>
      <w:r>
        <w:pict>
          <v:rect style="width:0;height:1.5pt" o:hralign="center" o:hrstd="t" o:hr="t"/>
        </w:pict>
      </w:r>
    </w:p>
    <w:bookmarkEnd w:id="72"/>
    <w:bookmarkStart w:id="73" w:name="integração-com-e17"/>
    <w:p>
      <w:pPr>
        <w:pStyle w:val="Heading1"/>
      </w:pPr>
      <w:r>
        <w:t xml:space="preserve">60. Integração com E17</w:t>
      </w:r>
    </w:p>
    <w:p>
      <w:pPr>
        <w:pStyle w:val="FirstParagraph"/>
      </w:pPr>
      <w:r>
        <w:t xml:space="preserve">E17 controla:</w:t>
      </w:r>
    </w:p>
    <w:p>
      <w:pPr>
        <w:pStyle w:val="SourceCode"/>
      </w:pPr>
      <w:r>
        <w:rPr>
          <w:rStyle w:val="VerbatimChar"/>
        </w:rPr>
        <w:t xml:space="preserve">NOTIFICATION</w:t>
      </w:r>
    </w:p>
    <w:p>
      <w:pPr>
        <w:pStyle w:val="FirstParagraph"/>
      </w:pPr>
      <w:r>
        <w:t xml:space="preserve">E21 controla:</w:t>
      </w:r>
    </w:p>
    <w:p>
      <w:pPr>
        <w:pStyle w:val="SourceCode"/>
      </w:pPr>
      <w:r>
        <w:rPr>
          <w:rStyle w:val="VerbatimChar"/>
        </w:rPr>
        <w:t xml:space="preserve">EMAIL PROVIDER</w:t>
      </w:r>
      <w:r>
        <w:br/>
      </w:r>
      <w:r>
        <w:rPr>
          <w:rStyle w:val="VerbatimChar"/>
        </w:rPr>
        <w:t xml:space="preserve">WHATSAPP PROVIDER</w:t>
      </w:r>
      <w:r>
        <w:br/>
      </w:r>
      <w:r>
        <w:rPr>
          <w:rStyle w:val="VerbatimChar"/>
        </w:rPr>
        <w:t xml:space="preserve">SMS PROVIDER</w:t>
      </w:r>
      <w:r>
        <w:br/>
      </w:r>
      <w:r>
        <w:rPr>
          <w:rStyle w:val="VerbatimChar"/>
        </w:rPr>
        <w:t xml:space="preserve">PUSH PROVIDER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E17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EmailGateway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E21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Provider</w:t>
      </w:r>
    </w:p>
    <w:p>
      <w:r>
        <w:pict>
          <v:rect style="width:0;height:1.5pt" o:hralign="center" o:hrstd="t" o:hr="t"/>
        </w:pict>
      </w:r>
    </w:p>
    <w:bookmarkEnd w:id="73"/>
    <w:bookmarkStart w:id="74" w:name="integração-com-e15"/>
    <w:p>
      <w:pPr>
        <w:pStyle w:val="Heading1"/>
      </w:pPr>
      <w:r>
        <w:t xml:space="preserve">61. Integração com E15</w:t>
      </w:r>
    </w:p>
    <w:p>
      <w:pPr>
        <w:pStyle w:val="FirstParagraph"/>
      </w:pPr>
      <w:r>
        <w:t xml:space="preserve">E15 controla:</w:t>
      </w:r>
    </w:p>
    <w:p>
      <w:pPr>
        <w:pStyle w:val="SourceCode"/>
      </w:pP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TRACKING_EVENT</w:t>
      </w:r>
    </w:p>
    <w:p>
      <w:pPr>
        <w:pStyle w:val="FirstParagraph"/>
      </w:pPr>
      <w:r>
        <w:t xml:space="preserve">E21 controla:</w:t>
      </w:r>
    </w:p>
    <w:p>
      <w:pPr>
        <w:pStyle w:val="SourceCode"/>
      </w:pPr>
      <w:r>
        <w:rPr>
          <w:rStyle w:val="VerbatimChar"/>
        </w:rPr>
        <w:t xml:space="preserve">ShippingProvider</w:t>
      </w:r>
      <w:r>
        <w:br/>
      </w:r>
      <w:r>
        <w:rPr>
          <w:rStyle w:val="VerbatimChar"/>
        </w:rPr>
        <w:t xml:space="preserve">ShippingAdapter</w:t>
      </w:r>
    </w:p>
    <w:p>
      <w:pPr>
        <w:pStyle w:val="FirstParagraph"/>
      </w:pPr>
      <w:r>
        <w:t xml:space="preserve">Arquitetura:</w:t>
      </w:r>
    </w:p>
    <w:p>
      <w:pPr>
        <w:pStyle w:val="SourceCode"/>
      </w:pPr>
      <w:r>
        <w:rPr>
          <w:rStyle w:val="VerbatimChar"/>
        </w:rPr>
        <w:t xml:space="preserve">E15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ShippingGateway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E21 Adapter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Transportadora</w:t>
      </w:r>
    </w:p>
    <w:p>
      <w:r>
        <w:pict>
          <v:rect style="width:0;height:1.5pt" o:hralign="center" o:hrstd="t" o:hr="t"/>
        </w:pict>
      </w:r>
    </w:p>
    <w:bookmarkEnd w:id="74"/>
    <w:bookmarkStart w:id="75" w:name="integração-com-e12e13"/>
    <w:p>
      <w:pPr>
        <w:pStyle w:val="Heading1"/>
      </w:pPr>
      <w:r>
        <w:t xml:space="preserve">62. Integração com E12/E13</w:t>
      </w:r>
    </w:p>
    <w:p>
      <w:pPr>
        <w:pStyle w:val="FirstParagraph"/>
      </w:pPr>
      <w:r>
        <w:t xml:space="preserve">E12 controla:</w:t>
      </w:r>
    </w:p>
    <w:p>
      <w:pPr>
        <w:pStyle w:val="SourceCode"/>
      </w:pP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PAYMENT_TRANSACTION</w:t>
      </w:r>
      <w:r>
        <w:br/>
      </w:r>
      <w:r>
        <w:rPr>
          <w:rStyle w:val="VerbatimChar"/>
        </w:rPr>
        <w:t xml:space="preserve">REFUND</w:t>
      </w:r>
      <w:r>
        <w:br/>
      </w:r>
      <w:r>
        <w:rPr>
          <w:rStyle w:val="VerbatimChar"/>
        </w:rPr>
        <w:t xml:space="preserve">CHARGEBACK</w:t>
      </w:r>
    </w:p>
    <w:p>
      <w:pPr>
        <w:pStyle w:val="FirstParagraph"/>
      </w:pPr>
      <w:r>
        <w:t xml:space="preserve">E13 controla:</w:t>
      </w:r>
    </w:p>
    <w:p>
      <w:pPr>
        <w:pStyle w:val="SourceCode"/>
      </w:pPr>
      <w:r>
        <w:rPr>
          <w:rStyle w:val="VerbatimChar"/>
        </w:rPr>
        <w:t xml:space="preserve">LEDGER</w:t>
      </w:r>
      <w:r>
        <w:br/>
      </w:r>
      <w:r>
        <w:rPr>
          <w:rStyle w:val="VerbatimChar"/>
        </w:rPr>
        <w:t xml:space="preserve">FINANCIAL_TRANSACTION</w:t>
      </w:r>
      <w:r>
        <w:br/>
      </w:r>
      <w:r>
        <w:rPr>
          <w:rStyle w:val="VerbatimChar"/>
        </w:rPr>
        <w:t xml:space="preserve">SELLER_SETTLEMENT</w:t>
      </w:r>
    </w:p>
    <w:p>
      <w:pPr>
        <w:pStyle w:val="FirstParagraph"/>
      </w:pPr>
      <w:r>
        <w:t xml:space="preserve">E21 somente fornece comunicação com o provider.</w:t>
      </w:r>
    </w:p>
    <w:p>
      <w:pPr>
        <w:pStyle w:val="SourceCode"/>
      </w:pPr>
      <w:r>
        <w:rPr>
          <w:rStyle w:val="VerbatimChar"/>
        </w:rPr>
        <w:t xml:space="preserve">E12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PaymentGateway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Provider</w:t>
      </w:r>
    </w:p>
    <w:p>
      <w:pPr>
        <w:pStyle w:val="FirstParagraph"/>
      </w:pPr>
      <w:r>
        <w:t xml:space="preserve">E21 não poderá criar lançamentos contábeis/financeiros diretamente.</w:t>
      </w:r>
    </w:p>
    <w:p>
      <w:r>
        <w:pict>
          <v:rect style="width:0;height:1.5pt" o:hralign="center" o:hrstd="t" o:hr="t"/>
        </w:pict>
      </w:r>
    </w:p>
    <w:bookmarkEnd w:id="75"/>
    <w:bookmarkStart w:id="76" w:name="integração-com-e19"/>
    <w:p>
      <w:pPr>
        <w:pStyle w:val="Heading1"/>
      </w:pPr>
      <w:r>
        <w:t xml:space="preserve">63. Integração com E19</w:t>
      </w:r>
    </w:p>
    <w:p>
      <w:pPr>
        <w:pStyle w:val="FirstParagraph"/>
      </w:pPr>
      <w:r>
        <w:t xml:space="preserve">E19 utiliza links externos.</w:t>
      </w:r>
    </w:p>
    <w:p>
      <w:pPr>
        <w:pStyle w:val="BodyText"/>
      </w:pPr>
      <w:r>
        <w:t xml:space="preserve">Por segurança:</w:t>
      </w:r>
    </w:p>
    <w:p>
      <w:pPr>
        <w:pStyle w:val="SourceCode"/>
      </w:pPr>
      <w:r>
        <w:rPr>
          <w:rStyle w:val="VerbatimChar"/>
        </w:rPr>
        <w:t xml:space="preserve">EXTERNAL_DOMAIN</w:t>
      </w:r>
    </w:p>
    <w:p>
      <w:pPr>
        <w:pStyle w:val="FirstParagraph"/>
      </w:pPr>
      <w:r>
        <w:t xml:space="preserve">deverá controlar domínios permitidos.</w:t>
      </w:r>
    </w:p>
    <w:p>
      <w:pPr>
        <w:pStyle w:val="BodyText"/>
      </w:pPr>
      <w:r>
        <w:t xml:space="preserve">O MiniHub não deverá assumir responsabilidade operacional pelo sistema externo.</w:t>
      </w:r>
    </w:p>
    <w:p>
      <w:r>
        <w:pict>
          <v:rect style="width:0;height:1.5pt" o:hralign="center" o:hrstd="t" o:hr="t"/>
        </w:pict>
      </w:r>
    </w:p>
    <w:bookmarkEnd w:id="76"/>
    <w:bookmarkStart w:id="77" w:name="integração-com-e20"/>
    <w:p>
      <w:pPr>
        <w:pStyle w:val="Heading1"/>
      </w:pPr>
      <w:r>
        <w:t xml:space="preserve">64. Integração com E20</w:t>
      </w:r>
    </w:p>
    <w:p>
      <w:pPr>
        <w:pStyle w:val="FirstParagraph"/>
      </w:pPr>
      <w:r>
        <w:t xml:space="preserve">Community poderá utilizar serviços externos para:</w:t>
      </w:r>
    </w:p>
    <w:p>
      <w:pPr>
        <w:pStyle w:val="SourceCode"/>
      </w:pPr>
      <w:r>
        <w:rPr>
          <w:rStyle w:val="VerbatimChar"/>
        </w:rPr>
        <w:t xml:space="preserve">Object Storage</w:t>
      </w:r>
      <w:r>
        <w:br/>
      </w:r>
      <w:r>
        <w:rPr>
          <w:rStyle w:val="VerbatimChar"/>
        </w:rPr>
        <w:t xml:space="preserve">Image Processing</w:t>
      </w:r>
      <w:r>
        <w:br/>
      </w:r>
      <w:r>
        <w:rPr>
          <w:rStyle w:val="VerbatimChar"/>
        </w:rPr>
        <w:t xml:space="preserve">Moderation</w:t>
      </w:r>
      <w:r>
        <w:br/>
      </w:r>
      <w:r>
        <w:rPr>
          <w:rStyle w:val="VerbatimChar"/>
        </w:rPr>
        <w:t xml:space="preserve">Analytics</w:t>
      </w:r>
    </w:p>
    <w:p>
      <w:pPr>
        <w:pStyle w:val="FirstParagraph"/>
      </w:pPr>
      <w:r>
        <w:t xml:space="preserve">Mas:</w:t>
      </w:r>
    </w:p>
    <w:p>
      <w:pPr>
        <w:pStyle w:val="SourceCode"/>
      </w:pPr>
      <w:r>
        <w:rPr>
          <w:rStyle w:val="VerbatimChar"/>
        </w:rPr>
        <w:t xml:space="preserve">COMMUNITY_POST</w:t>
      </w:r>
    </w:p>
    <w:p>
      <w:pPr>
        <w:pStyle w:val="FirstParagraph"/>
      </w:pPr>
      <w:r>
        <w:t xml:space="preserve">continua sendo fonte de verdade do conteúdo do MiniHub.</w:t>
      </w:r>
    </w:p>
    <w:p>
      <w:r>
        <w:pict>
          <v:rect style="width:0;height:1.5pt" o:hralign="center" o:hrstd="t" o:hr="t"/>
        </w:pict>
      </w:r>
    </w:p>
    <w:bookmarkEnd w:id="77"/>
    <w:bookmarkStart w:id="78" w:name="events"/>
    <w:p>
      <w:pPr>
        <w:pStyle w:val="Heading1"/>
      </w:pPr>
      <w:r>
        <w:t xml:space="preserve">65. Events</w:t>
      </w:r>
    </w:p>
    <w:p>
      <w:pPr>
        <w:pStyle w:val="FirstParagraph"/>
      </w:pPr>
      <w:r>
        <w:t xml:space="preserve">Integrações deverão publicar eventos quando apropriado:</w:t>
      </w:r>
    </w:p>
    <w:p>
      <w:pPr>
        <w:pStyle w:val="SourceCode"/>
      </w:pPr>
      <w:r>
        <w:rPr>
          <w:rStyle w:val="VerbatimChar"/>
        </w:rPr>
        <w:t xml:space="preserve">IntegrationSucceeded</w:t>
      </w:r>
      <w:r>
        <w:br/>
      </w:r>
      <w:r>
        <w:rPr>
          <w:rStyle w:val="VerbatimChar"/>
        </w:rPr>
        <w:t xml:space="preserve">IntegrationFailed</w:t>
      </w:r>
      <w:r>
        <w:br/>
      </w:r>
      <w:r>
        <w:rPr>
          <w:rStyle w:val="VerbatimChar"/>
        </w:rPr>
        <w:t xml:space="preserve">WebhookReceived</w:t>
      </w:r>
      <w:r>
        <w:br/>
      </w:r>
      <w:r>
        <w:rPr>
          <w:rStyle w:val="VerbatimChar"/>
        </w:rPr>
        <w:t xml:space="preserve">WebhookProcessed</w:t>
      </w:r>
      <w:r>
        <w:br/>
      </w:r>
      <w:r>
        <w:rPr>
          <w:rStyle w:val="VerbatimChar"/>
        </w:rPr>
        <w:t xml:space="preserve">ProviderUnavailable</w:t>
      </w:r>
      <w:r>
        <w:br/>
      </w:r>
      <w:r>
        <w:rPr>
          <w:rStyle w:val="VerbatimChar"/>
        </w:rPr>
        <w:t xml:space="preserve">ProviderRecovered</w:t>
      </w:r>
      <w:r>
        <w:br/>
      </w:r>
      <w:r>
        <w:rPr>
          <w:rStyle w:val="VerbatimChar"/>
        </w:rPr>
        <w:t xml:space="preserve">IntegrationRetryScheduled</w:t>
      </w:r>
      <w:r>
        <w:br/>
      </w:r>
      <w:r>
        <w:rPr>
          <w:rStyle w:val="VerbatimChar"/>
        </w:rPr>
        <w:t xml:space="preserve">IntegrationMovedToDLQ</w:t>
      </w:r>
    </w:p>
    <w:p>
      <w:pPr>
        <w:pStyle w:val="FirstParagraph"/>
      </w:pPr>
      <w:r>
        <w:t xml:space="preserve">Esses eventos serão principalmente técnicos/operacionais.</w:t>
      </w:r>
    </w:p>
    <w:p>
      <w:pPr>
        <w:pStyle w:val="BodyText"/>
      </w:pPr>
      <w:r>
        <w:t xml:space="preserve">Eventos de negócio continuam pertencendo aos respectivos domínios.</w:t>
      </w:r>
    </w:p>
    <w:p>
      <w:r>
        <w:pict>
          <v:rect style="width:0;height:1.5pt" o:hralign="center" o:hrstd="t" o:hr="t"/>
        </w:pict>
      </w:r>
    </w:p>
    <w:bookmarkEnd w:id="78"/>
    <w:bookmarkStart w:id="79" w:name="não-confundir-eventos"/>
    <w:p>
      <w:pPr>
        <w:pStyle w:val="Heading1"/>
      </w:pPr>
      <w:r>
        <w:t xml:space="preserve">66. Não Confundir Eventos</w:t>
      </w:r>
    </w:p>
    <w:p>
      <w:pPr>
        <w:pStyle w:val="FirstParagraph"/>
      </w:pPr>
      <w:r>
        <w:t xml:space="preserve">Não fazer:</w:t>
      </w:r>
    </w:p>
    <w:p>
      <w:pPr>
        <w:pStyle w:val="SourceCode"/>
      </w:pPr>
      <w:r>
        <w:rPr>
          <w:rStyle w:val="VerbatimChar"/>
        </w:rPr>
        <w:t xml:space="preserve">IntegrationSucceeded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PaymentApproved</w:t>
      </w:r>
    </w:p>
    <w:p>
      <w:pPr>
        <w:pStyle w:val="FirstParagraph"/>
      </w:pPr>
      <w:r>
        <w:t xml:space="preserve">São conceitos diferentes.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IntegrationSucceeded</w:t>
      </w:r>
    </w:p>
    <w:p>
      <w:pPr>
        <w:pStyle w:val="FirstParagraph"/>
      </w:pPr>
      <w:r>
        <w:t xml:space="preserve">significa:</w:t>
      </w:r>
    </w:p>
    <w:p>
      <w:pPr>
        <w:pStyle w:val="BlockText"/>
      </w:pPr>
      <w:r>
        <w:t xml:space="preserve">A comunicação com o provider foi concluída com sucesso.</w:t>
      </w:r>
    </w:p>
    <w:p>
      <w:pPr>
        <w:pStyle w:val="FirstParagraph"/>
      </w:pPr>
      <w:r>
        <w:t xml:space="preserve">Enquanto:</w:t>
      </w:r>
    </w:p>
    <w:p>
      <w:pPr>
        <w:pStyle w:val="SourceCode"/>
      </w:pPr>
      <w:r>
        <w:rPr>
          <w:rStyle w:val="VerbatimChar"/>
        </w:rPr>
        <w:t xml:space="preserve">PaymentApproved</w:t>
      </w:r>
    </w:p>
    <w:p>
      <w:pPr>
        <w:pStyle w:val="FirstParagraph"/>
      </w:pPr>
      <w:r>
        <w:t xml:space="preserve">significa:</w:t>
      </w:r>
    </w:p>
    <w:p>
      <w:pPr>
        <w:pStyle w:val="BlockText"/>
      </w:pPr>
      <w:r>
        <w:t xml:space="preserve">O pagamento foi aprovado segundo as regras do domínio financeiro/pagamentos.</w:t>
      </w:r>
    </w:p>
    <w:p>
      <w:r>
        <w:pict>
          <v:rect style="width:0;height:1.5pt" o:hralign="center" o:hrstd="t" o:hr="t"/>
        </w:pict>
      </w:r>
    </w:p>
    <w:bookmarkEnd w:id="79"/>
    <w:bookmarkStart w:id="80" w:name="estrutura-recomendada-no-código"/>
    <w:p>
      <w:pPr>
        <w:pStyle w:val="Heading1"/>
      </w:pPr>
      <w:r>
        <w:t xml:space="preserve">67. Estrutura Recomendada no Código</w:t>
      </w:r>
    </w:p>
    <w:p>
      <w:pPr>
        <w:pStyle w:val="FirstParagraph"/>
      </w:pPr>
      <w:r>
        <w:t xml:space="preserve">Estrutura conceitual: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 ├── modules/</w:t>
      </w:r>
      <w:r>
        <w:br/>
      </w:r>
      <w:r>
        <w:rPr>
          <w:rStyle w:val="VerbatimChar"/>
        </w:rPr>
        <w:t xml:space="preserve"> │    ├── payments/</w:t>
      </w:r>
      <w:r>
        <w:br/>
      </w:r>
      <w:r>
        <w:rPr>
          <w:rStyle w:val="VerbatimChar"/>
        </w:rPr>
        <w:t xml:space="preserve"> │    ├── shipping/</w:t>
      </w:r>
      <w:r>
        <w:br/>
      </w:r>
      <w:r>
        <w:rPr>
          <w:rStyle w:val="VerbatimChar"/>
        </w:rPr>
        <w:t xml:space="preserve"> │    ├── notifications/</w:t>
      </w:r>
      <w:r>
        <w:br/>
      </w:r>
      <w:r>
        <w:rPr>
          <w:rStyle w:val="VerbatimChar"/>
        </w:rPr>
        <w:t xml:space="preserve"> │    ├── community/</w:t>
      </w:r>
      <w:r>
        <w:br/>
      </w:r>
      <w:r>
        <w:rPr>
          <w:rStyle w:val="VerbatimChar"/>
        </w:rPr>
        <w:t xml:space="preserve"> │    └── ...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integrations/</w:t>
      </w:r>
      <w:r>
        <w:br/>
      </w:r>
      <w:r>
        <w:rPr>
          <w:rStyle w:val="VerbatimChar"/>
        </w:rPr>
        <w:t xml:space="preserve"> │    ├── payments/</w:t>
      </w:r>
      <w:r>
        <w:br/>
      </w:r>
      <w:r>
        <w:rPr>
          <w:rStyle w:val="VerbatimChar"/>
        </w:rPr>
        <w:t xml:space="preserve"> │    │    ├── ports/</w:t>
      </w:r>
      <w:r>
        <w:br/>
      </w:r>
      <w:r>
        <w:rPr>
          <w:rStyle w:val="VerbatimChar"/>
        </w:rPr>
        <w:t xml:space="preserve"> │    │    └── adapters/</w:t>
      </w:r>
      <w:r>
        <w:br/>
      </w:r>
      <w:r>
        <w:rPr>
          <w:rStyle w:val="VerbatimChar"/>
        </w:rPr>
        <w:t xml:space="preserve"> │    │</w:t>
      </w:r>
      <w:r>
        <w:br/>
      </w:r>
      <w:r>
        <w:rPr>
          <w:rStyle w:val="VerbatimChar"/>
        </w:rPr>
        <w:t xml:space="preserve"> │    ├── shipping/</w:t>
      </w:r>
      <w:r>
        <w:br/>
      </w:r>
      <w:r>
        <w:rPr>
          <w:rStyle w:val="VerbatimChar"/>
        </w:rPr>
        <w:t xml:space="preserve"> │    │    ├── ports/</w:t>
      </w:r>
      <w:r>
        <w:br/>
      </w:r>
      <w:r>
        <w:rPr>
          <w:rStyle w:val="VerbatimChar"/>
        </w:rPr>
        <w:t xml:space="preserve"> │    │    └── adapters/</w:t>
      </w:r>
      <w:r>
        <w:br/>
      </w:r>
      <w:r>
        <w:rPr>
          <w:rStyle w:val="VerbatimChar"/>
        </w:rPr>
        <w:t xml:space="preserve"> │    │</w:t>
      </w:r>
      <w:r>
        <w:br/>
      </w:r>
      <w:r>
        <w:rPr>
          <w:rStyle w:val="VerbatimChar"/>
        </w:rPr>
        <w:t xml:space="preserve"> │    ├── email/</w:t>
      </w:r>
      <w:r>
        <w:br/>
      </w:r>
      <w:r>
        <w:rPr>
          <w:rStyle w:val="VerbatimChar"/>
        </w:rPr>
        <w:t xml:space="preserve"> │    ├── address/</w:t>
      </w:r>
      <w:r>
        <w:br/>
      </w:r>
      <w:r>
        <w:rPr>
          <w:rStyle w:val="VerbatimChar"/>
        </w:rPr>
        <w:t xml:space="preserve"> │    ├── ibge/</w:t>
      </w:r>
      <w:r>
        <w:br/>
      </w:r>
      <w:r>
        <w:rPr>
          <w:rStyle w:val="VerbatimChar"/>
        </w:rPr>
        <w:t xml:space="preserve"> │    ├── storage/</w:t>
      </w:r>
      <w:r>
        <w:br/>
      </w:r>
      <w:r>
        <w:rPr>
          <w:rStyle w:val="VerbatimChar"/>
        </w:rPr>
        <w:t xml:space="preserve"> │    └── identity/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└── infrastructure/</w:t>
      </w:r>
      <w:r>
        <w:br/>
      </w:r>
      <w:r>
        <w:rPr>
          <w:rStyle w:val="VerbatimChar"/>
        </w:rPr>
        <w:t xml:space="preserve">      ├── http/</w:t>
      </w:r>
      <w:r>
        <w:br/>
      </w:r>
      <w:r>
        <w:rPr>
          <w:rStyle w:val="VerbatimChar"/>
        </w:rPr>
        <w:t xml:space="preserve">      ├── queue/</w:t>
      </w:r>
      <w:r>
        <w:br/>
      </w:r>
      <w:r>
        <w:rPr>
          <w:rStyle w:val="VerbatimChar"/>
        </w:rPr>
        <w:t xml:space="preserve">      ├── database/</w:t>
      </w:r>
      <w:r>
        <w:br/>
      </w:r>
      <w:r>
        <w:rPr>
          <w:rStyle w:val="VerbatimChar"/>
        </w:rPr>
        <w:t xml:space="preserve">      └── secrets/</w:t>
      </w:r>
    </w:p>
    <w:p>
      <w:r>
        <w:pict>
          <v:rect style="width:0;height:1.5pt" o:hralign="center" o:hrstd="t" o:hr="t"/>
        </w:pict>
      </w:r>
    </w:p>
    <w:bookmarkEnd w:id="80"/>
    <w:bookmarkStart w:id="86" w:name="testes"/>
    <w:p>
      <w:pPr>
        <w:pStyle w:val="Heading1"/>
      </w:pPr>
      <w:r>
        <w:t xml:space="preserve">68. Testes</w:t>
      </w:r>
    </w:p>
    <w:p>
      <w:pPr>
        <w:pStyle w:val="FirstParagraph"/>
      </w:pPr>
      <w:r>
        <w:t xml:space="preserve">Toda integração deverá possuir:</w:t>
      </w:r>
    </w:p>
    <w:bookmarkStart w:id="81" w:name="unitários"/>
    <w:p>
      <w:pPr>
        <w:pStyle w:val="Heading3"/>
      </w:pPr>
      <w:r>
        <w:t xml:space="preserve">Unitários</w:t>
      </w:r>
    </w:p>
    <w:p>
      <w:pPr>
        <w:pStyle w:val="FirstParagraph"/>
      </w:pPr>
      <w:r>
        <w:t xml:space="preserve">Testar:</w:t>
      </w:r>
    </w:p>
    <w:p>
      <w:pPr>
        <w:pStyle w:val="SourceCode"/>
      </w:pPr>
      <w:r>
        <w:rPr>
          <w:rStyle w:val="VerbatimChar"/>
        </w:rPr>
        <w:t xml:space="preserve">mapping</w:t>
      </w:r>
      <w:r>
        <w:br/>
      </w:r>
      <w:r>
        <w:rPr>
          <w:rStyle w:val="VerbatimChar"/>
        </w:rPr>
        <w:t xml:space="preserve">normalização</w:t>
      </w:r>
      <w:r>
        <w:br/>
      </w:r>
      <w:r>
        <w:rPr>
          <w:rStyle w:val="VerbatimChar"/>
        </w:rPr>
        <w:t xml:space="preserve">erro</w:t>
      </w:r>
      <w:r>
        <w:br/>
      </w:r>
      <w:r>
        <w:rPr>
          <w:rStyle w:val="VerbatimChar"/>
        </w:rPr>
        <w:t xml:space="preserve">status</w:t>
      </w:r>
    </w:p>
    <w:bookmarkEnd w:id="81"/>
    <w:bookmarkStart w:id="82" w:name="contract-tests"/>
    <w:p>
      <w:pPr>
        <w:pStyle w:val="Heading3"/>
      </w:pPr>
      <w:r>
        <w:t xml:space="preserve">Contract Tests</w:t>
      </w:r>
    </w:p>
    <w:p>
      <w:pPr>
        <w:pStyle w:val="FirstParagraph"/>
      </w:pPr>
      <w:r>
        <w:t xml:space="preserve">Validar:</w:t>
      </w:r>
    </w:p>
    <w:p>
      <w:pPr>
        <w:pStyle w:val="SourceCode"/>
      </w:pPr>
      <w:r>
        <w:rPr>
          <w:rStyle w:val="VerbatimChar"/>
        </w:rPr>
        <w:t xml:space="preserve">MiniHub ↔ Adapter</w:t>
      </w:r>
    </w:p>
    <w:bookmarkEnd w:id="82"/>
    <w:bookmarkStart w:id="83" w:name="integration-tests"/>
    <w:p>
      <w:pPr>
        <w:pStyle w:val="Heading3"/>
      </w:pPr>
      <w:r>
        <w:t xml:space="preserve">Integration Tests</w:t>
      </w:r>
    </w:p>
    <w:p>
      <w:pPr>
        <w:pStyle w:val="FirstParagraph"/>
      </w:pPr>
      <w:r>
        <w:t xml:space="preserve">Validar:</w:t>
      </w:r>
    </w:p>
    <w:p>
      <w:pPr>
        <w:pStyle w:val="SourceCode"/>
      </w:pPr>
      <w:r>
        <w:rPr>
          <w:rStyle w:val="VerbatimChar"/>
        </w:rPr>
        <w:t xml:space="preserve">Adapter ↔ Provider Sandbox</w:t>
      </w:r>
    </w:p>
    <w:bookmarkEnd w:id="83"/>
    <w:bookmarkStart w:id="84" w:name="webhook-tests"/>
    <w:p>
      <w:pPr>
        <w:pStyle w:val="Heading3"/>
      </w:pPr>
      <w:r>
        <w:t xml:space="preserve">Webhook Tests</w:t>
      </w:r>
    </w:p>
    <w:p>
      <w:pPr>
        <w:pStyle w:val="FirstParagraph"/>
      </w:pPr>
      <w:r>
        <w:t xml:space="preserve">Validar:</w:t>
      </w:r>
    </w:p>
    <w:p>
      <w:pPr>
        <w:pStyle w:val="SourceCode"/>
      </w:pPr>
      <w:r>
        <w:rPr>
          <w:rStyle w:val="VerbatimChar"/>
        </w:rPr>
        <w:t xml:space="preserve">signature</w:t>
      </w:r>
      <w:r>
        <w:br/>
      </w:r>
      <w:r>
        <w:rPr>
          <w:rStyle w:val="VerbatimChar"/>
        </w:rPr>
        <w:t xml:space="preserve">idempotency</w:t>
      </w:r>
      <w:r>
        <w:br/>
      </w:r>
      <w:r>
        <w:rPr>
          <w:rStyle w:val="VerbatimChar"/>
        </w:rPr>
        <w:t xml:space="preserve">duplicate</w:t>
      </w:r>
      <w:r>
        <w:br/>
      </w:r>
      <w:r>
        <w:rPr>
          <w:rStyle w:val="VerbatimChar"/>
        </w:rPr>
        <w:t xml:space="preserve">invalid payload</w:t>
      </w:r>
      <w:r>
        <w:br/>
      </w:r>
      <w:r>
        <w:rPr>
          <w:rStyle w:val="VerbatimChar"/>
        </w:rPr>
        <w:t xml:space="preserve">out-of-order</w:t>
      </w:r>
    </w:p>
    <w:bookmarkEnd w:id="84"/>
    <w:bookmarkStart w:id="85" w:name="resilience-tests"/>
    <w:p>
      <w:pPr>
        <w:pStyle w:val="Heading3"/>
      </w:pPr>
      <w:r>
        <w:t xml:space="preserve">Resilience Tests</w:t>
      </w:r>
    </w:p>
    <w:p>
      <w:pPr>
        <w:pStyle w:val="FirstParagraph"/>
      </w:pPr>
      <w:r>
        <w:t xml:space="preserve">Validar:</w:t>
      </w:r>
    </w:p>
    <w:p>
      <w:pPr>
        <w:pStyle w:val="SourceCode"/>
      </w:pPr>
      <w:r>
        <w:rPr>
          <w:rStyle w:val="VerbatimChar"/>
        </w:rPr>
        <w:t xml:space="preserve">timeout</w:t>
      </w:r>
      <w:r>
        <w:br/>
      </w:r>
      <w:r>
        <w:rPr>
          <w:rStyle w:val="VerbatimChar"/>
        </w:rPr>
        <w:t xml:space="preserve">429</w:t>
      </w:r>
      <w:r>
        <w:br/>
      </w:r>
      <w:r>
        <w:rPr>
          <w:rStyle w:val="VerbatimChar"/>
        </w:rPr>
        <w:t xml:space="preserve">500</w:t>
      </w:r>
      <w:r>
        <w:br/>
      </w:r>
      <w:r>
        <w:rPr>
          <w:rStyle w:val="VerbatimChar"/>
        </w:rPr>
        <w:t xml:space="preserve">503</w:t>
      </w:r>
      <w:r>
        <w:br/>
      </w:r>
      <w:r>
        <w:rPr>
          <w:rStyle w:val="VerbatimChar"/>
        </w:rPr>
        <w:t xml:space="preserve">network failure</w:t>
      </w:r>
      <w:r>
        <w:br/>
      </w:r>
      <w:r>
        <w:rPr>
          <w:rStyle w:val="VerbatimChar"/>
        </w:rPr>
        <w:t xml:space="preserve">provider unavailable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sandbox"/>
    <w:p>
      <w:pPr>
        <w:pStyle w:val="Heading1"/>
      </w:pPr>
      <w:r>
        <w:t xml:space="preserve">69. Sandbox</w:t>
      </w:r>
    </w:p>
    <w:p>
      <w:pPr>
        <w:pStyle w:val="FirstParagraph"/>
      </w:pPr>
      <w:r>
        <w:t xml:space="preserve">Sempre que o fornecedor possuir ambiente de testes, deverá ser utilizado.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Development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Sandbox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Staging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Production</w:t>
      </w:r>
    </w:p>
    <w:p>
      <w:pPr>
        <w:pStyle w:val="FirstParagraph"/>
      </w:pPr>
      <w:r>
        <w:t xml:space="preserve">Nunca utilizar credenciais reais para testes.</w:t>
      </w:r>
    </w:p>
    <w:p>
      <w:r>
        <w:pict>
          <v:rect style="width:0;height:1.5pt" o:hralign="center" o:hrstd="t" o:hr="t"/>
        </w:pict>
      </w:r>
    </w:p>
    <w:bookmarkEnd w:id="87"/>
    <w:bookmarkStart w:id="88" w:name="mock-fake-providers"/>
    <w:p>
      <w:pPr>
        <w:pStyle w:val="Heading1"/>
      </w:pPr>
      <w:r>
        <w:t xml:space="preserve">70. Mock / Fake Providers</w:t>
      </w:r>
    </w:p>
    <w:p>
      <w:pPr>
        <w:pStyle w:val="FirstParagraph"/>
      </w:pPr>
      <w:r>
        <w:t xml:space="preserve">Para desenvolvimento local:</w:t>
      </w:r>
    </w:p>
    <w:p>
      <w:pPr>
        <w:pStyle w:val="SourceCode"/>
      </w:pPr>
      <w:r>
        <w:rPr>
          <w:rStyle w:val="VerbatimChar"/>
        </w:rPr>
        <w:t xml:space="preserve">FakePaymentGateway</w:t>
      </w:r>
      <w:r>
        <w:br/>
      </w:r>
      <w:r>
        <w:rPr>
          <w:rStyle w:val="VerbatimChar"/>
        </w:rPr>
        <w:t xml:space="preserve">FakeShippingGateway</w:t>
      </w:r>
      <w:r>
        <w:br/>
      </w:r>
      <w:r>
        <w:rPr>
          <w:rStyle w:val="VerbatimChar"/>
        </w:rPr>
        <w:t xml:space="preserve">FakeEmailGateway</w:t>
      </w:r>
    </w:p>
    <w:p>
      <w:pPr>
        <w:pStyle w:val="FirstParagraph"/>
      </w:pPr>
      <w:r>
        <w:t xml:space="preserve">permitirão testes sem dependência externa.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PaymentApplicationService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PaymentGateway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FakePaymentGateway</w:t>
      </w:r>
    </w:p>
    <w:p>
      <w:pPr>
        <w:pStyle w:val="FirstParagraph"/>
      </w:pPr>
      <w:r>
        <w:t xml:space="preserve">Isso permite testar o domínio sem acessar Mercado Pago.</w:t>
      </w:r>
    </w:p>
    <w:p>
      <w:r>
        <w:pict>
          <v:rect style="width:0;height:1.5pt" o:hralign="center" o:hrstd="t" o:hr="t"/>
        </w:pict>
      </w:r>
    </w:p>
    <w:bookmarkEnd w:id="88"/>
    <w:bookmarkStart w:id="89" w:name="feature-flags"/>
    <w:p>
      <w:pPr>
        <w:pStyle w:val="Heading1"/>
      </w:pPr>
      <w:r>
        <w:t xml:space="preserve">71. Feature Flags</w:t>
      </w:r>
    </w:p>
    <w:p>
      <w:pPr>
        <w:pStyle w:val="FirstParagraph"/>
      </w:pPr>
      <w:r>
        <w:t xml:space="preserve">Integrações poderão ser habilitadas por feature flag.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PAYMENT_MERCADOPAGO_ENABLED</w:t>
      </w:r>
      <w:r>
        <w:br/>
      </w:r>
      <w:r>
        <w:rPr>
          <w:rStyle w:val="VerbatimChar"/>
        </w:rPr>
        <w:t xml:space="preserve">SHIPPING_PROVIDER_X_ENABLED</w:t>
      </w:r>
      <w:r>
        <w:br/>
      </w:r>
      <w:r>
        <w:rPr>
          <w:rStyle w:val="VerbatimChar"/>
        </w:rPr>
        <w:t xml:space="preserve">WHATSAPP_ENABLED</w:t>
      </w:r>
    </w:p>
    <w:p>
      <w:pPr>
        <w:pStyle w:val="FirstParagraph"/>
      </w:pPr>
      <w:r>
        <w:t xml:space="preserve">Isso permitirá ativar/desativar funcionalidades sem alterar código.</w:t>
      </w:r>
    </w:p>
    <w:p>
      <w:r>
        <w:pict>
          <v:rect style="width:0;height:1.5pt" o:hralign="center" o:hrstd="t" o:hr="t"/>
        </w:pict>
      </w:r>
    </w:p>
    <w:bookmarkEnd w:id="89"/>
    <w:bookmarkStart w:id="90" w:name="failover"/>
    <w:p>
      <w:pPr>
        <w:pStyle w:val="Heading1"/>
      </w:pPr>
      <w:r>
        <w:t xml:space="preserve">72. Failover</w:t>
      </w:r>
    </w:p>
    <w:p>
      <w:pPr>
        <w:pStyle w:val="FirstParagraph"/>
      </w:pPr>
      <w:r>
        <w:t xml:space="preserve">Quando houver múltiplos providers equivalentes, poderá existir:</w:t>
      </w:r>
    </w:p>
    <w:p>
      <w:pPr>
        <w:pStyle w:val="SourceCode"/>
      </w:pPr>
      <w:r>
        <w:rPr>
          <w:rStyle w:val="VerbatimChar"/>
        </w:rPr>
        <w:t xml:space="preserve">Primary</w:t>
      </w:r>
      <w:r>
        <w:br/>
      </w:r>
      <w:r>
        <w:rPr>
          <w:rStyle w:val="VerbatimChar"/>
        </w:rPr>
        <w:t xml:space="preserve">Secondary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Shipping Provider A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  falhou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Shipping Provider B</w:t>
      </w:r>
    </w:p>
    <w:p>
      <w:pPr>
        <w:pStyle w:val="FirstParagraph"/>
      </w:pPr>
      <w:r>
        <w:t xml:space="preserve">Failover financeiro deverá ser tratado com extremo cuidado para evitar duplicidade de cobrança.</w:t>
      </w:r>
    </w:p>
    <w:p>
      <w:pPr>
        <w:pStyle w:val="BodyText"/>
      </w:pPr>
      <w:r>
        <w:t xml:space="preserve">Não utilizar failover automático de pagamento sem idempotência e regras específicas.</w:t>
      </w:r>
    </w:p>
    <w:p>
      <w:r>
        <w:pict>
          <v:rect style="width:0;height:1.5pt" o:hralign="center" o:hrstd="t" o:hr="t"/>
        </w:pict>
      </w:r>
    </w:p>
    <w:bookmarkEnd w:id="90"/>
    <w:bookmarkStart w:id="91" w:name="vendor-lock-in"/>
    <w:p>
      <w:pPr>
        <w:pStyle w:val="Heading1"/>
      </w:pPr>
      <w:r>
        <w:t xml:space="preserve">73. Vendor Lock-in</w:t>
      </w:r>
    </w:p>
    <w:p>
      <w:pPr>
        <w:pStyle w:val="FirstParagraph"/>
      </w:pPr>
      <w:r>
        <w:t xml:space="preserve">A arquitetura de adapters existe também para reduzir dependência excessiva de um fornecedor.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PaymentGateway</w:t>
      </w:r>
      <w:r>
        <w:br/>
      </w:r>
      <w:r>
        <w:rPr>
          <w:rStyle w:val="VerbatimChar"/>
        </w:rPr>
        <w:t xml:space="preserve"> ├── MercadoPago</w:t>
      </w:r>
      <w:r>
        <w:br/>
      </w:r>
      <w:r>
        <w:rPr>
          <w:rStyle w:val="VerbatimChar"/>
        </w:rPr>
        <w:t xml:space="preserve"> ├── Pagarme</w:t>
      </w:r>
      <w:r>
        <w:br/>
      </w:r>
      <w:r>
        <w:rPr>
          <w:rStyle w:val="VerbatimChar"/>
        </w:rPr>
        <w:t xml:space="preserve"> └── Stripe</w:t>
      </w:r>
    </w:p>
    <w:p>
      <w:pPr>
        <w:pStyle w:val="FirstParagraph"/>
      </w:pPr>
      <w:r>
        <w:t xml:space="preserve">O domínio permanece:</w:t>
      </w:r>
    </w:p>
    <w:p>
      <w:pPr>
        <w:pStyle w:val="SourceCode"/>
      </w:pPr>
      <w:r>
        <w:rPr>
          <w:rStyle w:val="VerbatimChar"/>
        </w:rPr>
        <w:t xml:space="preserve">Payment</w:t>
      </w:r>
    </w:p>
    <w:p>
      <w:pPr>
        <w:pStyle w:val="FirstParagraph"/>
      </w:pPr>
      <w:r>
        <w:t xml:space="preserve">independente do fornecedor.</w:t>
      </w:r>
    </w:p>
    <w:p>
      <w:r>
        <w:pict>
          <v:rect style="width:0;height:1.5pt" o:hralign="center" o:hrstd="t" o:hr="t"/>
        </w:pict>
      </w:r>
    </w:p>
    <w:bookmarkEnd w:id="91"/>
    <w:bookmarkStart w:id="92" w:name="lgpd"/>
    <w:p>
      <w:pPr>
        <w:pStyle w:val="Heading1"/>
      </w:pPr>
      <w:r>
        <w:t xml:space="preserve">74. LGPD</w:t>
      </w:r>
    </w:p>
    <w:p>
      <w:pPr>
        <w:pStyle w:val="FirstParagraph"/>
      </w:pPr>
      <w:r>
        <w:t xml:space="preserve">Integrações externas poderão receber dados pessoais.</w:t>
      </w:r>
    </w:p>
    <w:p>
      <w:pPr>
        <w:pStyle w:val="BodyText"/>
      </w:pPr>
      <w:r>
        <w:t xml:space="preserve">Antes de enviar dados, deverá ser avaliado:</w:t>
      </w:r>
    </w:p>
    <w:p>
      <w:pPr>
        <w:pStyle w:val="Compact"/>
        <w:numPr>
          <w:ilvl w:val="0"/>
          <w:numId w:val="1008"/>
        </w:numPr>
      </w:pPr>
      <w:r>
        <w:t xml:space="preserve">finalidade;</w:t>
      </w:r>
    </w:p>
    <w:p>
      <w:pPr>
        <w:pStyle w:val="Compact"/>
        <w:numPr>
          <w:ilvl w:val="0"/>
          <w:numId w:val="1008"/>
        </w:numPr>
      </w:pPr>
      <w:r>
        <w:t xml:space="preserve">necessidade;</w:t>
      </w:r>
    </w:p>
    <w:p>
      <w:pPr>
        <w:pStyle w:val="Compact"/>
        <w:numPr>
          <w:ilvl w:val="0"/>
          <w:numId w:val="1008"/>
        </w:numPr>
      </w:pPr>
      <w:r>
        <w:t xml:space="preserve">minimização;</w:t>
      </w:r>
    </w:p>
    <w:p>
      <w:pPr>
        <w:pStyle w:val="Compact"/>
        <w:numPr>
          <w:ilvl w:val="0"/>
          <w:numId w:val="1008"/>
        </w:numPr>
      </w:pPr>
      <w:r>
        <w:t xml:space="preserve">base legal aplicável;</w:t>
      </w:r>
    </w:p>
    <w:p>
      <w:pPr>
        <w:pStyle w:val="Compact"/>
        <w:numPr>
          <w:ilvl w:val="0"/>
          <w:numId w:val="1008"/>
        </w:numPr>
      </w:pPr>
      <w:r>
        <w:t xml:space="preserve">retenção;</w:t>
      </w:r>
    </w:p>
    <w:p>
      <w:pPr>
        <w:pStyle w:val="Compact"/>
        <w:numPr>
          <w:ilvl w:val="0"/>
          <w:numId w:val="1008"/>
        </w:numPr>
      </w:pPr>
      <w:r>
        <w:t xml:space="preserve">segurança;</w:t>
      </w:r>
    </w:p>
    <w:p>
      <w:pPr>
        <w:pStyle w:val="Compact"/>
        <w:numPr>
          <w:ilvl w:val="0"/>
          <w:numId w:val="1008"/>
        </w:numPr>
      </w:pPr>
      <w:r>
        <w:t xml:space="preserve">fornecedor;</w:t>
      </w:r>
    </w:p>
    <w:p>
      <w:pPr>
        <w:pStyle w:val="Compact"/>
        <w:numPr>
          <w:ilvl w:val="0"/>
          <w:numId w:val="1008"/>
        </w:numPr>
      </w:pPr>
      <w:r>
        <w:t xml:space="preserve">localização dos dados;</w:t>
      </w:r>
    </w:p>
    <w:p>
      <w:pPr>
        <w:pStyle w:val="Compact"/>
        <w:numPr>
          <w:ilvl w:val="0"/>
          <w:numId w:val="1008"/>
        </w:numPr>
      </w:pPr>
      <w:r>
        <w:t xml:space="preserve">contrato/DPA quando aplicável.</w:t>
      </w:r>
    </w:p>
    <w:p>
      <w:pPr>
        <w:pStyle w:val="FirstParagraph"/>
      </w:pPr>
      <w:r>
        <w:t xml:space="preserve">Não enviar dados que o provider não necessita.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CEP Provider</w:t>
      </w:r>
    </w:p>
    <w:p>
      <w:pPr>
        <w:pStyle w:val="FirstParagraph"/>
      </w:pPr>
      <w:r>
        <w:t xml:space="preserve">não precisa receber:</w:t>
      </w:r>
    </w:p>
    <w:p>
      <w:pPr>
        <w:pStyle w:val="SourceCode"/>
      </w:pPr>
      <w:r>
        <w:rPr>
          <w:rStyle w:val="VerbatimChar"/>
        </w:rPr>
        <w:t xml:space="preserve">nome completo</w:t>
      </w:r>
      <w:r>
        <w:br/>
      </w:r>
      <w:r>
        <w:rPr>
          <w:rStyle w:val="VerbatimChar"/>
        </w:rPr>
        <w:t xml:space="preserve">CPF</w:t>
      </w:r>
      <w:r>
        <w:br/>
      </w:r>
      <w:r>
        <w:rPr>
          <w:rStyle w:val="VerbatimChar"/>
        </w:rPr>
        <w:t xml:space="preserve">telefone</w:t>
      </w:r>
      <w:r>
        <w:br/>
      </w:r>
      <w:r>
        <w:rPr>
          <w:rStyle w:val="VerbatimChar"/>
        </w:rPr>
        <w:t xml:space="preserve">e-mail</w:t>
      </w:r>
    </w:p>
    <w:p>
      <w:pPr>
        <w:pStyle w:val="FirstParagraph"/>
      </w:pPr>
      <w:r>
        <w:t xml:space="preserve">para uma simples consulta de CEP.</w:t>
      </w:r>
    </w:p>
    <w:p>
      <w:r>
        <w:pict>
          <v:rect style="width:0;height:1.5pt" o:hralign="center" o:hrstd="t" o:hr="t"/>
        </w:pict>
      </w:r>
    </w:p>
    <w:bookmarkEnd w:id="92"/>
    <w:bookmarkStart w:id="93" w:name="data-minimization"/>
    <w:p>
      <w:pPr>
        <w:pStyle w:val="Heading1"/>
      </w:pPr>
      <w:r>
        <w:t xml:space="preserve">75. Data Minimization</w:t>
      </w:r>
    </w:p>
    <w:p>
      <w:pPr>
        <w:pStyle w:val="FirstParagraph"/>
      </w:pPr>
      <w:r>
        <w:t xml:space="preserve">Cada adapter deverá enviar somente os campos necessários.</w:t>
      </w:r>
    </w:p>
    <w:p>
      <w:pPr>
        <w:pStyle w:val="SourceCode"/>
      </w:pPr>
      <w:r>
        <w:rPr>
          <w:rStyle w:val="VerbatimChar"/>
        </w:rPr>
        <w:t xml:space="preserve">MiniHub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DTO externo mínimo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Provider</w:t>
      </w:r>
    </w:p>
    <w:p>
      <w:pPr>
        <w:pStyle w:val="FirstParagraph"/>
      </w:pPr>
      <w:r>
        <w:t xml:space="preserve">Não enviar a entidade inteira do domínio.</w:t>
      </w:r>
    </w:p>
    <w:p>
      <w:r>
        <w:pict>
          <v:rect style="width:0;height:1.5pt" o:hralign="center" o:hrstd="t" o:hr="t"/>
        </w:pict>
      </w:r>
    </w:p>
    <w:bookmarkEnd w:id="93"/>
    <w:bookmarkStart w:id="94" w:name="auditoria"/>
    <w:p>
      <w:pPr>
        <w:pStyle w:val="Heading1"/>
      </w:pPr>
      <w:r>
        <w:t xml:space="preserve">76. Auditoria</w:t>
      </w:r>
    </w:p>
    <w:p>
      <w:pPr>
        <w:pStyle w:val="FirstParagraph"/>
      </w:pPr>
      <w:r>
        <w:t xml:space="preserve">Operações sensíveis deverão ser auditáveis:</w:t>
      </w:r>
    </w:p>
    <w:p>
      <w:pPr>
        <w:pStyle w:val="SourceCode"/>
      </w:pPr>
      <w:r>
        <w:rPr>
          <w:rStyle w:val="VerbatimChar"/>
        </w:rPr>
        <w:t xml:space="preserve">credential created</w:t>
      </w:r>
      <w:r>
        <w:br/>
      </w:r>
      <w:r>
        <w:rPr>
          <w:rStyle w:val="VerbatimChar"/>
        </w:rPr>
        <w:t xml:space="preserve">credential rotated</w:t>
      </w:r>
      <w:r>
        <w:br/>
      </w:r>
      <w:r>
        <w:rPr>
          <w:rStyle w:val="VerbatimChar"/>
        </w:rPr>
        <w:t xml:space="preserve">provider enabled</w:t>
      </w:r>
      <w:r>
        <w:br/>
      </w:r>
      <w:r>
        <w:rPr>
          <w:rStyle w:val="VerbatimChar"/>
        </w:rPr>
        <w:t xml:space="preserve">provider disabled</w:t>
      </w:r>
      <w:r>
        <w:br/>
      </w:r>
      <w:r>
        <w:rPr>
          <w:rStyle w:val="VerbatimChar"/>
        </w:rPr>
        <w:t xml:space="preserve">webhook received</w:t>
      </w:r>
      <w:r>
        <w:br/>
      </w:r>
      <w:r>
        <w:rPr>
          <w:rStyle w:val="VerbatimChar"/>
        </w:rPr>
        <w:t xml:space="preserve">integration failed</w:t>
      </w:r>
      <w:r>
        <w:br/>
      </w:r>
      <w:r>
        <w:rPr>
          <w:rStyle w:val="VerbatimChar"/>
        </w:rPr>
        <w:t xml:space="preserve">integration retried</w:t>
      </w:r>
      <w:r>
        <w:br/>
      </w:r>
      <w:r>
        <w:rPr>
          <w:rStyle w:val="VerbatimChar"/>
        </w:rPr>
        <w:t xml:space="preserve">provider changed</w:t>
      </w:r>
    </w:p>
    <w:p>
      <w:pPr>
        <w:pStyle w:val="FirstParagraph"/>
      </w:pPr>
      <w:r>
        <w:t xml:space="preserve">Nunca registrar secrets ou dados sensíveis desnecessários.</w:t>
      </w:r>
    </w:p>
    <w:p>
      <w:r>
        <w:pict>
          <v:rect style="width:0;height:1.5pt" o:hralign="center" o:hrstd="t" o:hr="t"/>
        </w:pict>
      </w:r>
    </w:p>
    <w:bookmarkEnd w:id="94"/>
    <w:bookmarkStart w:id="95" w:name="matriz-de-responsabilidade"/>
    <w:p>
      <w:pPr>
        <w:pStyle w:val="Heading1"/>
      </w:pPr>
      <w:r>
        <w:t xml:space="preserve">77. Matriz de Responsabilidade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Responsabilidade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Domínio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Regra de negócio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 da entidade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Comunicação HTTP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 técnico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Webhook técnico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Idempotência externa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Compartilhada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Ledger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✅ E13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✅ E12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Shipment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✅ E15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✅ E17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 API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5"/>
    <w:bookmarkStart w:id="106" w:name="regras-de-ouro"/>
    <w:p>
      <w:pPr>
        <w:pStyle w:val="Heading1"/>
      </w:pPr>
      <w:r>
        <w:t xml:space="preserve">78. Regras de Ouro</w:t>
      </w:r>
    </w:p>
    <w:bookmarkStart w:id="96" w:name="regra-1"/>
    <w:p>
      <w:pPr>
        <w:pStyle w:val="Heading3"/>
      </w:pPr>
      <w:r>
        <w:t xml:space="preserve">Regra 1</w:t>
      </w:r>
    </w:p>
    <w:p>
      <w:pPr>
        <w:pStyle w:val="BlockText"/>
      </w:pPr>
      <w:r>
        <w:rPr>
          <w:b/>
          <w:bCs/>
        </w:rPr>
        <w:t xml:space="preserve">Domínios não chamam providers diretamente.</w:t>
      </w:r>
    </w:p>
    <w:bookmarkEnd w:id="96"/>
    <w:bookmarkStart w:id="97" w:name="regra-2"/>
    <w:p>
      <w:pPr>
        <w:pStyle w:val="Heading3"/>
      </w:pPr>
      <w:r>
        <w:t xml:space="preserve">Regra 2</w:t>
      </w:r>
    </w:p>
    <w:p>
      <w:pPr>
        <w:pStyle w:val="BlockText"/>
      </w:pPr>
      <w:r>
        <w:rPr>
          <w:b/>
          <w:bCs/>
        </w:rPr>
        <w:t xml:space="preserve">Toda integração possui uma abstração interna.</w:t>
      </w:r>
    </w:p>
    <w:bookmarkEnd w:id="97"/>
    <w:bookmarkStart w:id="98" w:name="regra-3"/>
    <w:p>
      <w:pPr>
        <w:pStyle w:val="Heading3"/>
      </w:pPr>
      <w:r>
        <w:t xml:space="preserve">Regra 3</w:t>
      </w:r>
    </w:p>
    <w:p>
      <w:pPr>
        <w:pStyle w:val="BlockText"/>
      </w:pPr>
      <w:r>
        <w:rPr>
          <w:b/>
          <w:bCs/>
        </w:rPr>
        <w:t xml:space="preserve">Provider externo não é fonte de verdade do domínio.</w:t>
      </w:r>
    </w:p>
    <w:bookmarkEnd w:id="98"/>
    <w:bookmarkStart w:id="99" w:name="regra-4"/>
    <w:p>
      <w:pPr>
        <w:pStyle w:val="Heading3"/>
      </w:pPr>
      <w:r>
        <w:t xml:space="preserve">Regra 4</w:t>
      </w:r>
    </w:p>
    <w:p>
      <w:pPr>
        <w:pStyle w:val="BlockText"/>
      </w:pPr>
      <w:r>
        <w:rPr>
          <w:b/>
          <w:bCs/>
        </w:rPr>
        <w:t xml:space="preserve">Resposta externa é tratada como dado não confiável.</w:t>
      </w:r>
    </w:p>
    <w:bookmarkEnd w:id="99"/>
    <w:bookmarkStart w:id="100" w:name="regra-5"/>
    <w:p>
      <w:pPr>
        <w:pStyle w:val="Heading3"/>
      </w:pPr>
      <w:r>
        <w:t xml:space="preserve">Regra 5</w:t>
      </w:r>
    </w:p>
    <w:p>
      <w:pPr>
        <w:pStyle w:val="BlockText"/>
      </w:pPr>
      <w:r>
        <w:rPr>
          <w:b/>
          <w:bCs/>
        </w:rPr>
        <w:t xml:space="preserve">Operações com efeito externo devem ser idempotentes.</w:t>
      </w:r>
    </w:p>
    <w:bookmarkEnd w:id="100"/>
    <w:bookmarkStart w:id="101" w:name="regra-6"/>
    <w:p>
      <w:pPr>
        <w:pStyle w:val="Heading3"/>
      </w:pPr>
      <w:r>
        <w:t xml:space="preserve">Regra 6</w:t>
      </w:r>
    </w:p>
    <w:p>
      <w:pPr>
        <w:pStyle w:val="BlockText"/>
      </w:pPr>
      <w:r>
        <w:rPr>
          <w:b/>
          <w:bCs/>
        </w:rPr>
        <w:t xml:space="preserve">Webhook deve ser validado e processado de forma assíncrona quando possível.</w:t>
      </w:r>
    </w:p>
    <w:bookmarkEnd w:id="101"/>
    <w:bookmarkStart w:id="102" w:name="regra-7"/>
    <w:p>
      <w:pPr>
        <w:pStyle w:val="Heading3"/>
      </w:pPr>
      <w:r>
        <w:t xml:space="preserve">Regra 7</w:t>
      </w:r>
    </w:p>
    <w:p>
      <w:pPr>
        <w:pStyle w:val="BlockText"/>
      </w:pPr>
      <w:r>
        <w:rPr>
          <w:b/>
          <w:bCs/>
        </w:rPr>
        <w:t xml:space="preserve">Secrets nunca ficam no código, banco em texto puro ou logs.</w:t>
      </w:r>
    </w:p>
    <w:bookmarkEnd w:id="102"/>
    <w:bookmarkStart w:id="103" w:name="regra-8"/>
    <w:p>
      <w:pPr>
        <w:pStyle w:val="Heading3"/>
      </w:pPr>
      <w:r>
        <w:t xml:space="preserve">Regra 8</w:t>
      </w:r>
    </w:p>
    <w:p>
      <w:pPr>
        <w:pStyle w:val="BlockText"/>
      </w:pPr>
      <w:r>
        <w:rPr>
          <w:b/>
          <w:bCs/>
        </w:rPr>
        <w:t xml:space="preserve">Toda integração deve possuir timeout.</w:t>
      </w:r>
    </w:p>
    <w:bookmarkEnd w:id="103"/>
    <w:bookmarkStart w:id="104" w:name="regra-9"/>
    <w:p>
      <w:pPr>
        <w:pStyle w:val="Heading3"/>
      </w:pPr>
      <w:r>
        <w:t xml:space="preserve">Regra 9</w:t>
      </w:r>
    </w:p>
    <w:p>
      <w:pPr>
        <w:pStyle w:val="BlockText"/>
      </w:pPr>
      <w:r>
        <w:rPr>
          <w:b/>
          <w:bCs/>
        </w:rPr>
        <w:t xml:space="preserve">Retry somente para falhas transitórias.</w:t>
      </w:r>
    </w:p>
    <w:bookmarkEnd w:id="104"/>
    <w:bookmarkStart w:id="105" w:name="regra-10"/>
    <w:p>
      <w:pPr>
        <w:pStyle w:val="Heading3"/>
      </w:pPr>
      <w:r>
        <w:t xml:space="preserve">Regra 10</w:t>
      </w:r>
    </w:p>
    <w:p>
      <w:pPr>
        <w:pStyle w:val="BlockText"/>
      </w:pPr>
      <w:r>
        <w:rPr>
          <w:b/>
          <w:bCs/>
        </w:rPr>
        <w:t xml:space="preserve">Integration Operation ≠ Business Operation.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7" w:name="fluxo-geral-definitivo"/>
    <w:p>
      <w:pPr>
        <w:pStyle w:val="Heading1"/>
      </w:pPr>
      <w:r>
        <w:t xml:space="preserve">79. Fluxo Geral Definitivo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MINI HUB DOMAIN         │</w:t>
      </w:r>
      <w:r>
        <w:br/>
      </w:r>
      <w:r>
        <w:rPr>
          <w:rStyle w:val="VerbatimChar"/>
        </w:rPr>
        <w:t xml:space="preserve">└───────────────┬───────────────┘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       Application Service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       Integration Port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             Adapter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┌───────┴────────┐</w:t>
      </w:r>
      <w:r>
        <w:br/>
      </w:r>
      <w:r>
        <w:rPr>
          <w:rStyle w:val="VerbatimChar"/>
        </w:rPr>
        <w:t xml:space="preserve">        │                │</w:t>
      </w:r>
      <w:r>
        <w:br/>
      </w:r>
      <w:r>
        <w:rPr>
          <w:rStyle w:val="VerbatimChar"/>
        </w:rPr>
        <w:t xml:space="preserve">        ▼                ▼</w:t>
      </w:r>
      <w:r>
        <w:br/>
      </w:r>
      <w:r>
        <w:rPr>
          <w:rStyle w:val="VerbatimChar"/>
        </w:rPr>
        <w:t xml:space="preserve">     HTTP API         Webhook</w:t>
      </w:r>
      <w:r>
        <w:br/>
      </w:r>
      <w:r>
        <w:rPr>
          <w:rStyle w:val="VerbatimChar"/>
        </w:rPr>
        <w:t xml:space="preserve">        │                │</w:t>
      </w:r>
      <w:r>
        <w:br/>
      </w:r>
      <w:r>
        <w:rPr>
          <w:rStyle w:val="VerbatimChar"/>
        </w:rPr>
        <w:t xml:space="preserve">        ▼                │</w:t>
      </w:r>
      <w:r>
        <w:br/>
      </w:r>
      <w:r>
        <w:rPr>
          <w:rStyle w:val="VerbatimChar"/>
        </w:rPr>
        <w:t xml:space="preserve">    Provider             │</w:t>
      </w:r>
      <w:r>
        <w:br/>
      </w:r>
      <w:r>
        <w:rPr>
          <w:rStyle w:val="VerbatimChar"/>
        </w:rPr>
        <w:t xml:space="preserve">        │                │</w:t>
      </w:r>
      <w:r>
        <w:br/>
      </w:r>
      <w:r>
        <w:rPr>
          <w:rStyle w:val="VerbatimChar"/>
        </w:rPr>
        <w:t xml:space="preserve">        └───────┬────────┘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        Integration Event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             Outbox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             Worker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        Business Domain</w:t>
      </w:r>
    </w:p>
    <w:p>
      <w:r>
        <w:pict>
          <v:rect style="width:0;height:1.5pt" o:hralign="center" o:hrstd="t" o:hr="t"/>
        </w:pict>
      </w:r>
    </w:p>
    <w:bookmarkEnd w:id="107"/>
    <w:bookmarkStart w:id="142" w:name="backlog-e21"/>
    <w:p>
      <w:pPr>
        <w:pStyle w:val="Heading1"/>
      </w:pPr>
      <w:r>
        <w:t xml:space="preserve">80. Backlog E21</w:t>
      </w:r>
    </w:p>
    <w:bookmarkStart w:id="108" w:name="e21-us01-integration-provider"/>
    <w:p>
      <w:pPr>
        <w:pStyle w:val="Heading2"/>
      </w:pPr>
      <w:r>
        <w:t xml:space="preserve">E21-US01 — Integration Provider</w:t>
      </w:r>
    </w:p>
    <w:p>
      <w:pPr>
        <w:pStyle w:val="FirstParagraph"/>
      </w:pPr>
      <w:r>
        <w:t xml:space="preserve">Cadastrar providers externos.</w:t>
      </w:r>
    </w:p>
    <w:bookmarkEnd w:id="108"/>
    <w:bookmarkStart w:id="109" w:name="e21-us02-integration-account"/>
    <w:p>
      <w:pPr>
        <w:pStyle w:val="Heading2"/>
      </w:pPr>
      <w:r>
        <w:t xml:space="preserve">E21-US02 — Integration Account</w:t>
      </w:r>
    </w:p>
    <w:p>
      <w:pPr>
        <w:pStyle w:val="FirstParagraph"/>
      </w:pPr>
      <w:r>
        <w:t xml:space="preserve">Configurar contas por ambiente.</w:t>
      </w:r>
    </w:p>
    <w:bookmarkEnd w:id="109"/>
    <w:bookmarkStart w:id="110" w:name="e21-us03-secret-management"/>
    <w:p>
      <w:pPr>
        <w:pStyle w:val="Heading2"/>
      </w:pPr>
      <w:r>
        <w:t xml:space="preserve">E21-US03 — Secret Management</w:t>
      </w:r>
    </w:p>
    <w:p>
      <w:pPr>
        <w:pStyle w:val="FirstParagraph"/>
      </w:pPr>
      <w:r>
        <w:t xml:space="preserve">Integrar gerenciamento seguro de credenciais.</w:t>
      </w:r>
    </w:p>
    <w:bookmarkEnd w:id="110"/>
    <w:bookmarkStart w:id="111" w:name="e21-us04-adapter-architecture"/>
    <w:p>
      <w:pPr>
        <w:pStyle w:val="Heading2"/>
      </w:pPr>
      <w:r>
        <w:t xml:space="preserve">E21-US04 — Adapter Architecture</w:t>
      </w:r>
    </w:p>
    <w:p>
      <w:pPr>
        <w:pStyle w:val="FirstParagraph"/>
      </w:pPr>
      <w:r>
        <w:t xml:space="preserve">Criar padrão de adapters.</w:t>
      </w:r>
    </w:p>
    <w:bookmarkEnd w:id="111"/>
    <w:bookmarkStart w:id="112" w:name="e21-us05-payment-gateway"/>
    <w:p>
      <w:pPr>
        <w:pStyle w:val="Heading2"/>
      </w:pPr>
      <w:r>
        <w:t xml:space="preserve">E21-US05 — Payment Gateway</w:t>
      </w:r>
    </w:p>
    <w:p>
      <w:pPr>
        <w:pStyle w:val="FirstParagraph"/>
      </w:pPr>
      <w:r>
        <w:t xml:space="preserve">Implementar abstração de pagamentos.</w:t>
      </w:r>
    </w:p>
    <w:bookmarkEnd w:id="112"/>
    <w:bookmarkStart w:id="113" w:name="e21-us06-payment-provider"/>
    <w:p>
      <w:pPr>
        <w:pStyle w:val="Heading2"/>
      </w:pPr>
      <w:r>
        <w:t xml:space="preserve">E21-US06 — Payment Provider</w:t>
      </w:r>
    </w:p>
    <w:p>
      <w:pPr>
        <w:pStyle w:val="FirstParagraph"/>
      </w:pPr>
      <w:r>
        <w:t xml:space="preserve">Implementar primeiro provider de pagamento.</w:t>
      </w:r>
    </w:p>
    <w:bookmarkEnd w:id="113"/>
    <w:bookmarkStart w:id="114" w:name="e21-us07-shipping-gateway"/>
    <w:p>
      <w:pPr>
        <w:pStyle w:val="Heading2"/>
      </w:pPr>
      <w:r>
        <w:t xml:space="preserve">E21-US07 — Shipping Gateway</w:t>
      </w:r>
    </w:p>
    <w:p>
      <w:pPr>
        <w:pStyle w:val="FirstParagraph"/>
      </w:pPr>
      <w:r>
        <w:t xml:space="preserve">Criar abstração de transportadoras.</w:t>
      </w:r>
    </w:p>
    <w:bookmarkEnd w:id="114"/>
    <w:bookmarkStart w:id="115" w:name="e21-us08-shipping-provider"/>
    <w:p>
      <w:pPr>
        <w:pStyle w:val="Heading2"/>
      </w:pPr>
      <w:r>
        <w:t xml:space="preserve">E21-US08 — Shipping Provider</w:t>
      </w:r>
    </w:p>
    <w:p>
      <w:pPr>
        <w:pStyle w:val="FirstParagraph"/>
      </w:pPr>
      <w:r>
        <w:t xml:space="preserve">Implementar primeiro provider logístico.</w:t>
      </w:r>
    </w:p>
    <w:bookmarkEnd w:id="115"/>
    <w:bookmarkStart w:id="116" w:name="e21-us09-address-provider"/>
    <w:p>
      <w:pPr>
        <w:pStyle w:val="Heading2"/>
      </w:pPr>
      <w:r>
        <w:t xml:space="preserve">E21-US09 — Address Provider</w:t>
      </w:r>
    </w:p>
    <w:p>
      <w:pPr>
        <w:pStyle w:val="FirstParagraph"/>
      </w:pPr>
      <w:r>
        <w:t xml:space="preserve">Implementar CEP.</w:t>
      </w:r>
    </w:p>
    <w:bookmarkEnd w:id="116"/>
    <w:bookmarkStart w:id="117" w:name="e21-us10-ibge-provider"/>
    <w:p>
      <w:pPr>
        <w:pStyle w:val="Heading2"/>
      </w:pPr>
      <w:r>
        <w:t xml:space="preserve">E21-US10 — IBGE Provider</w:t>
      </w:r>
    </w:p>
    <w:p>
      <w:pPr>
        <w:pStyle w:val="FirstParagraph"/>
      </w:pPr>
      <w:r>
        <w:t xml:space="preserve">Implementar localidades.</w:t>
      </w:r>
    </w:p>
    <w:bookmarkEnd w:id="117"/>
    <w:bookmarkStart w:id="118" w:name="e21-us11-email-gateway"/>
    <w:p>
      <w:pPr>
        <w:pStyle w:val="Heading2"/>
      </w:pPr>
      <w:r>
        <w:t xml:space="preserve">E21-US11 — Email Gateway</w:t>
      </w:r>
    </w:p>
    <w:p>
      <w:pPr>
        <w:pStyle w:val="FirstParagraph"/>
      </w:pPr>
      <w:r>
        <w:t xml:space="preserve">Implementar provedor de e-mail.</w:t>
      </w:r>
    </w:p>
    <w:bookmarkEnd w:id="118"/>
    <w:bookmarkStart w:id="119" w:name="e21-us12-storage-gateway"/>
    <w:p>
      <w:pPr>
        <w:pStyle w:val="Heading2"/>
      </w:pPr>
      <w:r>
        <w:t xml:space="preserve">E21-US12 — Storage Gateway</w:t>
      </w:r>
    </w:p>
    <w:p>
      <w:pPr>
        <w:pStyle w:val="FirstParagraph"/>
      </w:pPr>
      <w:r>
        <w:t xml:space="preserve">Implementar object storage.</w:t>
      </w:r>
    </w:p>
    <w:bookmarkEnd w:id="119"/>
    <w:bookmarkStart w:id="120" w:name="e21-us13-webhook-infrastructure"/>
    <w:p>
      <w:pPr>
        <w:pStyle w:val="Heading2"/>
      </w:pPr>
      <w:r>
        <w:t xml:space="preserve">E21-US13 — Webhook Infrastructure</w:t>
      </w:r>
    </w:p>
    <w:p>
      <w:pPr>
        <w:pStyle w:val="FirstParagraph"/>
      </w:pPr>
      <w:r>
        <w:t xml:space="preserve">Criar infraestrutura comum de webhooks.</w:t>
      </w:r>
    </w:p>
    <w:bookmarkEnd w:id="120"/>
    <w:bookmarkStart w:id="121" w:name="e21-us14-webhook-signature"/>
    <w:p>
      <w:pPr>
        <w:pStyle w:val="Heading2"/>
      </w:pPr>
      <w:r>
        <w:t xml:space="preserve">E21-US14 — Webhook Signature</w:t>
      </w:r>
    </w:p>
    <w:p>
      <w:pPr>
        <w:pStyle w:val="FirstParagraph"/>
      </w:pPr>
      <w:r>
        <w:t xml:space="preserve">Validar assinaturas.</w:t>
      </w:r>
    </w:p>
    <w:bookmarkEnd w:id="121"/>
    <w:bookmarkStart w:id="122" w:name="e21-us15-webhook-idempotency"/>
    <w:p>
      <w:pPr>
        <w:pStyle w:val="Heading2"/>
      </w:pPr>
      <w:r>
        <w:t xml:space="preserve">E21-US15 — Webhook Idempotency</w:t>
      </w:r>
    </w:p>
    <w:p>
      <w:pPr>
        <w:pStyle w:val="FirstParagraph"/>
      </w:pPr>
      <w:r>
        <w:t xml:space="preserve">Impedir processamento duplicado.</w:t>
      </w:r>
    </w:p>
    <w:bookmarkEnd w:id="122"/>
    <w:bookmarkStart w:id="123" w:name="e21-us16-integration-operation"/>
    <w:p>
      <w:pPr>
        <w:pStyle w:val="Heading2"/>
      </w:pPr>
      <w:r>
        <w:t xml:space="preserve">E21-US16 — Integration Operation</w:t>
      </w:r>
    </w:p>
    <w:p>
      <w:pPr>
        <w:pStyle w:val="FirstParagraph"/>
      </w:pPr>
      <w:r>
        <w:t xml:space="preserve">Registrar operações externas.</w:t>
      </w:r>
    </w:p>
    <w:bookmarkEnd w:id="123"/>
    <w:bookmarkStart w:id="124" w:name="e21-us17-retry"/>
    <w:p>
      <w:pPr>
        <w:pStyle w:val="Heading2"/>
      </w:pPr>
      <w:r>
        <w:t xml:space="preserve">E21-US17 — Retry</w:t>
      </w:r>
    </w:p>
    <w:p>
      <w:pPr>
        <w:pStyle w:val="FirstParagraph"/>
      </w:pPr>
      <w:r>
        <w:t xml:space="preserve">Implementar retry com backoff.</w:t>
      </w:r>
    </w:p>
    <w:bookmarkEnd w:id="124"/>
    <w:bookmarkStart w:id="125" w:name="e21-us18-rate-limit"/>
    <w:p>
      <w:pPr>
        <w:pStyle w:val="Heading2"/>
      </w:pPr>
      <w:r>
        <w:t xml:space="preserve">E21-US18 — Rate Limit</w:t>
      </w:r>
    </w:p>
    <w:p>
      <w:pPr>
        <w:pStyle w:val="FirstParagraph"/>
      </w:pPr>
      <w:r>
        <w:t xml:space="preserve">Controlar chamadas externas.</w:t>
      </w:r>
    </w:p>
    <w:bookmarkEnd w:id="125"/>
    <w:bookmarkStart w:id="126" w:name="e21-us19-timeout"/>
    <w:p>
      <w:pPr>
        <w:pStyle w:val="Heading2"/>
      </w:pPr>
      <w:r>
        <w:t xml:space="preserve">E21-US19 — Timeout</w:t>
      </w:r>
    </w:p>
    <w:p>
      <w:pPr>
        <w:pStyle w:val="FirstParagraph"/>
      </w:pPr>
      <w:r>
        <w:t xml:space="preserve">Implementar timeout padronizado.</w:t>
      </w:r>
    </w:p>
    <w:bookmarkEnd w:id="126"/>
    <w:bookmarkStart w:id="127" w:name="e21-us20-circuit-breaker"/>
    <w:p>
      <w:pPr>
        <w:pStyle w:val="Heading2"/>
      </w:pPr>
      <w:r>
        <w:t xml:space="preserve">E21-US20 — Circuit Breaker</w:t>
      </w:r>
    </w:p>
    <w:p>
      <w:pPr>
        <w:pStyle w:val="FirstParagraph"/>
      </w:pPr>
      <w:r>
        <w:t xml:space="preserve">Implementar proteção para providers críticos.</w:t>
      </w:r>
    </w:p>
    <w:bookmarkEnd w:id="127"/>
    <w:bookmarkStart w:id="128" w:name="e21-us21-provider-errors"/>
    <w:p>
      <w:pPr>
        <w:pStyle w:val="Heading2"/>
      </w:pPr>
      <w:r>
        <w:t xml:space="preserve">E21-US21 — Provider Errors</w:t>
      </w:r>
    </w:p>
    <w:p>
      <w:pPr>
        <w:pStyle w:val="FirstParagraph"/>
      </w:pPr>
      <w:r>
        <w:t xml:space="preserve">Normalizar erros externos.</w:t>
      </w:r>
    </w:p>
    <w:bookmarkEnd w:id="128"/>
    <w:bookmarkStart w:id="129" w:name="e21-us22-reconciliation"/>
    <w:p>
      <w:pPr>
        <w:pStyle w:val="Heading2"/>
      </w:pPr>
      <w:r>
        <w:t xml:space="preserve">E21-US22 — Reconciliation</w:t>
      </w:r>
    </w:p>
    <w:p>
      <w:pPr>
        <w:pStyle w:val="FirstParagraph"/>
      </w:pPr>
      <w:r>
        <w:t xml:space="preserve">Criar estrutura de reconciliação.</w:t>
      </w:r>
    </w:p>
    <w:bookmarkEnd w:id="129"/>
    <w:bookmarkStart w:id="130" w:name="e21-us23-provider-health"/>
    <w:p>
      <w:pPr>
        <w:pStyle w:val="Heading2"/>
      </w:pPr>
      <w:r>
        <w:t xml:space="preserve">E21-US23 — Provider Health</w:t>
      </w:r>
    </w:p>
    <w:p>
      <w:pPr>
        <w:pStyle w:val="FirstParagraph"/>
      </w:pPr>
      <w:r>
        <w:t xml:space="preserve">Monitorar disponibilidade.</w:t>
      </w:r>
    </w:p>
    <w:bookmarkEnd w:id="130"/>
    <w:bookmarkStart w:id="131" w:name="e21-us24-sandbox"/>
    <w:p>
      <w:pPr>
        <w:pStyle w:val="Heading2"/>
      </w:pPr>
      <w:r>
        <w:t xml:space="preserve">E21-US24 — Sandbox</w:t>
      </w:r>
    </w:p>
    <w:p>
      <w:pPr>
        <w:pStyle w:val="FirstParagraph"/>
      </w:pPr>
      <w:r>
        <w:t xml:space="preserve">Suportar ambientes de testes.</w:t>
      </w:r>
    </w:p>
    <w:bookmarkEnd w:id="131"/>
    <w:bookmarkStart w:id="132" w:name="e21-us25-fake-providers"/>
    <w:p>
      <w:pPr>
        <w:pStyle w:val="Heading2"/>
      </w:pPr>
      <w:r>
        <w:t xml:space="preserve">E21-US25 — Fake Providers</w:t>
      </w:r>
    </w:p>
    <w:p>
      <w:pPr>
        <w:pStyle w:val="FirstParagraph"/>
      </w:pPr>
      <w:r>
        <w:t xml:space="preserve">Criar providers simulados.</w:t>
      </w:r>
    </w:p>
    <w:bookmarkEnd w:id="132"/>
    <w:bookmarkStart w:id="133" w:name="e21-us26-feature-flags"/>
    <w:p>
      <w:pPr>
        <w:pStyle w:val="Heading2"/>
      </w:pPr>
      <w:r>
        <w:t xml:space="preserve">E21-US26 — Feature Flags</w:t>
      </w:r>
    </w:p>
    <w:p>
      <w:pPr>
        <w:pStyle w:val="FirstParagraph"/>
      </w:pPr>
      <w:r>
        <w:t xml:space="preserve">Habilitar/desabilitar providers.</w:t>
      </w:r>
    </w:p>
    <w:bookmarkEnd w:id="133"/>
    <w:bookmarkStart w:id="134" w:name="e21-us27-audit"/>
    <w:p>
      <w:pPr>
        <w:pStyle w:val="Heading2"/>
      </w:pPr>
      <w:r>
        <w:t xml:space="preserve">E21-US27 — Audit</w:t>
      </w:r>
    </w:p>
    <w:p>
      <w:pPr>
        <w:pStyle w:val="FirstParagraph"/>
      </w:pPr>
      <w:r>
        <w:t xml:space="preserve">Auditar alterações de integração.</w:t>
      </w:r>
    </w:p>
    <w:bookmarkEnd w:id="134"/>
    <w:bookmarkStart w:id="135" w:name="e21-us28-security"/>
    <w:p>
      <w:pPr>
        <w:pStyle w:val="Heading2"/>
      </w:pPr>
      <w:r>
        <w:t xml:space="preserve">E21-US28 — Security</w:t>
      </w:r>
    </w:p>
    <w:p>
      <w:pPr>
        <w:pStyle w:val="FirstParagraph"/>
      </w:pPr>
      <w:r>
        <w:t xml:space="preserve">Implementar controles de segurança.</w:t>
      </w:r>
    </w:p>
    <w:bookmarkEnd w:id="135"/>
    <w:bookmarkStart w:id="136" w:name="e21-us29-lgpd"/>
    <w:p>
      <w:pPr>
        <w:pStyle w:val="Heading2"/>
      </w:pPr>
      <w:r>
        <w:t xml:space="preserve">E21-US29 — LGPD</w:t>
      </w:r>
    </w:p>
    <w:p>
      <w:pPr>
        <w:pStyle w:val="FirstParagraph"/>
      </w:pPr>
      <w:r>
        <w:t xml:space="preserve">Implementar minimização e proteção de dados.</w:t>
      </w:r>
    </w:p>
    <w:bookmarkEnd w:id="136"/>
    <w:bookmarkStart w:id="137" w:name="e21-us30-integration-tests"/>
    <w:p>
      <w:pPr>
        <w:pStyle w:val="Heading2"/>
      </w:pPr>
      <w:r>
        <w:t xml:space="preserve">E21-US30 — Integration Tests</w:t>
      </w:r>
    </w:p>
    <w:p>
      <w:pPr>
        <w:pStyle w:val="FirstParagraph"/>
      </w:pPr>
      <w:r>
        <w:t xml:space="preserve">Testar integrações críticas.</w:t>
      </w:r>
    </w:p>
    <w:bookmarkEnd w:id="137"/>
    <w:bookmarkStart w:id="138" w:name="e21-us31-webhook-replay-protection"/>
    <w:p>
      <w:pPr>
        <w:pStyle w:val="Heading2"/>
      </w:pPr>
      <w:r>
        <w:t xml:space="preserve">E21-US31 — Webhook Replay Protection</w:t>
      </w:r>
    </w:p>
    <w:p>
      <w:pPr>
        <w:pStyle w:val="FirstParagraph"/>
      </w:pPr>
      <w:r>
        <w:t xml:space="preserve">Impedir replay de eventos.</w:t>
      </w:r>
    </w:p>
    <w:bookmarkEnd w:id="138"/>
    <w:bookmarkStart w:id="139" w:name="e21-us32-provider-failover"/>
    <w:p>
      <w:pPr>
        <w:pStyle w:val="Heading2"/>
      </w:pPr>
      <w:r>
        <w:t xml:space="preserve">E21-US32 — Provider Failover</w:t>
      </w:r>
    </w:p>
    <w:p>
      <w:pPr>
        <w:pStyle w:val="FirstParagraph"/>
      </w:pPr>
      <w:r>
        <w:t xml:space="preserve">Suportar fallback quando aplicável.</w:t>
      </w:r>
    </w:p>
    <w:bookmarkEnd w:id="139"/>
    <w:bookmarkStart w:id="140" w:name="e21-us33-provider-versioning"/>
    <w:p>
      <w:pPr>
        <w:pStyle w:val="Heading2"/>
      </w:pPr>
      <w:r>
        <w:t xml:space="preserve">E21-US33 — Provider Versioning</w:t>
      </w:r>
    </w:p>
    <w:p>
      <w:pPr>
        <w:pStyle w:val="FirstParagraph"/>
      </w:pPr>
      <w:r>
        <w:t xml:space="preserve">Suportar evolução das APIs externas.</w:t>
      </w:r>
    </w:p>
    <w:bookmarkEnd w:id="140"/>
    <w:bookmarkStart w:id="141" w:name="e21-us34-dependency-inventory"/>
    <w:p>
      <w:pPr>
        <w:pStyle w:val="Heading2"/>
      </w:pPr>
      <w:r>
        <w:t xml:space="preserve">E21-US34 — Dependency Inventory</w:t>
      </w:r>
    </w:p>
    <w:p>
      <w:pPr>
        <w:pStyle w:val="FirstParagraph"/>
      </w:pPr>
      <w:r>
        <w:t xml:space="preserve">Manter inventário de providers e dependências.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3" w:name="ordem-de-implementação"/>
    <w:p>
      <w:pPr>
        <w:pStyle w:val="Heading1"/>
      </w:pPr>
      <w:r>
        <w:t xml:space="preserve">81. Ordem de Implementação</w:t>
      </w:r>
    </w:p>
    <w:p>
      <w:pPr>
        <w:pStyle w:val="FirstParagraph"/>
      </w:pPr>
      <w:r>
        <w:t xml:space="preserve">A implementação recomendada será:</w:t>
      </w:r>
    </w:p>
    <w:p>
      <w:pPr>
        <w:pStyle w:val="SourceCode"/>
      </w:pPr>
      <w:r>
        <w:rPr>
          <w:rStyle w:val="VerbatimChar"/>
        </w:rPr>
        <w:t xml:space="preserve">1. Integration Provider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2. Integration Account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3. Secrets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4. Ports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5. Adapter Base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6. HTTP Client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7. Timeout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8. Retry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9. Idempotency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10. Webhooks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11. Payment Adapter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12. Shipping Adapter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13. Address Adapter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14. IBGE Adapter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15. Email Adapter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16. Storage Adapter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17. Reconciliation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18. Health Monitoring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19. Feature Flags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20. Tests</w:t>
      </w:r>
    </w:p>
    <w:p>
      <w:r>
        <w:pict>
          <v:rect style="width:0;height:1.5pt" o:hralign="center" o:hrstd="t" o:hr="t"/>
        </w:pict>
      </w:r>
    </w:p>
    <w:bookmarkEnd w:id="143"/>
    <w:bookmarkStart w:id="144" w:name="critérios-de-aceite"/>
    <w:p>
      <w:pPr>
        <w:pStyle w:val="Heading1"/>
      </w:pPr>
      <w:r>
        <w:t xml:space="preserve">82. Critérios de Aceite</w:t>
      </w:r>
    </w:p>
    <w:p>
      <w:pPr>
        <w:pStyle w:val="FirstParagraph"/>
      </w:pPr>
      <w:r>
        <w:t xml:space="preserve">O E21 será considerado implementado quando:</w:t>
      </w:r>
    </w:p>
    <w:p>
      <w:pPr>
        <w:pStyle w:val="Compact"/>
        <w:numPr>
          <w:ilvl w:val="0"/>
          <w:numId w:val="1009"/>
        </w:numPr>
      </w:pPr>
      <w:r>
        <w:t xml:space="preserve">nenhum domínio chamar diretamente APIs externas;</w:t>
      </w:r>
    </w:p>
    <w:p>
      <w:pPr>
        <w:pStyle w:val="Compact"/>
        <w:numPr>
          <w:ilvl w:val="0"/>
          <w:numId w:val="1010"/>
        </w:numPr>
      </w:pPr>
      <w:r>
        <w:t xml:space="preserve">existir arquitetura de adapters;</w:t>
      </w:r>
    </w:p>
    <w:p>
      <w:pPr>
        <w:pStyle w:val="Compact"/>
        <w:numPr>
          <w:ilvl w:val="0"/>
          <w:numId w:val="1011"/>
        </w:numPr>
      </w:pPr>
      <w:r>
        <w:t xml:space="preserve">providers forem configuráveis;</w:t>
      </w:r>
    </w:p>
    <w:p>
      <w:pPr>
        <w:pStyle w:val="Compact"/>
        <w:numPr>
          <w:ilvl w:val="0"/>
          <w:numId w:val="1012"/>
        </w:numPr>
      </w:pPr>
      <w:r>
        <w:t xml:space="preserve">credentials estiverem protegidas;</w:t>
      </w:r>
    </w:p>
    <w:p>
      <w:pPr>
        <w:pStyle w:val="Compact"/>
        <w:numPr>
          <w:ilvl w:val="0"/>
          <w:numId w:val="1013"/>
        </w:numPr>
      </w:pPr>
      <w:r>
        <w:t xml:space="preserve">sandbox e produção forem separados;</w:t>
      </w:r>
    </w:p>
    <w:p>
      <w:pPr>
        <w:pStyle w:val="Compact"/>
        <w:numPr>
          <w:ilvl w:val="0"/>
          <w:numId w:val="1014"/>
        </w:numPr>
      </w:pPr>
      <w:r>
        <w:t xml:space="preserve">existir timeout;</w:t>
      </w:r>
    </w:p>
    <w:p>
      <w:pPr>
        <w:pStyle w:val="Compact"/>
        <w:numPr>
          <w:ilvl w:val="0"/>
          <w:numId w:val="1015"/>
        </w:numPr>
      </w:pPr>
      <w:r>
        <w:t xml:space="preserve">existir retry controlado;</w:t>
      </w:r>
    </w:p>
    <w:p>
      <w:pPr>
        <w:pStyle w:val="Compact"/>
        <w:numPr>
          <w:ilvl w:val="0"/>
          <w:numId w:val="1016"/>
        </w:numPr>
      </w:pPr>
      <w:r>
        <w:t xml:space="preserve">existir idempotência;</w:t>
      </w:r>
    </w:p>
    <w:p>
      <w:pPr>
        <w:pStyle w:val="Compact"/>
        <w:numPr>
          <w:ilvl w:val="0"/>
          <w:numId w:val="1017"/>
        </w:numPr>
      </w:pPr>
      <w:r>
        <w:t xml:space="preserve">webhooks forem validados;</w:t>
      </w:r>
    </w:p>
    <w:p>
      <w:pPr>
        <w:pStyle w:val="Compact"/>
        <w:numPr>
          <w:ilvl w:val="0"/>
          <w:numId w:val="1018"/>
        </w:numPr>
      </w:pPr>
      <w:r>
        <w:t xml:space="preserve">eventos externos forem persistidos;</w:t>
      </w:r>
    </w:p>
    <w:p>
      <w:pPr>
        <w:pStyle w:val="Compact"/>
        <w:numPr>
          <w:ilvl w:val="0"/>
          <w:numId w:val="1019"/>
        </w:numPr>
      </w:pPr>
      <w:r>
        <w:t xml:space="preserve">providers possuírem tratamento de erro;</w:t>
      </w:r>
    </w:p>
    <w:p>
      <w:pPr>
        <w:pStyle w:val="Compact"/>
        <w:numPr>
          <w:ilvl w:val="0"/>
          <w:numId w:val="1020"/>
        </w:numPr>
      </w:pPr>
      <w:r>
        <w:t xml:space="preserve">existir DLQ para operações assíncronas;</w:t>
      </w:r>
    </w:p>
    <w:p>
      <w:pPr>
        <w:pStyle w:val="Compact"/>
        <w:numPr>
          <w:ilvl w:val="0"/>
          <w:numId w:val="1021"/>
        </w:numPr>
      </w:pPr>
      <w:r>
        <w:t xml:space="preserve">existir correlation ID;</w:t>
      </w:r>
    </w:p>
    <w:p>
      <w:pPr>
        <w:pStyle w:val="Compact"/>
        <w:numPr>
          <w:ilvl w:val="0"/>
          <w:numId w:val="1022"/>
        </w:numPr>
      </w:pPr>
      <w:r>
        <w:t xml:space="preserve">integrações críticas possuírem testes;</w:t>
      </w:r>
    </w:p>
    <w:p>
      <w:pPr>
        <w:pStyle w:val="Compact"/>
        <w:numPr>
          <w:ilvl w:val="0"/>
          <w:numId w:val="1023"/>
        </w:numPr>
      </w:pPr>
      <w:r>
        <w:t xml:space="preserve">dados enviados forem minimizados;</w:t>
      </w:r>
    </w:p>
    <w:p>
      <w:pPr>
        <w:pStyle w:val="Compact"/>
        <w:numPr>
          <w:ilvl w:val="0"/>
          <w:numId w:val="1024"/>
        </w:numPr>
      </w:pPr>
      <w:r>
        <w:t xml:space="preserve">secrets não aparecerem em logs;</w:t>
      </w:r>
    </w:p>
    <w:p>
      <w:pPr>
        <w:pStyle w:val="Compact"/>
        <w:numPr>
          <w:ilvl w:val="0"/>
          <w:numId w:val="1025"/>
        </w:numPr>
      </w:pPr>
      <w:r>
        <w:t xml:space="preserve">existir mecanismo de auditoria;</w:t>
      </w:r>
    </w:p>
    <w:p>
      <w:pPr>
        <w:pStyle w:val="Compact"/>
        <w:numPr>
          <w:ilvl w:val="0"/>
          <w:numId w:val="1026"/>
        </w:numPr>
      </w:pPr>
      <w:r>
        <w:t xml:space="preserve">providers puderem ser substituídos sem alteração do domínio;</w:t>
      </w:r>
    </w:p>
    <w:p>
      <w:pPr>
        <w:pStyle w:val="Compact"/>
        <w:numPr>
          <w:ilvl w:val="0"/>
          <w:numId w:val="1027"/>
        </w:numPr>
      </w:pPr>
      <w:r>
        <w:t xml:space="preserve">existir documentação de cada integração;</w:t>
      </w:r>
    </w:p>
    <w:p>
      <w:pPr>
        <w:pStyle w:val="Compact"/>
        <w:numPr>
          <w:ilvl w:val="0"/>
          <w:numId w:val="1028"/>
        </w:numPr>
      </w:pPr>
      <w:r>
        <w:t xml:space="preserve">existir inventário de dependências externas.</w:t>
      </w:r>
    </w:p>
    <w:p>
      <w:r>
        <w:pict>
          <v:rect style="width:0;height:1.5pt" o:hralign="center" o:hrstd="t" o:hr="t"/>
        </w:pict>
      </w:r>
    </w:p>
    <w:bookmarkEnd w:id="144"/>
    <w:bookmarkStart w:id="160" w:name="decisões-arquiteturais-definitivas"/>
    <w:p>
      <w:pPr>
        <w:pStyle w:val="Heading1"/>
      </w:pPr>
      <w:r>
        <w:t xml:space="preserve">83. Decisões Arquiteturais Definitivas</w:t>
      </w:r>
    </w:p>
    <w:bookmarkStart w:id="145" w:name="da-e21-001"/>
    <w:p>
      <w:pPr>
        <w:pStyle w:val="Heading3"/>
      </w:pPr>
      <w:r>
        <w:t xml:space="preserve">DA-E21-001</w:t>
      </w:r>
    </w:p>
    <w:p>
      <w:pPr>
        <w:pStyle w:val="FirstParagraph"/>
      </w:pPr>
      <w:r>
        <w:t xml:space="preserve">O MiniHub utilizará</w:t>
      </w:r>
      <w:r>
        <w:t xml:space="preserve"> </w:t>
      </w:r>
      <w:r>
        <w:rPr>
          <w:b/>
          <w:bCs/>
        </w:rPr>
        <w:t xml:space="preserve">Ports &amp; Adapters</w:t>
      </w:r>
      <w:r>
        <w:t xml:space="preserve"> </w:t>
      </w:r>
      <w:r>
        <w:t xml:space="preserve">para integrações externas.</w:t>
      </w:r>
    </w:p>
    <w:bookmarkEnd w:id="145"/>
    <w:bookmarkStart w:id="146" w:name="da-e21-002"/>
    <w:p>
      <w:pPr>
        <w:pStyle w:val="Heading3"/>
      </w:pPr>
      <w:r>
        <w:t xml:space="preserve">DA-E21-002</w:t>
      </w:r>
    </w:p>
    <w:p>
      <w:pPr>
        <w:pStyle w:val="FirstParagraph"/>
      </w:pPr>
      <w:r>
        <w:t xml:space="preserve">Nenhum domínio poderá chamar diretamente APIs de terceiros.</w:t>
      </w:r>
    </w:p>
    <w:bookmarkEnd w:id="146"/>
    <w:bookmarkStart w:id="147" w:name="da-e21-003"/>
    <w:p>
      <w:pPr>
        <w:pStyle w:val="Heading3"/>
      </w:pPr>
      <w:r>
        <w:t xml:space="preserve">DA-E21-003</w:t>
      </w:r>
    </w:p>
    <w:p>
      <w:pPr>
        <w:pStyle w:val="FirstParagraph"/>
      </w:pPr>
      <w:r>
        <w:t xml:space="preserve">Providers externos serão substituíveis através de adapters.</w:t>
      </w:r>
    </w:p>
    <w:bookmarkEnd w:id="147"/>
    <w:bookmarkStart w:id="148" w:name="da-e21-004"/>
    <w:p>
      <w:pPr>
        <w:pStyle w:val="Heading3"/>
      </w:pPr>
      <w:r>
        <w:t xml:space="preserve">DA-E21-004</w:t>
      </w:r>
    </w:p>
    <w:p>
      <w:pPr>
        <w:pStyle w:val="FirstParagraph"/>
      </w:pPr>
      <w:r>
        <w:t xml:space="preserve">Credenciais serão gerenciadas externamente ao código-fonte e protegidas por mecanismo apropriado de secrets.</w:t>
      </w:r>
    </w:p>
    <w:bookmarkEnd w:id="148"/>
    <w:bookmarkStart w:id="149" w:name="da-e21-005"/>
    <w:p>
      <w:pPr>
        <w:pStyle w:val="Heading3"/>
      </w:pPr>
      <w:r>
        <w:t xml:space="preserve">DA-E21-005</w:t>
      </w:r>
    </w:p>
    <w:p>
      <w:pPr>
        <w:pStyle w:val="FirstParagraph"/>
      </w:pPr>
      <w:r>
        <w:t xml:space="preserve">Toda integração crítica deverá possuir timeout e tratamento de falhas.</w:t>
      </w:r>
    </w:p>
    <w:bookmarkEnd w:id="149"/>
    <w:bookmarkStart w:id="150" w:name="da-e21-006"/>
    <w:p>
      <w:pPr>
        <w:pStyle w:val="Heading3"/>
      </w:pPr>
      <w:r>
        <w:t xml:space="preserve">DA-E21-006</w:t>
      </w:r>
    </w:p>
    <w:p>
      <w:pPr>
        <w:pStyle w:val="FirstParagraph"/>
      </w:pPr>
      <w:r>
        <w:t xml:space="preserve">Operações com efeitos externos deverão possuir idempotência.</w:t>
      </w:r>
    </w:p>
    <w:bookmarkEnd w:id="150"/>
    <w:bookmarkStart w:id="151" w:name="da-e21-007"/>
    <w:p>
      <w:pPr>
        <w:pStyle w:val="Heading3"/>
      </w:pPr>
      <w:r>
        <w:t xml:space="preserve">DA-E21-007</w:t>
      </w:r>
    </w:p>
    <w:p>
      <w:pPr>
        <w:pStyle w:val="FirstParagraph"/>
      </w:pPr>
      <w:r>
        <w:t xml:space="preserve">Webhooks serão tratados como entrada externa não confiável.</w:t>
      </w:r>
    </w:p>
    <w:bookmarkEnd w:id="151"/>
    <w:bookmarkStart w:id="152" w:name="da-e21-008"/>
    <w:p>
      <w:pPr>
        <w:pStyle w:val="Heading3"/>
      </w:pPr>
      <w:r>
        <w:t xml:space="preserve">DA-E21-008</w:t>
      </w:r>
    </w:p>
    <w:p>
      <w:pPr>
        <w:pStyle w:val="FirstParagraph"/>
      </w:pPr>
      <w:r>
        <w:t xml:space="preserve">Webhooks serão persistidos antes do processamento de negócio quando a arquitetura exigir processamento assíncrono.</w:t>
      </w:r>
    </w:p>
    <w:bookmarkEnd w:id="152"/>
    <w:bookmarkStart w:id="153" w:name="da-e21-009"/>
    <w:p>
      <w:pPr>
        <w:pStyle w:val="Heading3"/>
      </w:pPr>
      <w:r>
        <w:t xml:space="preserve">DA-E21-009</w:t>
      </w:r>
    </w:p>
    <w:p>
      <w:pPr>
        <w:pStyle w:val="FirstParagraph"/>
      </w:pPr>
      <w:r>
        <w:t xml:space="preserve">O provider externo não será considerado fonte única de verdade do domínio.</w:t>
      </w:r>
    </w:p>
    <w:bookmarkEnd w:id="153"/>
    <w:bookmarkStart w:id="154" w:name="da-e21-010"/>
    <w:p>
      <w:pPr>
        <w:pStyle w:val="Heading3"/>
      </w:pPr>
      <w:r>
        <w:t xml:space="preserve">DA-E21-010</w:t>
      </w:r>
    </w:p>
    <w:p>
      <w:pPr>
        <w:pStyle w:val="FirstParagraph"/>
      </w:pPr>
      <w:r>
        <w:t xml:space="preserve">E21 será responsável pela infraestrutura de integração; o domínio continuará responsável pela regra de negócio.</w:t>
      </w:r>
    </w:p>
    <w:bookmarkEnd w:id="154"/>
    <w:bookmarkStart w:id="155" w:name="da-e21-011"/>
    <w:p>
      <w:pPr>
        <w:pStyle w:val="Heading3"/>
      </w:pPr>
      <w:r>
        <w:t xml:space="preserve">DA-E21-011</w:t>
      </w:r>
    </w:p>
    <w:p>
      <w:pPr>
        <w:pStyle w:val="FirstParagraph"/>
      </w:pPr>
      <w:r>
        <w:t xml:space="preserve">Pagamento continuará pertencendo ao E12.</w:t>
      </w:r>
    </w:p>
    <w:bookmarkEnd w:id="155"/>
    <w:bookmarkStart w:id="156" w:name="da-e21-012"/>
    <w:p>
      <w:pPr>
        <w:pStyle w:val="Heading3"/>
      </w:pPr>
      <w:r>
        <w:t xml:space="preserve">DA-E21-012</w:t>
      </w:r>
    </w:p>
    <w:p>
      <w:pPr>
        <w:pStyle w:val="FirstParagraph"/>
      </w:pPr>
      <w:r>
        <w:t xml:space="preserve">Ledger continuará pertencendo ao E13.</w:t>
      </w:r>
    </w:p>
    <w:bookmarkEnd w:id="156"/>
    <w:bookmarkStart w:id="157" w:name="da-e21-013"/>
    <w:p>
      <w:pPr>
        <w:pStyle w:val="Heading3"/>
      </w:pPr>
      <w:r>
        <w:t xml:space="preserve">DA-E21-013</w:t>
      </w:r>
    </w:p>
    <w:p>
      <w:pPr>
        <w:pStyle w:val="FirstParagraph"/>
      </w:pPr>
      <w:r>
        <w:t xml:space="preserve">Shipment continuará pertencendo ao E15.</w:t>
      </w:r>
    </w:p>
    <w:bookmarkEnd w:id="157"/>
    <w:bookmarkStart w:id="158" w:name="da-e21-014"/>
    <w:p>
      <w:pPr>
        <w:pStyle w:val="Heading3"/>
      </w:pPr>
      <w:r>
        <w:t xml:space="preserve">DA-E21-014</w:t>
      </w:r>
    </w:p>
    <w:p>
      <w:pPr>
        <w:pStyle w:val="FirstParagraph"/>
      </w:pPr>
      <w:r>
        <w:t xml:space="preserve">Notification continuará pertencendo ao E17.</w:t>
      </w:r>
    </w:p>
    <w:bookmarkEnd w:id="158"/>
    <w:bookmarkStart w:id="159" w:name="da-e21-015"/>
    <w:p>
      <w:pPr>
        <w:pStyle w:val="Heading3"/>
      </w:pPr>
      <w:r>
        <w:t xml:space="preserve">DA-E21-015</w:t>
      </w:r>
    </w:p>
    <w:p>
      <w:pPr>
        <w:pStyle w:val="FirstParagraph"/>
      </w:pPr>
      <w:r>
        <w:t xml:space="preserve">Eventos e processamento assíncrono serão detalhados no E23.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Start w:id="161" w:name="distinções-fundamentais"/>
    <w:p>
      <w:pPr>
        <w:pStyle w:val="Heading1"/>
      </w:pPr>
      <w:r>
        <w:t xml:space="preserve">84. Distinções Fundamentais</w:t>
      </w:r>
    </w:p>
    <w:p>
      <w:pPr>
        <w:pStyle w:val="SourceCode"/>
      </w:pPr>
      <w:r>
        <w:rPr>
          <w:rStyle w:val="VerbatimChar"/>
        </w:rPr>
        <w:t xml:space="preserve">BUSINESS DOMAIN</w:t>
      </w:r>
      <w:r>
        <w:br/>
      </w:r>
      <w:r>
        <w:rPr>
          <w:rStyle w:val="VerbatimChar"/>
        </w:rPr>
        <w:t xml:space="preserve">      ≠</w:t>
      </w:r>
      <w:r>
        <w:br/>
      </w:r>
      <w:r>
        <w:rPr>
          <w:rStyle w:val="VerbatimChar"/>
        </w:rPr>
        <w:t xml:space="preserve">INTEGRATION</w:t>
      </w:r>
    </w:p>
    <w:p>
      <w:pPr>
        <w:pStyle w:val="SourceCode"/>
      </w:pP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    ≠</w:t>
      </w:r>
      <w:r>
        <w:br/>
      </w:r>
      <w:r>
        <w:rPr>
          <w:rStyle w:val="VerbatimChar"/>
        </w:rPr>
        <w:t xml:space="preserve">PAYMENT PROVIDER</w:t>
      </w:r>
    </w:p>
    <w:p>
      <w:pPr>
        <w:pStyle w:val="SourceCode"/>
      </w:pP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     ≠</w:t>
      </w:r>
      <w:r>
        <w:br/>
      </w:r>
      <w:r>
        <w:rPr>
          <w:rStyle w:val="VerbatimChar"/>
        </w:rPr>
        <w:t xml:space="preserve">SHIPPING PROVIDER</w:t>
      </w:r>
    </w:p>
    <w:p>
      <w:pPr>
        <w:pStyle w:val="SourceCode"/>
      </w:pP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      ≠</w:t>
      </w:r>
      <w:r>
        <w:br/>
      </w:r>
      <w:r>
        <w:rPr>
          <w:rStyle w:val="VerbatimChar"/>
        </w:rPr>
        <w:t xml:space="preserve">EMAIL PROVIDER</w:t>
      </w:r>
    </w:p>
    <w:p>
      <w:pPr>
        <w:pStyle w:val="SourceCode"/>
      </w:pPr>
      <w:r>
        <w:rPr>
          <w:rStyle w:val="VerbatimChar"/>
        </w:rPr>
        <w:t xml:space="preserve">WEBHOOK</w:t>
      </w:r>
      <w:r>
        <w:br/>
      </w:r>
      <w:r>
        <w:rPr>
          <w:rStyle w:val="VerbatimChar"/>
        </w:rPr>
        <w:t xml:space="preserve">      ≠</w:t>
      </w:r>
      <w:r>
        <w:br/>
      </w:r>
      <w:r>
        <w:rPr>
          <w:rStyle w:val="VerbatimChar"/>
        </w:rPr>
        <w:t xml:space="preserve">BUSINESS EVENT</w:t>
      </w:r>
    </w:p>
    <w:p>
      <w:pPr>
        <w:pStyle w:val="SourceCode"/>
      </w:pPr>
      <w:r>
        <w:rPr>
          <w:rStyle w:val="VerbatimChar"/>
        </w:rPr>
        <w:t xml:space="preserve">INTEGRATION OPERATION</w:t>
      </w:r>
      <w:r>
        <w:br/>
      </w:r>
      <w:r>
        <w:rPr>
          <w:rStyle w:val="VerbatimChar"/>
        </w:rPr>
        <w:t xml:space="preserve">      ≠</w:t>
      </w:r>
      <w:r>
        <w:br/>
      </w:r>
      <w:r>
        <w:rPr>
          <w:rStyle w:val="VerbatimChar"/>
        </w:rPr>
        <w:t xml:space="preserve">FINANCIAL TRANSACTION</w:t>
      </w:r>
    </w:p>
    <w:p>
      <w:pPr>
        <w:pStyle w:val="SourceCode"/>
      </w:pPr>
      <w:r>
        <w:rPr>
          <w:rStyle w:val="VerbatimChar"/>
        </w:rPr>
        <w:t xml:space="preserve">PROVIDER STATUS</w:t>
      </w:r>
      <w:r>
        <w:br/>
      </w:r>
      <w:r>
        <w:rPr>
          <w:rStyle w:val="VerbatimChar"/>
        </w:rPr>
        <w:t xml:space="preserve">      ≠</w:t>
      </w:r>
      <w:r>
        <w:br/>
      </w:r>
      <w:r>
        <w:rPr>
          <w:rStyle w:val="VerbatimChar"/>
        </w:rPr>
        <w:t xml:space="preserve">DOMAIN STATUS</w:t>
      </w:r>
    </w:p>
    <w:p>
      <w:pPr>
        <w:pStyle w:val="SourceCode"/>
      </w:pPr>
      <w:r>
        <w:rPr>
          <w:rStyle w:val="VerbatimChar"/>
        </w:rPr>
        <w:t xml:space="preserve">EXTERNAL ID</w:t>
      </w:r>
      <w:r>
        <w:br/>
      </w:r>
      <w:r>
        <w:rPr>
          <w:rStyle w:val="VerbatimChar"/>
        </w:rPr>
        <w:t xml:space="preserve">      ≠</w:t>
      </w:r>
      <w:r>
        <w:br/>
      </w:r>
      <w:r>
        <w:rPr>
          <w:rStyle w:val="VerbatimChar"/>
        </w:rPr>
        <w:t xml:space="preserve">MINIHUB ID</w:t>
      </w:r>
    </w:p>
    <w:p>
      <w:r>
        <w:pict>
          <v:rect style="width:0;height:1.5pt" o:hralign="center" o:hrstd="t" o:hr="t"/>
        </w:pict>
      </w:r>
    </w:p>
    <w:bookmarkEnd w:id="161"/>
    <w:bookmarkStart w:id="162" w:name="regra-de-ouro-do-e21"/>
    <w:p>
      <w:pPr>
        <w:pStyle w:val="Heading1"/>
      </w:pPr>
      <w:r>
        <w:t xml:space="preserve">85. Regra de Ouro do E21</w:t>
      </w:r>
    </w:p>
    <w:p>
      <w:pPr>
        <w:pStyle w:val="BlockText"/>
      </w:pPr>
      <w:r>
        <w:rPr>
          <w:b/>
          <w:bCs/>
        </w:rPr>
        <w:t xml:space="preserve">O MiniHub não deverá adaptar seu domínio aos fornecedores externos. Os fornecedores externos deverão ser adaptados à arquitetura do MiniHub.</w:t>
      </w:r>
    </w:p>
    <w:p>
      <w:pPr>
        <w:pStyle w:val="FirstParagraph"/>
      </w:pPr>
      <w:r>
        <w:t xml:space="preserve">Essa decisão reduz acoplamento, facilita substituição de fornecedores, melhora testabilidade e permite que o MiniHub evolua sem reescrever seus domínios principais.</w:t>
      </w:r>
    </w:p>
    <w:p>
      <w:r>
        <w:pict>
          <v:rect style="width:0;height:1.5pt" o:hralign="center" o:hrstd="t" o:hr="t"/>
        </w:pict>
      </w:r>
    </w:p>
    <w:bookmarkEnd w:id="162"/>
    <w:bookmarkStart w:id="163" w:name="encerramento"/>
    <w:p>
      <w:pPr>
        <w:pStyle w:val="Heading1"/>
      </w:pPr>
      <w:r>
        <w:t xml:space="preserve">86. Encerramento</w:t>
      </w:r>
    </w:p>
    <w:p>
      <w:pPr>
        <w:pStyle w:val="FirstParagraph"/>
      </w:pPr>
      <w:r>
        <w:t xml:space="preserve">Com o E21, o MiniHub passa a possuir uma arquitetura formal para comunicação com sistemas externos.</w:t>
      </w:r>
    </w:p>
    <w:p>
      <w:pPr>
        <w:pStyle w:val="BodyText"/>
      </w:pPr>
      <w:r>
        <w:t xml:space="preserve">A separação final fica:</w:t>
      </w:r>
    </w:p>
    <w:p>
      <w:pPr>
        <w:pStyle w:val="SourceCode"/>
      </w:pPr>
      <w:r>
        <w:rPr>
          <w:rStyle w:val="VerbatimChar"/>
        </w:rPr>
        <w:t xml:space="preserve">E12 → PAGAMENTOS</w:t>
      </w:r>
      <w:r>
        <w:br/>
      </w:r>
      <w:r>
        <w:rPr>
          <w:rStyle w:val="VerbatimChar"/>
        </w:rPr>
        <w:t xml:space="preserve">E13 → FINANCEIRO</w:t>
      </w:r>
      <w:r>
        <w:br/>
      </w:r>
      <w:r>
        <w:rPr>
          <w:rStyle w:val="VerbatimChar"/>
        </w:rPr>
        <w:t xml:space="preserve">E15 → LOGÍSTICA</w:t>
      </w:r>
      <w:r>
        <w:br/>
      </w:r>
      <w:r>
        <w:rPr>
          <w:rStyle w:val="VerbatimChar"/>
        </w:rPr>
        <w:t xml:space="preserve">E17 → NOTIFICAÇÕES</w:t>
      </w:r>
      <w:r>
        <w:br/>
      </w:r>
      <w:r>
        <w:rPr>
          <w:rStyle w:val="VerbatimChar"/>
        </w:rPr>
        <w:t xml:space="preserve">E19 → PROMOÇÕES EXTERNAS</w:t>
      </w:r>
      <w:r>
        <w:br/>
      </w:r>
      <w:r>
        <w:rPr>
          <w:rStyle w:val="VerbatimChar"/>
        </w:rPr>
        <w:t xml:space="preserve">E20 → COMMUNITY</w:t>
      </w:r>
      <w:r>
        <w:br/>
      </w:r>
      <w:r>
        <w:rPr>
          <w:rStyle w:val="VerbatimChar"/>
        </w:rPr>
        <w:t xml:space="preserve">E21 → INTEGRAÇÕES</w:t>
      </w:r>
      <w:r>
        <w:br/>
      </w:r>
      <w:r>
        <w:rPr>
          <w:rStyle w:val="VerbatimChar"/>
        </w:rPr>
        <w:t xml:space="preserve">E22 → OBSERVABILIDADE</w:t>
      </w:r>
      <w:r>
        <w:br/>
      </w:r>
      <w:r>
        <w:rPr>
          <w:rStyle w:val="VerbatimChar"/>
        </w:rPr>
        <w:t xml:space="preserve">E23 → EVENTOS / WORKERS</w:t>
      </w:r>
      <w:r>
        <w:br/>
      </w:r>
      <w:r>
        <w:rPr>
          <w:rStyle w:val="VerbatimChar"/>
        </w:rPr>
        <w:t xml:space="preserve">E24 → QUALIDADE / TESTES</w:t>
      </w:r>
    </w:p>
    <w:p>
      <w:pPr>
        <w:pStyle w:val="FirstParagraph"/>
      </w:pPr>
      <w:r>
        <w:t xml:space="preserve">O E21, portanto,</w:t>
      </w:r>
      <w:r>
        <w:t xml:space="preserve"> </w:t>
      </w:r>
      <w:r>
        <w:rPr>
          <w:b/>
          <w:bCs/>
        </w:rPr>
        <w:t xml:space="preserve">não concentra regras de negócio</w:t>
      </w:r>
      <w:r>
        <w:t xml:space="preserve">.</w:t>
      </w:r>
    </w:p>
    <w:p>
      <w:pPr>
        <w:pStyle w:val="BodyText"/>
      </w:pPr>
      <w:r>
        <w:t xml:space="preserve">Ele fornece a infraestrutura segura e substituível que permite ao MiniHub conversar com o mundo externo.</w:t>
      </w:r>
    </w:p>
    <w:p>
      <w:pPr>
        <w:pStyle w:val="BodyText"/>
      </w:pPr>
      <w:r>
        <w:rPr>
          <w:b/>
          <w:bCs/>
        </w:rPr>
        <w:t xml:space="preserve">Princípio definitivo:</w:t>
      </w:r>
    </w:p>
    <w:p>
      <w:pPr>
        <w:pStyle w:val="BlockText"/>
      </w:pPr>
      <w:r>
        <w:rPr>
          <w:b/>
          <w:bCs/>
        </w:rPr>
        <w:t xml:space="preserve">Integrações são portas de comunicação. Domínios são donos das regras de negócio. Adapters traduzem um mundo para o outro.</w:t>
      </w:r>
    </w:p>
    <w:bookmarkEnd w:id="1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