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minihub-car"/>
    <w:p>
      <w:pPr>
        <w:pStyle w:val="Heading1"/>
      </w:pPr>
      <w:r>
        <w:t xml:space="preserve">MiniHub Car</w:t>
      </w:r>
    </w:p>
    <w:bookmarkStart w:id="10" w:name="documento-de-visão-do-produto"/>
    <w:p>
      <w:pPr>
        <w:pStyle w:val="Heading2"/>
      </w:pPr>
      <w:r>
        <w:t xml:space="preserve">Documento de Visão do Produto</w:t>
      </w:r>
    </w:p>
    <w:bookmarkStart w:id="9" w:name="versão-1.3"/>
    <w:p>
      <w:pPr>
        <w:pStyle w:val="Heading3"/>
      </w:pPr>
      <w:r>
        <w:t xml:space="preserve">Versão 1.3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-do-produto"/>
    <w:p>
      <w:pPr>
        <w:pStyle w:val="Heading2"/>
      </w:pPr>
      <w:r>
        <w:t xml:space="preserve">1. Objetivo do Produto</w:t>
      </w:r>
    </w:p>
    <w:p>
      <w:pPr>
        <w:pStyle w:val="FirstParagraph"/>
      </w:pPr>
      <w:r>
        <w:t xml:space="preserve">O MiniHub Car será uma plataforma digital especializada em colecionadores de miniaturas de veículos, oferecendo uma base confiável de informações sobre miniaturas e ferramentas para gerenciamento de coleções pessoais.</w:t>
      </w:r>
    </w:p>
    <w:p>
      <w:pPr>
        <w:pStyle w:val="BodyText"/>
      </w:pPr>
      <w:r>
        <w:t xml:space="preserve">O produto deverá evoluir progressivamente de um sistema de organização de coleções para um ecossistema voltado a:</w:t>
      </w:r>
    </w:p>
    <w:p>
      <w:pPr>
        <w:pStyle w:val="Compact"/>
        <w:numPr>
          <w:ilvl w:val="0"/>
          <w:numId w:val="1001"/>
        </w:numPr>
      </w:pPr>
      <w:r>
        <w:t xml:space="preserve">colecionadores;</w:t>
      </w:r>
    </w:p>
    <w:p>
      <w:pPr>
        <w:pStyle w:val="Compact"/>
        <w:numPr>
          <w:ilvl w:val="0"/>
          <w:numId w:val="1001"/>
        </w:numPr>
      </w:pPr>
      <w:r>
        <w:t xml:space="preserve">vendedores autorizados;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controle financeiro comercial;</w:t>
      </w:r>
    </w:p>
    <w:p>
      <w:pPr>
        <w:pStyle w:val="Compact"/>
        <w:numPr>
          <w:ilvl w:val="0"/>
          <w:numId w:val="1001"/>
        </w:numPr>
      </w:pPr>
      <w:r>
        <w:t xml:space="preserve">rifas;</w:t>
      </w:r>
    </w:p>
    <w:p>
      <w:pPr>
        <w:pStyle w:val="Compact"/>
        <w:numPr>
          <w:ilvl w:val="0"/>
          <w:numId w:val="1001"/>
        </w:numPr>
      </w:pPr>
      <w:r>
        <w:t xml:space="preserve">comércio eletrônico;</w:t>
      </w:r>
    </w:p>
    <w:p>
      <w:pPr>
        <w:pStyle w:val="Compact"/>
        <w:numPr>
          <w:ilvl w:val="0"/>
          <w:numId w:val="1001"/>
        </w:numPr>
      </w:pPr>
      <w:r>
        <w:t xml:space="preserve">logística;</w:t>
      </w:r>
    </w:p>
    <w:p>
      <w:pPr>
        <w:pStyle w:val="Compact"/>
        <w:numPr>
          <w:ilvl w:val="0"/>
          <w:numId w:val="1001"/>
        </w:numPr>
      </w:pPr>
      <w:r>
        <w:t xml:space="preserve">comunidades;</w:t>
      </w:r>
    </w:p>
    <w:p>
      <w:pPr>
        <w:pStyle w:val="Compact"/>
        <w:numPr>
          <w:ilvl w:val="0"/>
          <w:numId w:val="1001"/>
        </w:numPr>
      </w:pPr>
      <w:r>
        <w:t xml:space="preserve">marketplace.</w:t>
      </w:r>
    </w:p>
    <w:p>
      <w:pPr>
        <w:pStyle w:val="FirstParagraph"/>
      </w:pPr>
      <w:r>
        <w:t xml:space="preserve">O princípio central permanece:</w:t>
      </w:r>
    </w:p>
    <w:p>
      <w:pPr>
        <w:pStyle w:val="BlockText"/>
      </w:pPr>
      <w:r>
        <w:rPr>
          <w:b/>
          <w:bCs/>
        </w:rPr>
        <w:t xml:space="preserve">O MVP deve ser simples para o usuário, mas a arquitetura deve estar preparada para crescer.</w:t>
      </w:r>
    </w:p>
    <w:p>
      <w:r>
        <w:pict>
          <v:rect style="width:0;height:1.5pt" o:hralign="center" o:hrstd="t" o:hr="t"/>
        </w:pict>
      </w:r>
    </w:p>
    <w:bookmarkEnd w:id="11"/>
    <w:bookmarkStart w:id="16" w:name="conceito-central"/>
    <w:p>
      <w:pPr>
        <w:pStyle w:val="Heading2"/>
      </w:pPr>
      <w:r>
        <w:t xml:space="preserve">2. Conceito Central</w:t>
      </w:r>
    </w:p>
    <w:p>
      <w:pPr>
        <w:pStyle w:val="FirstParagraph"/>
      </w:pPr>
      <w:r>
        <w:t xml:space="preserve">O MiniHub será estruturado sobre quatro grandes conceitos:</w:t>
      </w:r>
    </w:p>
    <w:bookmarkStart w:id="12" w:name="catálogo"/>
    <w:p>
      <w:pPr>
        <w:pStyle w:val="Heading3"/>
      </w:pPr>
      <w:r>
        <w:t xml:space="preserve">2.1 Catálogo</w:t>
      </w:r>
    </w:p>
    <w:p>
      <w:pPr>
        <w:pStyle w:val="FirstParagraph"/>
      </w:pPr>
      <w:r>
        <w:t xml:space="preserve">O catálogo representa o conhecimento oficial mantido pelo MiniHub.</w:t>
      </w:r>
    </w:p>
    <w:p>
      <w:pPr>
        <w:pStyle w:val="BodyText"/>
      </w:pPr>
      <w:r>
        <w:t xml:space="preserve">Contém informações como:</w:t>
      </w:r>
    </w:p>
    <w:p>
      <w:pPr>
        <w:pStyle w:val="Compact"/>
        <w:numPr>
          <w:ilvl w:val="0"/>
          <w:numId w:val="1002"/>
        </w:numPr>
      </w:pPr>
      <w:r>
        <w:t xml:space="preserve">marcas de miniaturas;</w:t>
      </w:r>
    </w:p>
    <w:p>
      <w:pPr>
        <w:pStyle w:val="Compact"/>
        <w:numPr>
          <w:ilvl w:val="0"/>
          <w:numId w:val="1002"/>
        </w:numPr>
      </w:pPr>
      <w:r>
        <w:t xml:space="preserve">montadoras;</w:t>
      </w:r>
    </w:p>
    <w:p>
      <w:pPr>
        <w:pStyle w:val="Compact"/>
        <w:numPr>
          <w:ilvl w:val="0"/>
          <w:numId w:val="1002"/>
        </w:numPr>
      </w:pPr>
      <w:r>
        <w:t xml:space="preserve">modelos de veículos;</w:t>
      </w:r>
    </w:p>
    <w:p>
      <w:pPr>
        <w:pStyle w:val="Compact"/>
        <w:numPr>
          <w:ilvl w:val="0"/>
          <w:numId w:val="1002"/>
        </w:numPr>
      </w:pPr>
      <w:r>
        <w:t xml:space="preserve">castings;</w:t>
      </w:r>
    </w:p>
    <w:p>
      <w:pPr>
        <w:pStyle w:val="Compact"/>
        <w:numPr>
          <w:ilvl w:val="0"/>
          <w:numId w:val="1002"/>
        </w:numPr>
      </w:pPr>
      <w:r>
        <w:t xml:space="preserve">escalas;</w:t>
      </w:r>
    </w:p>
    <w:p>
      <w:pPr>
        <w:pStyle w:val="Compact"/>
        <w:numPr>
          <w:ilvl w:val="0"/>
          <w:numId w:val="1002"/>
        </w:numPr>
      </w:pPr>
      <w:r>
        <w:t xml:space="preserve">séries;</w:t>
      </w:r>
    </w:p>
    <w:p>
      <w:pPr>
        <w:pStyle w:val="Compact"/>
        <w:numPr>
          <w:ilvl w:val="0"/>
          <w:numId w:val="1002"/>
        </w:numPr>
      </w:pPr>
      <w:r>
        <w:t xml:space="preserve">franquias;</w:t>
      </w:r>
    </w:p>
    <w:p>
      <w:pPr>
        <w:pStyle w:val="Compact"/>
        <w:numPr>
          <w:ilvl w:val="0"/>
          <w:numId w:val="1002"/>
        </w:numPr>
      </w:pPr>
      <w:r>
        <w:t xml:space="preserve">variações;</w:t>
      </w:r>
    </w:p>
    <w:p>
      <w:pPr>
        <w:pStyle w:val="Compact"/>
        <w:numPr>
          <w:ilvl w:val="0"/>
          <w:numId w:val="1002"/>
        </w:numPr>
      </w:pPr>
      <w:r>
        <w:t xml:space="preserve">códigos e identificadores.</w:t>
      </w:r>
    </w:p>
    <w:p>
      <w:pPr>
        <w:pStyle w:val="FirstParagraph"/>
      </w:pPr>
      <w:r>
        <w:t xml:space="preserve">O catálogo é compartilhado entre os usuários.</w:t>
      </w:r>
    </w:p>
    <w:bookmarkEnd w:id="12"/>
    <w:bookmarkStart w:id="13" w:name="coleção"/>
    <w:p>
      <w:pPr>
        <w:pStyle w:val="Heading3"/>
      </w:pPr>
      <w:r>
        <w:t xml:space="preserve">2.2 Coleção</w:t>
      </w:r>
    </w:p>
    <w:p>
      <w:pPr>
        <w:pStyle w:val="FirstParagraph"/>
      </w:pPr>
      <w:r>
        <w:t xml:space="preserve">A coleção representa os exemplares físicos pertencentes ao usuário.</w:t>
      </w:r>
    </w:p>
    <w:p>
      <w:pPr>
        <w:pStyle w:val="BodyText"/>
      </w:pPr>
      <w:r>
        <w:t xml:space="preserve">Uma mesma variação pode possuir vários exemplares.</w:t>
      </w:r>
    </w:p>
    <w:p>
      <w:pPr>
        <w:pStyle w:val="BodyText"/>
      </w:pPr>
      <w:r>
        <w:t xml:space="preserve">Cada exemplar poderá possuir:</w:t>
      </w:r>
    </w:p>
    <w:p>
      <w:pPr>
        <w:pStyle w:val="Compact"/>
        <w:numPr>
          <w:ilvl w:val="0"/>
          <w:numId w:val="1003"/>
        </w:numPr>
      </w:pPr>
      <w:r>
        <w:t xml:space="preserve">condição;</w:t>
      </w:r>
    </w:p>
    <w:p>
      <w:pPr>
        <w:pStyle w:val="Compact"/>
        <w:numPr>
          <w:ilvl w:val="0"/>
          <w:numId w:val="1003"/>
        </w:numPr>
      </w:pPr>
      <w:r>
        <w:t xml:space="preserve">custo de aquisição;</w:t>
      </w:r>
    </w:p>
    <w:p>
      <w:pPr>
        <w:pStyle w:val="Compact"/>
        <w:numPr>
          <w:ilvl w:val="0"/>
          <w:numId w:val="1003"/>
        </w:numPr>
      </w:pPr>
      <w:r>
        <w:t xml:space="preserve">data de aquisição;</w:t>
      </w:r>
    </w:p>
    <w:p>
      <w:pPr>
        <w:pStyle w:val="Compact"/>
        <w:numPr>
          <w:ilvl w:val="0"/>
          <w:numId w:val="1003"/>
        </w:numPr>
      </w:pPr>
      <w:r>
        <w:t xml:space="preserve">localização;</w:t>
      </w:r>
    </w:p>
    <w:p>
      <w:pPr>
        <w:pStyle w:val="Compact"/>
        <w:numPr>
          <w:ilvl w:val="0"/>
          <w:numId w:val="1003"/>
        </w:numPr>
      </w:pPr>
      <w:r>
        <w:t xml:space="preserve">fotos;</w:t>
      </w:r>
    </w:p>
    <w:p>
      <w:pPr>
        <w:pStyle w:val="Compact"/>
        <w:numPr>
          <w:ilvl w:val="0"/>
          <w:numId w:val="1003"/>
        </w:numPr>
      </w:pPr>
      <w:r>
        <w:t xml:space="preserve">observações;</w:t>
      </w:r>
    </w:p>
    <w:p>
      <w:pPr>
        <w:pStyle w:val="Compact"/>
        <w:numPr>
          <w:ilvl w:val="0"/>
          <w:numId w:val="1003"/>
        </w:numPr>
      </w:pPr>
      <w:r>
        <w:t xml:space="preserve">histórico;</w:t>
      </w:r>
    </w:p>
    <w:p>
      <w:pPr>
        <w:pStyle w:val="Compact"/>
        <w:numPr>
          <w:ilvl w:val="0"/>
          <w:numId w:val="1003"/>
        </w:numPr>
      </w:pPr>
      <w:r>
        <w:t xml:space="preserve">situação de venda.</w:t>
      </w:r>
    </w:p>
    <w:p>
      <w:pPr>
        <w:pStyle w:val="BlockText"/>
      </w:pPr>
      <w:r>
        <w:rPr>
          <w:b/>
          <w:bCs/>
        </w:rPr>
        <w:t xml:space="preserve">O catálogo é patrimônio de informação do MiniHub; a coleção é patrimônio do usuário.</w:t>
      </w:r>
    </w:p>
    <w:bookmarkEnd w:id="13"/>
    <w:bookmarkStart w:id="14" w:name="comércio"/>
    <w:p>
      <w:pPr>
        <w:pStyle w:val="Heading3"/>
      </w:pPr>
      <w:r>
        <w:t xml:space="preserve">2.3 Comércio</w:t>
      </w:r>
    </w:p>
    <w:p>
      <w:pPr>
        <w:pStyle w:val="FirstParagraph"/>
      </w:pPr>
      <w:r>
        <w:t xml:space="preserve">O comércio será introduzido após o MVP e permitirá:</w:t>
      </w:r>
    </w:p>
    <w:p>
      <w:pPr>
        <w:pStyle w:val="Compact"/>
        <w:numPr>
          <w:ilvl w:val="0"/>
          <w:numId w:val="1004"/>
        </w:numPr>
      </w:pPr>
      <w:r>
        <w:t xml:space="preserve">vendedores autorizados;</w:t>
      </w:r>
    </w:p>
    <w:p>
      <w:pPr>
        <w:pStyle w:val="Compact"/>
        <w:numPr>
          <w:ilvl w:val="0"/>
          <w:numId w:val="1004"/>
        </w:numPr>
      </w:pPr>
      <w:r>
        <w:t xml:space="preserve">pré-vendas;</w:t>
      </w:r>
    </w:p>
    <w:p>
      <w:pPr>
        <w:pStyle w:val="Compact"/>
        <w:numPr>
          <w:ilvl w:val="0"/>
          <w:numId w:val="1004"/>
        </w:numPr>
      </w:pPr>
      <w:r>
        <w:t xml:space="preserve">reservas;</w:t>
      </w:r>
    </w:p>
    <w:p>
      <w:pPr>
        <w:pStyle w:val="Compact"/>
        <w:numPr>
          <w:ilvl w:val="0"/>
          <w:numId w:val="1004"/>
        </w:numPr>
      </w:pPr>
      <w:r>
        <w:t xml:space="preserve">parcelas;</w:t>
      </w:r>
    </w:p>
    <w:p>
      <w:pPr>
        <w:pStyle w:val="Compact"/>
        <w:numPr>
          <w:ilvl w:val="0"/>
          <w:numId w:val="1004"/>
        </w:numPr>
      </w:pPr>
      <w:r>
        <w:t xml:space="preserve">pagamentos;</w:t>
      </w:r>
    </w:p>
    <w:p>
      <w:pPr>
        <w:pStyle w:val="Compact"/>
        <w:numPr>
          <w:ilvl w:val="0"/>
          <w:numId w:val="1004"/>
        </w:numPr>
      </w:pPr>
      <w:r>
        <w:t xml:space="preserve">controle financeiro comercial;</w:t>
      </w:r>
    </w:p>
    <w:p>
      <w:pPr>
        <w:pStyle w:val="Compact"/>
        <w:numPr>
          <w:ilvl w:val="0"/>
          <w:numId w:val="1004"/>
        </w:numPr>
      </w:pPr>
      <w:r>
        <w:t xml:space="preserve">loja virtual;</w:t>
      </w:r>
    </w:p>
    <w:p>
      <w:pPr>
        <w:pStyle w:val="Compact"/>
        <w:numPr>
          <w:ilvl w:val="0"/>
          <w:numId w:val="1004"/>
        </w:numPr>
      </w:pPr>
      <w:r>
        <w:t xml:space="preserve">pedidos;</w:t>
      </w:r>
    </w:p>
    <w:p>
      <w:pPr>
        <w:pStyle w:val="Compact"/>
        <w:numPr>
          <w:ilvl w:val="0"/>
          <w:numId w:val="1004"/>
        </w:numPr>
      </w:pPr>
      <w:r>
        <w:t xml:space="preserve">garagem;</w:t>
      </w:r>
    </w:p>
    <w:p>
      <w:pPr>
        <w:pStyle w:val="Compact"/>
        <w:numPr>
          <w:ilvl w:val="0"/>
          <w:numId w:val="1004"/>
        </w:numPr>
      </w:pPr>
      <w:r>
        <w:t xml:space="preserve">consolidação;</w:t>
      </w:r>
    </w:p>
    <w:p>
      <w:pPr>
        <w:pStyle w:val="Compact"/>
        <w:numPr>
          <w:ilvl w:val="0"/>
          <w:numId w:val="1004"/>
        </w:numPr>
      </w:pPr>
      <w:r>
        <w:t xml:space="preserve">despacho;</w:t>
      </w:r>
    </w:p>
    <w:p>
      <w:pPr>
        <w:pStyle w:val="Compact"/>
        <w:numPr>
          <w:ilvl w:val="0"/>
          <w:numId w:val="1004"/>
        </w:numPr>
      </w:pPr>
      <w:r>
        <w:t xml:space="preserve">frete;</w:t>
      </w:r>
    </w:p>
    <w:p>
      <w:pPr>
        <w:pStyle w:val="Compact"/>
        <w:numPr>
          <w:ilvl w:val="0"/>
          <w:numId w:val="1004"/>
        </w:numPr>
      </w:pPr>
      <w:r>
        <w:t xml:space="preserve">rastreamento.</w:t>
      </w:r>
    </w:p>
    <w:p>
      <w:pPr>
        <w:pStyle w:val="FirstParagraph"/>
      </w:pPr>
      <w:r>
        <w:t xml:space="preserve">O comércio deverá permanecer separado conceitualmente da coleção pessoal.</w:t>
      </w:r>
    </w:p>
    <w:bookmarkEnd w:id="14"/>
    <w:bookmarkStart w:id="15" w:name="serviços-transversais"/>
    <w:p>
      <w:pPr>
        <w:pStyle w:val="Heading3"/>
      </w:pPr>
      <w:r>
        <w:t xml:space="preserve">2.4 Serviços transversais</w:t>
      </w:r>
    </w:p>
    <w:p>
      <w:pPr>
        <w:pStyle w:val="FirstParagraph"/>
      </w:pPr>
      <w:r>
        <w:t xml:space="preserve">Algumas funcionalidades deverão ser construídas de forma reutilizável para diferentes módulos:</w:t>
      </w:r>
    </w:p>
    <w:p>
      <w:pPr>
        <w:pStyle w:val="Compact"/>
        <w:numPr>
          <w:ilvl w:val="0"/>
          <w:numId w:val="1005"/>
        </w:numPr>
      </w:pPr>
      <w:r>
        <w:t xml:space="preserve">notificações;</w:t>
      </w:r>
    </w:p>
    <w:p>
      <w:pPr>
        <w:pStyle w:val="Compact"/>
        <w:numPr>
          <w:ilvl w:val="0"/>
          <w:numId w:val="1005"/>
        </w:numPr>
      </w:pPr>
      <w:r>
        <w:t xml:space="preserve">auditoria;</w:t>
      </w:r>
    </w:p>
    <w:p>
      <w:pPr>
        <w:pStyle w:val="Compact"/>
        <w:numPr>
          <w:ilvl w:val="0"/>
          <w:numId w:val="1005"/>
        </w:numPr>
      </w:pPr>
      <w:r>
        <w:t xml:space="preserve">autenticação;</w:t>
      </w:r>
    </w:p>
    <w:p>
      <w:pPr>
        <w:pStyle w:val="Compact"/>
        <w:numPr>
          <w:ilvl w:val="0"/>
          <w:numId w:val="1005"/>
        </w:numPr>
      </w:pPr>
      <w:r>
        <w:t xml:space="preserve">autorização;</w:t>
      </w:r>
    </w:p>
    <w:p>
      <w:pPr>
        <w:pStyle w:val="Compact"/>
        <w:numPr>
          <w:ilvl w:val="0"/>
          <w:numId w:val="1005"/>
        </w:numPr>
      </w:pPr>
      <w:r>
        <w:t xml:space="preserve">arquivos;</w:t>
      </w:r>
    </w:p>
    <w:p>
      <w:pPr>
        <w:pStyle w:val="Compact"/>
        <w:numPr>
          <w:ilvl w:val="0"/>
          <w:numId w:val="1005"/>
        </w:numPr>
      </w:pPr>
      <w:r>
        <w:t xml:space="preserve">pesquisa;</w:t>
      </w:r>
    </w:p>
    <w:p>
      <w:pPr>
        <w:pStyle w:val="Compact"/>
        <w:numPr>
          <w:ilvl w:val="0"/>
          <w:numId w:val="1005"/>
        </w:numPr>
      </w:pPr>
      <w:r>
        <w:t xml:space="preserve">histórico;</w:t>
      </w:r>
    </w:p>
    <w:p>
      <w:pPr>
        <w:pStyle w:val="Compact"/>
        <w:numPr>
          <w:ilvl w:val="0"/>
          <w:numId w:val="1005"/>
        </w:numPr>
      </w:pPr>
      <w:r>
        <w:t xml:space="preserve">pagamentos;</w:t>
      </w:r>
    </w:p>
    <w:p>
      <w:pPr>
        <w:pStyle w:val="Compact"/>
        <w:numPr>
          <w:ilvl w:val="0"/>
          <w:numId w:val="1005"/>
        </w:numPr>
      </w:pPr>
      <w:r>
        <w:t xml:space="preserve">integração com serviços externos.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mvp"/>
    <w:p>
      <w:pPr>
        <w:pStyle w:val="Heading2"/>
      </w:pPr>
      <w:r>
        <w:t xml:space="preserve">3. MVP</w:t>
      </w:r>
    </w:p>
    <w:p>
      <w:pPr>
        <w:pStyle w:val="FirstParagraph"/>
      </w:pPr>
      <w:r>
        <w:t xml:space="preserve">O MVP deverá concentrar-se em:</w:t>
      </w:r>
    </w:p>
    <w:p>
      <w:pPr>
        <w:pStyle w:val="Compact"/>
        <w:numPr>
          <w:ilvl w:val="0"/>
          <w:numId w:val="1006"/>
        </w:numPr>
      </w:pPr>
      <w:r>
        <w:t xml:space="preserve">autenticação;</w:t>
      </w:r>
    </w:p>
    <w:p>
      <w:pPr>
        <w:pStyle w:val="Compact"/>
        <w:numPr>
          <w:ilvl w:val="0"/>
          <w:numId w:val="1006"/>
        </w:numPr>
      </w:pPr>
      <w:r>
        <w:t xml:space="preserve">catálogo;</w:t>
      </w:r>
    </w:p>
    <w:p>
      <w:pPr>
        <w:pStyle w:val="Compact"/>
        <w:numPr>
          <w:ilvl w:val="0"/>
          <w:numId w:val="1006"/>
        </w:numPr>
      </w:pPr>
      <w:r>
        <w:t xml:space="preserve">pesquisa;</w:t>
      </w:r>
    </w:p>
    <w:p>
      <w:pPr>
        <w:pStyle w:val="Compact"/>
        <w:numPr>
          <w:ilvl w:val="0"/>
          <w:numId w:val="1006"/>
        </w:numPr>
      </w:pPr>
      <w:r>
        <w:t xml:space="preserve">detalhes de miniaturas;</w:t>
      </w:r>
    </w:p>
    <w:p>
      <w:pPr>
        <w:pStyle w:val="Compact"/>
        <w:numPr>
          <w:ilvl w:val="0"/>
          <w:numId w:val="1006"/>
        </w:numPr>
      </w:pPr>
      <w:r>
        <w:t xml:space="preserve">coleção;</w:t>
      </w:r>
    </w:p>
    <w:p>
      <w:pPr>
        <w:pStyle w:val="Compact"/>
        <w:numPr>
          <w:ilvl w:val="0"/>
          <w:numId w:val="1006"/>
        </w:numPr>
      </w:pPr>
      <w:r>
        <w:t xml:space="preserve">exemplares;</w:t>
      </w:r>
    </w:p>
    <w:p>
      <w:pPr>
        <w:pStyle w:val="Compact"/>
        <w:numPr>
          <w:ilvl w:val="0"/>
          <w:numId w:val="1006"/>
        </w:numPr>
      </w:pPr>
      <w:r>
        <w:t xml:space="preserve">localizações;</w:t>
      </w:r>
    </w:p>
    <w:p>
      <w:pPr>
        <w:pStyle w:val="Compact"/>
        <w:numPr>
          <w:ilvl w:val="0"/>
          <w:numId w:val="1006"/>
        </w:numPr>
      </w:pPr>
      <w:r>
        <w:t xml:space="preserve">compras;</w:t>
      </w:r>
    </w:p>
    <w:p>
      <w:pPr>
        <w:pStyle w:val="Compact"/>
        <w:numPr>
          <w:ilvl w:val="0"/>
          <w:numId w:val="1006"/>
        </w:numPr>
      </w:pPr>
      <w:r>
        <w:t xml:space="preserve">vendas;</w:t>
      </w:r>
    </w:p>
    <w:p>
      <w:pPr>
        <w:pStyle w:val="Compact"/>
        <w:numPr>
          <w:ilvl w:val="0"/>
          <w:numId w:val="1006"/>
        </w:numPr>
      </w:pPr>
      <w:r>
        <w:t xml:space="preserve">wishlist;</w:t>
      </w:r>
    </w:p>
    <w:p>
      <w:pPr>
        <w:pStyle w:val="Compact"/>
        <w:numPr>
          <w:ilvl w:val="0"/>
          <w:numId w:val="1006"/>
        </w:numPr>
      </w:pPr>
      <w:r>
        <w:t xml:space="preserve">listas personalizadas;</w:t>
      </w:r>
    </w:p>
    <w:p>
      <w:pPr>
        <w:pStyle w:val="Compact"/>
        <w:numPr>
          <w:ilvl w:val="0"/>
          <w:numId w:val="1006"/>
        </w:numPr>
      </w:pPr>
      <w:r>
        <w:t xml:space="preserve">solicitações de inclusão no catálogo;</w:t>
      </w:r>
    </w:p>
    <w:p>
      <w:pPr>
        <w:pStyle w:val="Compact"/>
        <w:numPr>
          <w:ilvl w:val="0"/>
          <w:numId w:val="1006"/>
        </w:numPr>
      </w:pPr>
      <w:r>
        <w:t xml:space="preserve">histórico;</w:t>
      </w:r>
    </w:p>
    <w:p>
      <w:pPr>
        <w:pStyle w:val="Compact"/>
        <w:numPr>
          <w:ilvl w:val="0"/>
          <w:numId w:val="1006"/>
        </w:numPr>
      </w:pPr>
      <w:r>
        <w:t xml:space="preserve">dashboard;</w:t>
      </w:r>
    </w:p>
    <w:p>
      <w:pPr>
        <w:pStyle w:val="Compact"/>
        <w:numPr>
          <w:ilvl w:val="0"/>
          <w:numId w:val="1006"/>
        </w:numPr>
      </w:pPr>
      <w:r>
        <w:t xml:space="preserve">administração básica do catálogo.</w:t>
      </w:r>
    </w:p>
    <w:p>
      <w:pPr>
        <w:pStyle w:val="FirstParagraph"/>
      </w:pPr>
      <w:r>
        <w:t xml:space="preserve">Nenhum módulo comercial avançado será necessário para validar o MVP.</w:t>
      </w:r>
    </w:p>
    <w:p>
      <w:pPr>
        <w:pStyle w:val="BodyText"/>
      </w:pPr>
      <w:r>
        <w:t xml:space="preserve">Entretanto, o modelo arquitetural não deverá impedir sua implementação posterior.</w:t>
      </w:r>
    </w:p>
    <w:p>
      <w:r>
        <w:pict>
          <v:rect style="width:0;height:1.5pt" o:hralign="center" o:hrstd="t" o:hr="t"/>
        </w:pict>
      </w:r>
    </w:p>
    <w:bookmarkEnd w:id="17"/>
    <w:bookmarkStart w:id="18" w:name="evolução-comercial"/>
    <w:p>
      <w:pPr>
        <w:pStyle w:val="Heading2"/>
      </w:pPr>
      <w:r>
        <w:t xml:space="preserve">4. Evolução Comercial</w:t>
      </w:r>
    </w:p>
    <w:p>
      <w:pPr>
        <w:pStyle w:val="FirstParagraph"/>
      </w:pPr>
      <w:r>
        <w:t xml:space="preserve">A evolução comercial prevista será: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VENDEDORES AUTORIZADOS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CONTROLE FINANCEIRO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LOJA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CONSOLIDAÇÃO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 / COMUNIDADE</w:t>
      </w:r>
    </w:p>
    <w:p>
      <w:r>
        <w:pict>
          <v:rect style="width:0;height:1.5pt" o:hralign="center" o:hrstd="t" o:hr="t"/>
        </w:pict>
      </w:r>
    </w:p>
    <w:bookmarkEnd w:id="18"/>
    <w:bookmarkStart w:id="19" w:name="pré-vendas"/>
    <w:p>
      <w:pPr>
        <w:pStyle w:val="Heading2"/>
      </w:pPr>
      <w:r>
        <w:t xml:space="preserve">5. Pré-vendas</w:t>
      </w:r>
    </w:p>
    <w:p>
      <w:pPr>
        <w:pStyle w:val="FirstParagraph"/>
      </w:pPr>
      <w:r>
        <w:t xml:space="preserve">A pré-venda permitirá que vendedores autorizados ofereçam miniaturas antes de sua disponibilidade física.</w:t>
      </w:r>
    </w:p>
    <w:p>
      <w:pPr>
        <w:pStyle w:val="BodyText"/>
      </w:pPr>
      <w:r>
        <w:t xml:space="preserve">Uma pré-venda poderá possuir:</w:t>
      </w:r>
    </w:p>
    <w:p>
      <w:pPr>
        <w:pStyle w:val="Compact"/>
        <w:numPr>
          <w:ilvl w:val="0"/>
          <w:numId w:val="1007"/>
        </w:numPr>
      </w:pPr>
      <w:r>
        <w:t xml:space="preserve">vendedor;</w:t>
      </w:r>
    </w:p>
    <w:p>
      <w:pPr>
        <w:pStyle w:val="Compact"/>
        <w:numPr>
          <w:ilvl w:val="0"/>
          <w:numId w:val="1007"/>
        </w:numPr>
      </w:pPr>
      <w:r>
        <w:t xml:space="preserve">comprador;</w:t>
      </w:r>
    </w:p>
    <w:p>
      <w:pPr>
        <w:pStyle w:val="Compact"/>
        <w:numPr>
          <w:ilvl w:val="0"/>
          <w:numId w:val="1007"/>
        </w:numPr>
      </w:pPr>
      <w:r>
        <w:t xml:space="preserve">miniatura/variação;</w:t>
      </w:r>
    </w:p>
    <w:p>
      <w:pPr>
        <w:pStyle w:val="Compact"/>
        <w:numPr>
          <w:ilvl w:val="0"/>
          <w:numId w:val="1007"/>
        </w:numPr>
      </w:pPr>
      <w:r>
        <w:t xml:space="preserve">quantidade;</w:t>
      </w:r>
    </w:p>
    <w:p>
      <w:pPr>
        <w:pStyle w:val="Compact"/>
        <w:numPr>
          <w:ilvl w:val="0"/>
          <w:numId w:val="1007"/>
        </w:numPr>
      </w:pPr>
      <w:r>
        <w:t xml:space="preserve">preço;</w:t>
      </w:r>
    </w:p>
    <w:p>
      <w:pPr>
        <w:pStyle w:val="Compact"/>
        <w:numPr>
          <w:ilvl w:val="0"/>
          <w:numId w:val="1007"/>
        </w:numPr>
      </w:pPr>
      <w:r>
        <w:t xml:space="preserve">condições de pagamento;</w:t>
      </w:r>
    </w:p>
    <w:p>
      <w:pPr>
        <w:pStyle w:val="Compact"/>
        <w:numPr>
          <w:ilvl w:val="0"/>
          <w:numId w:val="1007"/>
        </w:numPr>
      </w:pPr>
      <w:r>
        <w:t xml:space="preserve">número de parcelas;</w:t>
      </w:r>
    </w:p>
    <w:p>
      <w:pPr>
        <w:pStyle w:val="Compact"/>
        <w:numPr>
          <w:ilvl w:val="0"/>
          <w:numId w:val="1007"/>
        </w:numPr>
      </w:pPr>
      <w:r>
        <w:t xml:space="preserve">vencimentos;</w:t>
      </w:r>
    </w:p>
    <w:p>
      <w:pPr>
        <w:pStyle w:val="Compact"/>
        <w:numPr>
          <w:ilvl w:val="0"/>
          <w:numId w:val="1007"/>
        </w:numPr>
      </w:pPr>
      <w:r>
        <w:t xml:space="preserve">pagamentos;</w:t>
      </w:r>
    </w:p>
    <w:p>
      <w:pPr>
        <w:pStyle w:val="Compact"/>
        <w:numPr>
          <w:ilvl w:val="0"/>
          <w:numId w:val="1007"/>
        </w:numPr>
      </w:pPr>
      <w:r>
        <w:t xml:space="preserve">saldo;</w:t>
      </w:r>
    </w:p>
    <w:p>
      <w:pPr>
        <w:pStyle w:val="Compact"/>
        <w:numPr>
          <w:ilvl w:val="0"/>
          <w:numId w:val="1007"/>
        </w:numPr>
      </w:pPr>
      <w:r>
        <w:t xml:space="preserve">status;</w:t>
      </w:r>
    </w:p>
    <w:p>
      <w:pPr>
        <w:pStyle w:val="Compact"/>
        <w:numPr>
          <w:ilvl w:val="0"/>
          <w:numId w:val="1007"/>
        </w:numPr>
      </w:pPr>
      <w:r>
        <w:t xml:space="preserve">histórico.</w:t>
      </w:r>
    </w:p>
    <w:p>
      <w:pPr>
        <w:pStyle w:val="FirstParagraph"/>
      </w:pPr>
      <w:r>
        <w:t xml:space="preserve">O comprador deverá conseguir acompanhar suas próprias pré-vendas.</w:t>
      </w:r>
    </w:p>
    <w:p>
      <w:pPr>
        <w:pStyle w:val="BodyText"/>
      </w:pPr>
      <w:r>
        <w:t xml:space="preserve">O vendedor deverá possuir visão consolidada de suas pré-vendas e parcelas.</w:t>
      </w:r>
    </w:p>
    <w:p>
      <w:r>
        <w:pict>
          <v:rect style="width:0;height:1.5pt" o:hralign="center" o:hrstd="t" o:hr="t"/>
        </w:pict>
      </w:r>
    </w:p>
    <w:bookmarkEnd w:id="19"/>
    <w:bookmarkStart w:id="20" w:name="controle-financeiro-da-pré-venda"/>
    <w:p>
      <w:pPr>
        <w:pStyle w:val="Heading2"/>
      </w:pPr>
      <w:r>
        <w:t xml:space="preserve">6. Controle Financeiro da Pré-venda</w:t>
      </w:r>
    </w:p>
    <w:p>
      <w:pPr>
        <w:pStyle w:val="FirstParagraph"/>
      </w:pPr>
      <w:r>
        <w:t xml:space="preserve">O MiniHub deverá possuir futuramente um controle financeiro comercial específico para pré-vendas.</w:t>
      </w:r>
    </w:p>
    <w:p>
      <w:pPr>
        <w:pStyle w:val="BodyText"/>
      </w:pPr>
      <w:r>
        <w:t xml:space="preserve">Esse controle deverá permitir:</w:t>
      </w:r>
    </w:p>
    <w:p>
      <w:pPr>
        <w:pStyle w:val="Compact"/>
        <w:numPr>
          <w:ilvl w:val="0"/>
          <w:numId w:val="1008"/>
        </w:numPr>
      </w:pPr>
      <w:r>
        <w:t xml:space="preserve">geração de parcelas;</w:t>
      </w:r>
    </w:p>
    <w:p>
      <w:pPr>
        <w:pStyle w:val="Compact"/>
        <w:numPr>
          <w:ilvl w:val="0"/>
          <w:numId w:val="1008"/>
        </w:numPr>
      </w:pPr>
      <w:r>
        <w:t xml:space="preserve">definição de vencimentos;</w:t>
      </w:r>
    </w:p>
    <w:p>
      <w:pPr>
        <w:pStyle w:val="Compact"/>
        <w:numPr>
          <w:ilvl w:val="0"/>
          <w:numId w:val="1008"/>
        </w:numPr>
      </w:pPr>
      <w:r>
        <w:t xml:space="preserve">acompanhamento de valores a receber;</w:t>
      </w:r>
    </w:p>
    <w:p>
      <w:pPr>
        <w:pStyle w:val="Compact"/>
        <w:numPr>
          <w:ilvl w:val="0"/>
          <w:numId w:val="1008"/>
        </w:numPr>
      </w:pPr>
      <w:r>
        <w:t xml:space="preserve">registro de pagamentos;</w:t>
      </w:r>
    </w:p>
    <w:p>
      <w:pPr>
        <w:pStyle w:val="Compact"/>
        <w:numPr>
          <w:ilvl w:val="0"/>
          <w:numId w:val="1008"/>
        </w:numPr>
      </w:pPr>
      <w:r>
        <w:t xml:space="preserve">pagamentos parciais;</w:t>
      </w:r>
    </w:p>
    <w:p>
      <w:pPr>
        <w:pStyle w:val="Compact"/>
        <w:numPr>
          <w:ilvl w:val="0"/>
          <w:numId w:val="1008"/>
        </w:numPr>
      </w:pPr>
      <w:r>
        <w:t xml:space="preserve">saldo;</w:t>
      </w:r>
    </w:p>
    <w:p>
      <w:pPr>
        <w:pStyle w:val="Compact"/>
        <w:numPr>
          <w:ilvl w:val="0"/>
          <w:numId w:val="1008"/>
        </w:numPr>
      </w:pPr>
      <w:r>
        <w:t xml:space="preserve">parcelas vencidas;</w:t>
      </w:r>
    </w:p>
    <w:p>
      <w:pPr>
        <w:pStyle w:val="Compact"/>
        <w:numPr>
          <w:ilvl w:val="0"/>
          <w:numId w:val="1008"/>
        </w:numPr>
      </w:pPr>
      <w:r>
        <w:t xml:space="preserve">histórico financeiro;</w:t>
      </w:r>
    </w:p>
    <w:p>
      <w:pPr>
        <w:pStyle w:val="Compact"/>
        <w:numPr>
          <w:ilvl w:val="0"/>
          <w:numId w:val="1008"/>
        </w:numPr>
      </w:pPr>
      <w:r>
        <w:t xml:space="preserve">cancelamentos;</w:t>
      </w:r>
    </w:p>
    <w:p>
      <w:pPr>
        <w:pStyle w:val="Compact"/>
        <w:numPr>
          <w:ilvl w:val="0"/>
          <w:numId w:val="1008"/>
        </w:numPr>
      </w:pPr>
      <w:r>
        <w:t xml:space="preserve">estornos.</w:t>
      </w:r>
    </w:p>
    <w:p>
      <w:pPr>
        <w:pStyle w:val="FirstParagraph"/>
      </w:pPr>
      <w:r>
        <w:t xml:space="preserve">Esse controle não representa inicialmente uma contabilidade empresarial completa.</w:t>
      </w:r>
    </w:p>
    <w:p>
      <w:pPr>
        <w:pStyle w:val="BodyText"/>
      </w:pPr>
      <w:r>
        <w:t xml:space="preserve">Trata-se de um:</w:t>
      </w:r>
    </w:p>
    <w:p>
      <w:pPr>
        <w:pStyle w:val="BlockText"/>
      </w:pPr>
      <w:r>
        <w:rPr>
          <w:b/>
          <w:bCs/>
        </w:rPr>
        <w:t xml:space="preserve">Controle Financeiro Comercial / Conta Corrente da Pré-venda.</w:t>
      </w:r>
    </w:p>
    <w:p>
      <w:r>
        <w:pict>
          <v:rect style="width:0;height:1.5pt" o:hralign="center" o:hrstd="t" o:hr="t"/>
        </w:pict>
      </w:r>
    </w:p>
    <w:bookmarkEnd w:id="20"/>
    <w:bookmarkStart w:id="21" w:name="notificações"/>
    <w:p>
      <w:pPr>
        <w:pStyle w:val="Heading2"/>
      </w:pPr>
      <w:r>
        <w:t xml:space="preserve">7. Notificações</w:t>
      </w:r>
    </w:p>
    <w:p>
      <w:pPr>
        <w:pStyle w:val="FirstParagraph"/>
      </w:pPr>
      <w:r>
        <w:t xml:space="preserve">O MiniHub deverá possuir futuramente um serviço de notificações reutilizável.</w:t>
      </w:r>
    </w:p>
    <w:p>
      <w:pPr>
        <w:pStyle w:val="BodyText"/>
      </w:pPr>
      <w:r>
        <w:t xml:space="preserve">Para parcelas, deverá ser possível configurar alertas como:</w:t>
      </w:r>
    </w:p>
    <w:p>
      <w:pPr>
        <w:pStyle w:val="Compact"/>
        <w:numPr>
          <w:ilvl w:val="0"/>
          <w:numId w:val="1009"/>
        </w:numPr>
      </w:pPr>
      <w:r>
        <w:t xml:space="preserve">5 dias antes do vencimento;</w:t>
      </w:r>
    </w:p>
    <w:p>
      <w:pPr>
        <w:pStyle w:val="Compact"/>
        <w:numPr>
          <w:ilvl w:val="0"/>
          <w:numId w:val="1009"/>
        </w:numPr>
      </w:pPr>
      <w:r>
        <w:t xml:space="preserve">no dia do vencimento;</w:t>
      </w:r>
    </w:p>
    <w:p>
      <w:pPr>
        <w:pStyle w:val="Compact"/>
        <w:numPr>
          <w:ilvl w:val="0"/>
          <w:numId w:val="1009"/>
        </w:numPr>
      </w:pPr>
      <w:r>
        <w:t xml:space="preserve">após o vencimento;</w:t>
      </w:r>
    </w:p>
    <w:p>
      <w:pPr>
        <w:pStyle w:val="Compact"/>
        <w:numPr>
          <w:ilvl w:val="0"/>
          <w:numId w:val="1009"/>
        </w:numPr>
      </w:pPr>
      <w:r>
        <w:t xml:space="preserve">confirmação de pagamento.</w:t>
      </w:r>
    </w:p>
    <w:p>
      <w:pPr>
        <w:pStyle w:val="FirstParagraph"/>
      </w:pPr>
      <w:r>
        <w:t xml:space="preserve">Os canais poderão incluir:</w:t>
      </w:r>
    </w:p>
    <w:p>
      <w:pPr>
        <w:pStyle w:val="Compact"/>
        <w:numPr>
          <w:ilvl w:val="0"/>
          <w:numId w:val="1010"/>
        </w:numPr>
      </w:pPr>
      <w:r>
        <w:t xml:space="preserve">e-mail;</w:t>
      </w:r>
    </w:p>
    <w:p>
      <w:pPr>
        <w:pStyle w:val="Compact"/>
        <w:numPr>
          <w:ilvl w:val="0"/>
          <w:numId w:val="1010"/>
        </w:numPr>
      </w:pPr>
      <w:r>
        <w:t xml:space="preserve">WhatsApp;</w:t>
      </w:r>
    </w:p>
    <w:p>
      <w:pPr>
        <w:pStyle w:val="Compact"/>
        <w:numPr>
          <w:ilvl w:val="0"/>
          <w:numId w:val="1010"/>
        </w:numPr>
      </w:pPr>
      <w:r>
        <w:t xml:space="preserve">SMS;</w:t>
      </w:r>
    </w:p>
    <w:p>
      <w:pPr>
        <w:pStyle w:val="Compact"/>
        <w:numPr>
          <w:ilvl w:val="0"/>
          <w:numId w:val="1010"/>
        </w:numPr>
      </w:pPr>
      <w:r>
        <w:t xml:space="preserve">futuramente push notification.</w:t>
      </w:r>
    </w:p>
    <w:p>
      <w:pPr>
        <w:pStyle w:val="FirstParagraph"/>
      </w:pPr>
      <w:r>
        <w:t xml:space="preserve">A arquitetura deverá utilizar uma camada de abstração de notificações, evitando acoplamento direto da aplicação a um único fornecedor.</w:t>
      </w:r>
    </w:p>
    <w:p>
      <w:r>
        <w:pict>
          <v:rect style="width:0;height:1.5pt" o:hralign="center" o:hrstd="t" o:hr="t"/>
        </w:pict>
      </w:r>
    </w:p>
    <w:bookmarkEnd w:id="21"/>
    <w:bookmarkStart w:id="24" w:name="acompanhamento-de-pré-vendas"/>
    <w:p>
      <w:pPr>
        <w:pStyle w:val="Heading2"/>
      </w:pPr>
      <w:r>
        <w:t xml:space="preserve">8. Acompanhamento de Pré-vendas</w:t>
      </w:r>
    </w:p>
    <w:p>
      <w:pPr>
        <w:pStyle w:val="FirstParagraph"/>
      </w:pPr>
      <w:r>
        <w:t xml:space="preserve">O comprador deverá possuir uma visão de:</w:t>
      </w:r>
    </w:p>
    <w:bookmarkStart w:id="22" w:name="minhas-pré-vendas"/>
    <w:p>
      <w:pPr>
        <w:pStyle w:val="Heading3"/>
      </w:pPr>
      <w:r>
        <w:t xml:space="preserve">Minhas Pré-vendas</w:t>
      </w:r>
    </w:p>
    <w:p>
      <w:pPr>
        <w:pStyle w:val="FirstParagraph"/>
      </w:pPr>
      <w:r>
        <w:t xml:space="preserve">Com informações como:</w:t>
      </w:r>
    </w:p>
    <w:p>
      <w:pPr>
        <w:pStyle w:val="Compact"/>
        <w:numPr>
          <w:ilvl w:val="0"/>
          <w:numId w:val="1011"/>
        </w:numPr>
      </w:pPr>
      <w:r>
        <w:t xml:space="preserve">identificação da pré-venda;</w:t>
      </w:r>
    </w:p>
    <w:p>
      <w:pPr>
        <w:pStyle w:val="Compact"/>
        <w:numPr>
          <w:ilvl w:val="0"/>
          <w:numId w:val="1011"/>
        </w:numPr>
      </w:pPr>
      <w:r>
        <w:t xml:space="preserve">vendedor;</w:t>
      </w:r>
    </w:p>
    <w:p>
      <w:pPr>
        <w:pStyle w:val="Compact"/>
        <w:numPr>
          <w:ilvl w:val="0"/>
          <w:numId w:val="1011"/>
        </w:numPr>
      </w:pPr>
      <w:r>
        <w:t xml:space="preserve">miniatura;</w:t>
      </w:r>
    </w:p>
    <w:p>
      <w:pPr>
        <w:pStyle w:val="Compact"/>
        <w:numPr>
          <w:ilvl w:val="0"/>
          <w:numId w:val="1011"/>
        </w:numPr>
      </w:pPr>
      <w:r>
        <w:t xml:space="preserve">quantidade;</w:t>
      </w:r>
    </w:p>
    <w:p>
      <w:pPr>
        <w:pStyle w:val="Compact"/>
        <w:numPr>
          <w:ilvl w:val="0"/>
          <w:numId w:val="1011"/>
        </w:numPr>
      </w:pPr>
      <w:r>
        <w:t xml:space="preserve">valor total;</w:t>
      </w:r>
    </w:p>
    <w:p>
      <w:pPr>
        <w:pStyle w:val="Compact"/>
        <w:numPr>
          <w:ilvl w:val="0"/>
          <w:numId w:val="1011"/>
        </w:numPr>
      </w:pPr>
      <w:r>
        <w:t xml:space="preserve">valor pago;</w:t>
      </w:r>
    </w:p>
    <w:p>
      <w:pPr>
        <w:pStyle w:val="Compact"/>
        <w:numPr>
          <w:ilvl w:val="0"/>
          <w:numId w:val="1011"/>
        </w:numPr>
      </w:pPr>
      <w:r>
        <w:t xml:space="preserve">saldo;</w:t>
      </w:r>
    </w:p>
    <w:p>
      <w:pPr>
        <w:pStyle w:val="Compact"/>
        <w:numPr>
          <w:ilvl w:val="0"/>
          <w:numId w:val="1011"/>
        </w:numPr>
      </w:pPr>
      <w:r>
        <w:t xml:space="preserve">situação;</w:t>
      </w:r>
    </w:p>
    <w:p>
      <w:pPr>
        <w:pStyle w:val="Compact"/>
        <w:numPr>
          <w:ilvl w:val="0"/>
          <w:numId w:val="1011"/>
        </w:numPr>
      </w:pPr>
      <w:r>
        <w:t xml:space="preserve">parcelas;</w:t>
      </w:r>
    </w:p>
    <w:p>
      <w:pPr>
        <w:pStyle w:val="Compact"/>
        <w:numPr>
          <w:ilvl w:val="0"/>
          <w:numId w:val="1011"/>
        </w:numPr>
      </w:pPr>
      <w:r>
        <w:t xml:space="preserve">vencimentos.</w:t>
      </w:r>
    </w:p>
    <w:p>
      <w:pPr>
        <w:pStyle w:val="FirstParagraph"/>
      </w:pPr>
      <w:r>
        <w:t xml:space="preserve">O vendedor deverá possuir:</w:t>
      </w:r>
    </w:p>
    <w:bookmarkEnd w:id="22"/>
    <w:bookmarkStart w:id="23" w:name="minhas-vendas-pré-vendas"/>
    <w:p>
      <w:pPr>
        <w:pStyle w:val="Heading3"/>
      </w:pPr>
      <w:r>
        <w:t xml:space="preserve">Minhas Vendas / Pré-vendas</w:t>
      </w:r>
    </w:p>
    <w:p>
      <w:pPr>
        <w:pStyle w:val="FirstParagraph"/>
      </w:pPr>
      <w:r>
        <w:t xml:space="preserve">Com:</w:t>
      </w:r>
    </w:p>
    <w:p>
      <w:pPr>
        <w:pStyle w:val="Compact"/>
        <w:numPr>
          <w:ilvl w:val="0"/>
          <w:numId w:val="1012"/>
        </w:numPr>
      </w:pPr>
      <w:r>
        <w:t xml:space="preserve">comprador;</w:t>
      </w:r>
    </w:p>
    <w:p>
      <w:pPr>
        <w:pStyle w:val="Compact"/>
        <w:numPr>
          <w:ilvl w:val="0"/>
          <w:numId w:val="1012"/>
        </w:numPr>
      </w:pPr>
      <w:r>
        <w:t xml:space="preserve">miniatura;</w:t>
      </w:r>
    </w:p>
    <w:p>
      <w:pPr>
        <w:pStyle w:val="Compact"/>
        <w:numPr>
          <w:ilvl w:val="0"/>
          <w:numId w:val="1012"/>
        </w:numPr>
      </w:pPr>
      <w:r>
        <w:t xml:space="preserve">valor contratado;</w:t>
      </w:r>
    </w:p>
    <w:p>
      <w:pPr>
        <w:pStyle w:val="Compact"/>
        <w:numPr>
          <w:ilvl w:val="0"/>
          <w:numId w:val="1012"/>
        </w:numPr>
      </w:pPr>
      <w:r>
        <w:t xml:space="preserve">valor recebido;</w:t>
      </w:r>
    </w:p>
    <w:p>
      <w:pPr>
        <w:pStyle w:val="Compact"/>
        <w:numPr>
          <w:ilvl w:val="0"/>
          <w:numId w:val="1012"/>
        </w:numPr>
      </w:pPr>
      <w:r>
        <w:t xml:space="preserve">saldo;</w:t>
      </w:r>
    </w:p>
    <w:p>
      <w:pPr>
        <w:pStyle w:val="Compact"/>
        <w:numPr>
          <w:ilvl w:val="0"/>
          <w:numId w:val="1012"/>
        </w:numPr>
      </w:pPr>
      <w:r>
        <w:t xml:space="preserve">parcelas;</w:t>
      </w:r>
    </w:p>
    <w:p>
      <w:pPr>
        <w:pStyle w:val="Compact"/>
        <w:numPr>
          <w:ilvl w:val="0"/>
          <w:numId w:val="1012"/>
        </w:numPr>
      </w:pPr>
      <w:r>
        <w:t xml:space="preserve">vencimentos;</w:t>
      </w:r>
    </w:p>
    <w:p>
      <w:pPr>
        <w:pStyle w:val="Compact"/>
        <w:numPr>
          <w:ilvl w:val="0"/>
          <w:numId w:val="1012"/>
        </w:numPr>
      </w:pPr>
      <w:r>
        <w:t xml:space="preserve">parcelas vencidas;</w:t>
      </w:r>
    </w:p>
    <w:p>
      <w:pPr>
        <w:pStyle w:val="Compact"/>
        <w:numPr>
          <w:ilvl w:val="0"/>
          <w:numId w:val="1012"/>
        </w:numPr>
      </w:pPr>
      <w:r>
        <w:t xml:space="preserve">situação da pré-venda.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rifas"/>
    <w:p>
      <w:pPr>
        <w:pStyle w:val="Heading2"/>
      </w:pPr>
      <w:r>
        <w:t xml:space="preserve">9. Rifas</w:t>
      </w:r>
    </w:p>
    <w:p>
      <w:pPr>
        <w:pStyle w:val="FirstParagraph"/>
      </w:pPr>
      <w:r>
        <w:t xml:space="preserve">As rifas poderão funcionar inicialmente como vitrine para rifas externas.</w:t>
      </w:r>
    </w:p>
    <w:p>
      <w:pPr>
        <w:pStyle w:val="BodyText"/>
      </w:pPr>
      <w:r>
        <w:t xml:space="preserve">Posteriormente poderão ser implementadas rifas internas.</w:t>
      </w:r>
    </w:p>
    <w:bookmarkStart w:id="25" w:name="rifa-externa"/>
    <w:p>
      <w:pPr>
        <w:pStyle w:val="Heading3"/>
      </w:pPr>
      <w:r>
        <w:t xml:space="preserve">Rifa externa</w:t>
      </w:r>
    </w:p>
    <w:p>
      <w:pPr>
        <w:pStyle w:val="FirstParagraph"/>
      </w:pPr>
      <w:r>
        <w:t xml:space="preserve">O MiniHub armazenará:</w:t>
      </w:r>
    </w:p>
    <w:p>
      <w:pPr>
        <w:pStyle w:val="Compact"/>
        <w:numPr>
          <w:ilvl w:val="0"/>
          <w:numId w:val="1013"/>
        </w:numPr>
      </w:pPr>
      <w:r>
        <w:t xml:space="preserve">título;</w:t>
      </w:r>
    </w:p>
    <w:p>
      <w:pPr>
        <w:pStyle w:val="Compact"/>
        <w:numPr>
          <w:ilvl w:val="0"/>
          <w:numId w:val="1013"/>
        </w:numPr>
      </w:pPr>
      <w:r>
        <w:t xml:space="preserve">descrição;</w:t>
      </w:r>
    </w:p>
    <w:p>
      <w:pPr>
        <w:pStyle w:val="Compact"/>
        <w:numPr>
          <w:ilvl w:val="0"/>
          <w:numId w:val="1013"/>
        </w:numPr>
      </w:pPr>
      <w:r>
        <w:t xml:space="preserve">organizador;</w:t>
      </w:r>
    </w:p>
    <w:p>
      <w:pPr>
        <w:pStyle w:val="Compact"/>
        <w:numPr>
          <w:ilvl w:val="0"/>
          <w:numId w:val="1013"/>
        </w:numPr>
      </w:pPr>
      <w:r>
        <w:t xml:space="preserve">imagem;</w:t>
      </w:r>
    </w:p>
    <w:p>
      <w:pPr>
        <w:pStyle w:val="Compact"/>
        <w:numPr>
          <w:ilvl w:val="0"/>
          <w:numId w:val="1013"/>
        </w:numPr>
      </w:pPr>
      <w:r>
        <w:t xml:space="preserve">período;</w:t>
      </w:r>
    </w:p>
    <w:p>
      <w:pPr>
        <w:pStyle w:val="Compact"/>
        <w:numPr>
          <w:ilvl w:val="0"/>
          <w:numId w:val="1013"/>
        </w:numPr>
      </w:pPr>
      <w:r>
        <w:t xml:space="preserve">status;</w:t>
      </w:r>
    </w:p>
    <w:p>
      <w:pPr>
        <w:pStyle w:val="Compact"/>
        <w:numPr>
          <w:ilvl w:val="0"/>
          <w:numId w:val="1013"/>
        </w:numPr>
      </w:pPr>
      <w:r>
        <w:t xml:space="preserve">URL externa.</w:t>
      </w:r>
    </w:p>
    <w:bookmarkEnd w:id="25"/>
    <w:bookmarkStart w:id="26" w:name="rifa-interna"/>
    <w:p>
      <w:pPr>
        <w:pStyle w:val="Heading3"/>
      </w:pPr>
      <w:r>
        <w:t xml:space="preserve">Rifa interna</w:t>
      </w:r>
    </w:p>
    <w:p>
      <w:pPr>
        <w:pStyle w:val="FirstParagraph"/>
      </w:pPr>
      <w:r>
        <w:t xml:space="preserve">Poderá controlar:</w:t>
      </w:r>
    </w:p>
    <w:p>
      <w:pPr>
        <w:pStyle w:val="Compact"/>
        <w:numPr>
          <w:ilvl w:val="0"/>
          <w:numId w:val="1014"/>
        </w:numPr>
      </w:pPr>
      <w:r>
        <w:t xml:space="preserve">prêmio;</w:t>
      </w:r>
    </w:p>
    <w:p>
      <w:pPr>
        <w:pStyle w:val="Compact"/>
        <w:numPr>
          <w:ilvl w:val="0"/>
          <w:numId w:val="1014"/>
        </w:numPr>
      </w:pPr>
      <w:r>
        <w:t xml:space="preserve">números;</w:t>
      </w:r>
    </w:p>
    <w:p>
      <w:pPr>
        <w:pStyle w:val="Compact"/>
        <w:numPr>
          <w:ilvl w:val="0"/>
          <w:numId w:val="1014"/>
        </w:numPr>
      </w:pPr>
      <w:r>
        <w:t xml:space="preserve">participantes;</w:t>
      </w:r>
    </w:p>
    <w:p>
      <w:pPr>
        <w:pStyle w:val="Compact"/>
        <w:numPr>
          <w:ilvl w:val="0"/>
          <w:numId w:val="1014"/>
        </w:numPr>
      </w:pPr>
      <w:r>
        <w:t xml:space="preserve">pagamentos;</w:t>
      </w:r>
    </w:p>
    <w:p>
      <w:pPr>
        <w:pStyle w:val="Compact"/>
        <w:numPr>
          <w:ilvl w:val="0"/>
          <w:numId w:val="1014"/>
        </w:numPr>
      </w:pPr>
      <w:r>
        <w:t xml:space="preserve">sorteio;</w:t>
      </w:r>
    </w:p>
    <w:p>
      <w:pPr>
        <w:pStyle w:val="Compact"/>
        <w:numPr>
          <w:ilvl w:val="0"/>
          <w:numId w:val="1014"/>
        </w:numPr>
      </w:pPr>
      <w:r>
        <w:t xml:space="preserve">ganhador.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oja-virtual"/>
    <w:p>
      <w:pPr>
        <w:pStyle w:val="Heading2"/>
      </w:pPr>
      <w:r>
        <w:t xml:space="preserve">10. Loja Virtual</w:t>
      </w:r>
    </w:p>
    <w:p>
      <w:pPr>
        <w:pStyle w:val="FirstParagraph"/>
      </w:pPr>
      <w:r>
        <w:t xml:space="preserve">A loja será um módulo futuro.</w:t>
      </w:r>
    </w:p>
    <w:p>
      <w:pPr>
        <w:pStyle w:val="BodyText"/>
      </w:pPr>
      <w:r>
        <w:t xml:space="preserve">A loja utilizará o catálogo existente como fonte das informações das miniaturas.</w:t>
      </w:r>
    </w:p>
    <w:p>
      <w:pPr>
        <w:pStyle w:val="BodyText"/>
      </w:pPr>
      <w:r>
        <w:t xml:space="preserve">Entretanto, deverá existir separação entre:</w:t>
      </w:r>
    </w:p>
    <w:p>
      <w:pPr>
        <w:pStyle w:val="BlockText"/>
      </w:pPr>
      <w:r>
        <w:rPr>
          <w:b/>
          <w:bCs/>
        </w:rPr>
        <w:t xml:space="preserve">Variação do catálogo</w:t>
      </w:r>
    </w:p>
    <w:p>
      <w:pPr>
        <w:pStyle w:val="FirstParagraph"/>
      </w:pPr>
      <w:r>
        <w:t xml:space="preserve">e</w:t>
      </w:r>
    </w:p>
    <w:p>
      <w:pPr>
        <w:pStyle w:val="BlockText"/>
      </w:pPr>
      <w:r>
        <w:rPr>
          <w:b/>
          <w:bCs/>
        </w:rPr>
        <w:t xml:space="preserve">Produto comercial.</w:t>
      </w:r>
    </w:p>
    <w:p>
      <w:pPr>
        <w:pStyle w:val="FirstParagraph"/>
      </w:pPr>
      <w:r>
        <w:t xml:space="preserve">Uma variação representa o produto catalogado.</w:t>
      </w:r>
    </w:p>
    <w:p>
      <w:pPr>
        <w:pStyle w:val="BodyText"/>
      </w:pPr>
      <w:r>
        <w:t xml:space="preserve">Um produto comercial representa uma oferta de venda.</w:t>
      </w:r>
    </w:p>
    <w:p>
      <w:pPr>
        <w:pStyle w:val="BodyText"/>
      </w:pPr>
      <w:r>
        <w:t xml:space="preserve">Isso permitirá que diferentes vendedores comercializem uma mesma variação.</w:t>
      </w:r>
    </w:p>
    <w:p>
      <w:r>
        <w:pict>
          <v:rect style="width:0;height:1.5pt" o:hralign="center" o:hrstd="t" o:hr="t"/>
        </w:pict>
      </w:r>
    </w:p>
    <w:bookmarkEnd w:id="28"/>
    <w:bookmarkStart w:id="29" w:name="garagem-do-comprador"/>
    <w:p>
      <w:pPr>
        <w:pStyle w:val="Heading2"/>
      </w:pPr>
      <w:r>
        <w:t xml:space="preserve">11. Garagem do Comprador</w:t>
      </w:r>
    </w:p>
    <w:p>
      <w:pPr>
        <w:pStyle w:val="FirstParagraph"/>
      </w:pPr>
      <w:r>
        <w:t xml:space="preserve">A loja deverá permitir futuramente que o comprador opte por não receber imediatamente uma compra.</w:t>
      </w:r>
    </w:p>
    <w:p>
      <w:pPr>
        <w:pStyle w:val="BodyText"/>
      </w:pPr>
      <w:r>
        <w:t xml:space="preserve">Nesse cenário, os produtos poderão ser direcionados para uma:</w:t>
      </w:r>
    </w:p>
    <w:p>
      <w:pPr>
        <w:pStyle w:val="BlockText"/>
      </w:pPr>
      <w:r>
        <w:rPr>
          <w:b/>
          <w:bCs/>
        </w:rPr>
        <w:t xml:space="preserve">Garagem do Comprador.</w:t>
      </w:r>
    </w:p>
    <w:p>
      <w:pPr>
        <w:pStyle w:val="FirstParagraph"/>
      </w:pPr>
      <w:r>
        <w:t xml:space="preserve">A garagem representa itens já adquiridos pelo cliente que aguardam um futuro despacho.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 1001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</w:t>
      </w:r>
      <w:r>
        <w:br/>
      </w:r>
      <w:r>
        <w:br/>
      </w:r>
      <w:r>
        <w:rPr>
          <w:rStyle w:val="VerbatimChar"/>
        </w:rPr>
        <w:t xml:space="preserve">Pedido 1002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</w:t>
      </w:r>
      <w:r>
        <w:br/>
      </w:r>
      <w:r>
        <w:br/>
      </w:r>
      <w:r>
        <w:rPr>
          <w:rStyle w:val="VerbatimChar"/>
        </w:rPr>
        <w:t xml:space="preserve">Pedido 1003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Solicitação de despacho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Consolidação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Um único envio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Um único frete</w:t>
      </w:r>
    </w:p>
    <w:p>
      <w:pPr>
        <w:pStyle w:val="FirstParagraph"/>
      </w:pPr>
      <w:r>
        <w:t xml:space="preserve">O objetivo é permitir que o comprador acumule compras e reduza custos de envio.</w:t>
      </w:r>
    </w:p>
    <w:p>
      <w:r>
        <w:pict>
          <v:rect style="width:0;height:1.5pt" o:hralign="center" o:hrstd="t" o:hr="t"/>
        </w:pict>
      </w:r>
    </w:p>
    <w:bookmarkEnd w:id="29"/>
    <w:bookmarkStart w:id="30" w:name="pedido-garagem-e-envio"/>
    <w:p>
      <w:pPr>
        <w:pStyle w:val="Heading2"/>
      </w:pPr>
      <w:r>
        <w:t xml:space="preserve">12. Pedido, Garagem e Envio</w:t>
      </w:r>
    </w:p>
    <w:p>
      <w:pPr>
        <w:pStyle w:val="FirstParagraph"/>
      </w:pPr>
      <w:r>
        <w:t xml:space="preserve">Pedido, garagem e envio deverão ser conceitos distintos.</w:t>
      </w:r>
    </w:p>
    <w:p>
      <w:pPr>
        <w:pStyle w:val="BodyText"/>
      </w:pPr>
      <w:r>
        <w:t xml:space="preserve">Uma compra não deverá obrigatoriamente criar um envio imediatamente.</w:t>
      </w:r>
    </w:p>
    <w:p>
      <w:pPr>
        <w:pStyle w:val="BodyText"/>
      </w:pPr>
      <w:r>
        <w:t xml:space="preserve">Um futuro pedido poderá seguir diferentes estratégias de fulfillment: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Envio imediato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Garagem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Consolidação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Envio</w:t>
      </w:r>
    </w:p>
    <w:p>
      <w:pPr>
        <w:pStyle w:val="FirstParagraph"/>
      </w:pPr>
      <w:r>
        <w:t xml:space="preserve">Um único envio poderá consolidar itens originados de diferentes pedidos.</w:t>
      </w:r>
    </w:p>
    <w:p>
      <w:pPr>
        <w:pStyle w:val="BodyText"/>
      </w:pPr>
      <w:r>
        <w:t xml:space="preserve">Também deverá ser possível prever despacho parcial da garagem.</w:t>
      </w:r>
    </w:p>
    <w:p>
      <w:r>
        <w:pict>
          <v:rect style="width:0;height:1.5pt" o:hralign="center" o:hrstd="t" o:hr="t"/>
        </w:pict>
      </w:r>
    </w:p>
    <w:bookmarkEnd w:id="30"/>
    <w:bookmarkStart w:id="31" w:name="logística"/>
    <w:p>
      <w:pPr>
        <w:pStyle w:val="Heading2"/>
      </w:pPr>
      <w:r>
        <w:t xml:space="preserve">13. Logística</w:t>
      </w:r>
    </w:p>
    <w:p>
      <w:pPr>
        <w:pStyle w:val="FirstParagraph"/>
      </w:pPr>
      <w:r>
        <w:t xml:space="preserve">A logística será implementada posteriormente.</w:t>
      </w:r>
    </w:p>
    <w:p>
      <w:pPr>
        <w:pStyle w:val="BodyText"/>
      </w:pPr>
      <w:r>
        <w:t xml:space="preserve">A arquitetura deverá permitir integração com diferentes fornecedores:</w:t>
      </w:r>
    </w:p>
    <w:p>
      <w:pPr>
        <w:pStyle w:val="Compact"/>
        <w:numPr>
          <w:ilvl w:val="0"/>
          <w:numId w:val="1015"/>
        </w:numPr>
      </w:pPr>
      <w:r>
        <w:t xml:space="preserve">Correios;</w:t>
      </w:r>
    </w:p>
    <w:p>
      <w:pPr>
        <w:pStyle w:val="Compact"/>
        <w:numPr>
          <w:ilvl w:val="0"/>
          <w:numId w:val="1015"/>
        </w:numPr>
      </w:pPr>
      <w:r>
        <w:t xml:space="preserve">Jadlog;</w:t>
      </w:r>
    </w:p>
    <w:p>
      <w:pPr>
        <w:pStyle w:val="Compact"/>
        <w:numPr>
          <w:ilvl w:val="0"/>
          <w:numId w:val="1015"/>
        </w:numPr>
      </w:pPr>
      <w:r>
        <w:t xml:space="preserve">SuperFrete;</w:t>
      </w:r>
    </w:p>
    <w:p>
      <w:pPr>
        <w:pStyle w:val="Compact"/>
        <w:numPr>
          <w:ilvl w:val="0"/>
          <w:numId w:val="1015"/>
        </w:numPr>
      </w:pPr>
      <w:r>
        <w:t xml:space="preserve">outros operadores/agregadores.</w:t>
      </w:r>
    </w:p>
    <w:p>
      <w:pPr>
        <w:pStyle w:val="FirstParagraph"/>
      </w:pPr>
      <w:r>
        <w:t xml:space="preserve">A loja não deverá depender diretamente de um único fornecedor.</w:t>
      </w:r>
    </w:p>
    <w:p>
      <w:pPr>
        <w:pStyle w:val="BodyText"/>
      </w:pPr>
      <w:r>
        <w:t xml:space="preserve">Será criada uma abstração: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 ├── Correios</w:t>
      </w:r>
      <w:r>
        <w:br/>
      </w:r>
      <w:r>
        <w:rPr>
          <w:rStyle w:val="VerbatimChar"/>
        </w:rPr>
        <w:t xml:space="preserve">   ├── Jadlog</w:t>
      </w:r>
      <w:r>
        <w:br/>
      </w:r>
      <w:r>
        <w:rPr>
          <w:rStyle w:val="VerbatimChar"/>
        </w:rPr>
        <w:t xml:space="preserve">   ├── SuperFrete</w:t>
      </w:r>
      <w:r>
        <w:br/>
      </w:r>
      <w:r>
        <w:rPr>
          <w:rStyle w:val="VerbatimChar"/>
        </w:rPr>
        <w:t xml:space="preserve">   └── Futuro provedor</w:t>
      </w:r>
    </w:p>
    <w:p>
      <w:r>
        <w:pict>
          <v:rect style="width:0;height:1.5pt" o:hralign="center" o:hrstd="t" o:hr="t"/>
        </w:pict>
      </w:r>
    </w:p>
    <w:bookmarkEnd w:id="31"/>
    <w:bookmarkStart w:id="39" w:name="roadmap"/>
    <w:p>
      <w:pPr>
        <w:pStyle w:val="Heading2"/>
      </w:pPr>
      <w:r>
        <w:t xml:space="preserve">14. Roadmap</w:t>
      </w:r>
    </w:p>
    <w:bookmarkStart w:id="32" w:name="fase-1-fundação"/>
    <w:p>
      <w:pPr>
        <w:pStyle w:val="Heading3"/>
      </w:pPr>
      <w:r>
        <w:t xml:space="preserve">Fase 1 — Fundação</w:t>
      </w:r>
    </w:p>
    <w:p>
      <w:pPr>
        <w:pStyle w:val="Compact"/>
        <w:numPr>
          <w:ilvl w:val="0"/>
          <w:numId w:val="1016"/>
        </w:numPr>
      </w:pPr>
      <w:r>
        <w:t xml:space="preserve">arquitetura;</w:t>
      </w:r>
    </w:p>
    <w:p>
      <w:pPr>
        <w:pStyle w:val="Compact"/>
        <w:numPr>
          <w:ilvl w:val="0"/>
          <w:numId w:val="1016"/>
        </w:numPr>
      </w:pPr>
      <w:r>
        <w:t xml:space="preserve">banco;</w:t>
      </w:r>
    </w:p>
    <w:p>
      <w:pPr>
        <w:pStyle w:val="Compact"/>
        <w:numPr>
          <w:ilvl w:val="0"/>
          <w:numId w:val="1016"/>
        </w:numPr>
      </w:pPr>
      <w:r>
        <w:t xml:space="preserve">autenticação;</w:t>
      </w:r>
    </w:p>
    <w:p>
      <w:pPr>
        <w:pStyle w:val="Compact"/>
        <w:numPr>
          <w:ilvl w:val="0"/>
          <w:numId w:val="1016"/>
        </w:numPr>
      </w:pPr>
      <w:r>
        <w:t xml:space="preserve">catálogo;</w:t>
      </w:r>
    </w:p>
    <w:p>
      <w:pPr>
        <w:pStyle w:val="Compact"/>
        <w:numPr>
          <w:ilvl w:val="0"/>
          <w:numId w:val="1016"/>
        </w:numPr>
      </w:pPr>
      <w:r>
        <w:t xml:space="preserve">segurança.</w:t>
      </w:r>
    </w:p>
    <w:bookmarkEnd w:id="32"/>
    <w:bookmarkStart w:id="33" w:name="fase-2-mvp"/>
    <w:p>
      <w:pPr>
        <w:pStyle w:val="Heading3"/>
      </w:pPr>
      <w:r>
        <w:t xml:space="preserve">Fase 2 — MVP</w:t>
      </w:r>
    </w:p>
    <w:p>
      <w:pPr>
        <w:pStyle w:val="Compact"/>
        <w:numPr>
          <w:ilvl w:val="0"/>
          <w:numId w:val="1017"/>
        </w:numPr>
      </w:pPr>
      <w:r>
        <w:t xml:space="preserve">coleção;</w:t>
      </w:r>
    </w:p>
    <w:p>
      <w:pPr>
        <w:pStyle w:val="Compact"/>
        <w:numPr>
          <w:ilvl w:val="0"/>
          <w:numId w:val="1017"/>
        </w:numPr>
      </w:pPr>
      <w:r>
        <w:t xml:space="preserve">wishlist;</w:t>
      </w:r>
    </w:p>
    <w:p>
      <w:pPr>
        <w:pStyle w:val="Compact"/>
        <w:numPr>
          <w:ilvl w:val="0"/>
          <w:numId w:val="1017"/>
        </w:numPr>
      </w:pPr>
      <w:r>
        <w:t xml:space="preserve">listas;</w:t>
      </w:r>
    </w:p>
    <w:p>
      <w:pPr>
        <w:pStyle w:val="Compact"/>
        <w:numPr>
          <w:ilvl w:val="0"/>
          <w:numId w:val="1017"/>
        </w:numPr>
      </w:pPr>
      <w:r>
        <w:t xml:space="preserve">compras;</w:t>
      </w:r>
    </w:p>
    <w:p>
      <w:pPr>
        <w:pStyle w:val="Compact"/>
        <w:numPr>
          <w:ilvl w:val="0"/>
          <w:numId w:val="1017"/>
        </w:numPr>
      </w:pPr>
      <w:r>
        <w:t xml:space="preserve">vendas;</w:t>
      </w:r>
    </w:p>
    <w:p>
      <w:pPr>
        <w:pStyle w:val="Compact"/>
        <w:numPr>
          <w:ilvl w:val="0"/>
          <w:numId w:val="1017"/>
        </w:numPr>
      </w:pPr>
      <w:r>
        <w:t xml:space="preserve">localizações;</w:t>
      </w:r>
    </w:p>
    <w:p>
      <w:pPr>
        <w:pStyle w:val="Compact"/>
        <w:numPr>
          <w:ilvl w:val="0"/>
          <w:numId w:val="1017"/>
        </w:numPr>
      </w:pPr>
      <w:r>
        <w:t xml:space="preserve">dashboard.</w:t>
      </w:r>
    </w:p>
    <w:bookmarkEnd w:id="33"/>
    <w:bookmarkStart w:id="34" w:name="fase-3-pré-vendas"/>
    <w:p>
      <w:pPr>
        <w:pStyle w:val="Heading3"/>
      </w:pPr>
      <w:r>
        <w:t xml:space="preserve">Fase 3 — Pré-vendas</w:t>
      </w:r>
    </w:p>
    <w:p>
      <w:pPr>
        <w:pStyle w:val="Compact"/>
        <w:numPr>
          <w:ilvl w:val="0"/>
          <w:numId w:val="1018"/>
        </w:numPr>
      </w:pPr>
      <w:r>
        <w:t xml:space="preserve">vendedores autorizados;</w:t>
      </w:r>
    </w:p>
    <w:p>
      <w:pPr>
        <w:pStyle w:val="Compact"/>
        <w:numPr>
          <w:ilvl w:val="0"/>
          <w:numId w:val="1018"/>
        </w:numPr>
      </w:pPr>
      <w:r>
        <w:t xml:space="preserve">pré-vendas;</w:t>
      </w:r>
    </w:p>
    <w:p>
      <w:pPr>
        <w:pStyle w:val="Compact"/>
        <w:numPr>
          <w:ilvl w:val="0"/>
          <w:numId w:val="1018"/>
        </w:numPr>
      </w:pPr>
      <w:r>
        <w:t xml:space="preserve">reservas;</w:t>
      </w:r>
    </w:p>
    <w:p>
      <w:pPr>
        <w:pStyle w:val="Compact"/>
        <w:numPr>
          <w:ilvl w:val="0"/>
          <w:numId w:val="1018"/>
        </w:numPr>
      </w:pPr>
      <w:r>
        <w:t xml:space="preserve">parcelas;</w:t>
      </w:r>
    </w:p>
    <w:p>
      <w:pPr>
        <w:pStyle w:val="Compact"/>
        <w:numPr>
          <w:ilvl w:val="0"/>
          <w:numId w:val="1018"/>
        </w:numPr>
      </w:pPr>
      <w:r>
        <w:t xml:space="preserve">pagamentos;</w:t>
      </w:r>
    </w:p>
    <w:p>
      <w:pPr>
        <w:pStyle w:val="Compact"/>
        <w:numPr>
          <w:ilvl w:val="0"/>
          <w:numId w:val="1018"/>
        </w:numPr>
      </w:pPr>
      <w:r>
        <w:t xml:space="preserve">controle financeiro;</w:t>
      </w:r>
    </w:p>
    <w:p>
      <w:pPr>
        <w:pStyle w:val="Compact"/>
        <w:numPr>
          <w:ilvl w:val="0"/>
          <w:numId w:val="1018"/>
        </w:numPr>
      </w:pPr>
      <w:r>
        <w:t xml:space="preserve">notificações;</w:t>
      </w:r>
    </w:p>
    <w:p>
      <w:pPr>
        <w:pStyle w:val="Compact"/>
        <w:numPr>
          <w:ilvl w:val="0"/>
          <w:numId w:val="1018"/>
        </w:numPr>
      </w:pPr>
      <w:r>
        <w:t xml:space="preserve">relatórios.</w:t>
      </w:r>
    </w:p>
    <w:bookmarkEnd w:id="34"/>
    <w:bookmarkStart w:id="35" w:name="fase-4-rifas"/>
    <w:p>
      <w:pPr>
        <w:pStyle w:val="Heading3"/>
      </w:pPr>
      <w:r>
        <w:t xml:space="preserve">Fase 4 — Rifas</w:t>
      </w:r>
    </w:p>
    <w:p>
      <w:pPr>
        <w:pStyle w:val="Compact"/>
        <w:numPr>
          <w:ilvl w:val="0"/>
          <w:numId w:val="1019"/>
        </w:numPr>
      </w:pPr>
      <w:r>
        <w:t xml:space="preserve">vitrine externa;</w:t>
      </w:r>
    </w:p>
    <w:p>
      <w:pPr>
        <w:pStyle w:val="Compact"/>
        <w:numPr>
          <w:ilvl w:val="0"/>
          <w:numId w:val="1019"/>
        </w:numPr>
      </w:pPr>
      <w:r>
        <w:t xml:space="preserve">posteriormente rifas internas.</w:t>
      </w:r>
    </w:p>
    <w:bookmarkEnd w:id="35"/>
    <w:bookmarkStart w:id="36" w:name="fase-5-loja"/>
    <w:p>
      <w:pPr>
        <w:pStyle w:val="Heading3"/>
      </w:pPr>
      <w:r>
        <w:t xml:space="preserve">Fase 5 — Loja</w:t>
      </w:r>
    </w:p>
    <w:p>
      <w:pPr>
        <w:pStyle w:val="Compact"/>
        <w:numPr>
          <w:ilvl w:val="0"/>
          <w:numId w:val="1020"/>
        </w:numPr>
      </w:pPr>
      <w:r>
        <w:t xml:space="preserve">produtos comerciais;</w:t>
      </w:r>
    </w:p>
    <w:p>
      <w:pPr>
        <w:pStyle w:val="Compact"/>
        <w:numPr>
          <w:ilvl w:val="0"/>
          <w:numId w:val="1020"/>
        </w:numPr>
      </w:pPr>
      <w:r>
        <w:t xml:space="preserve">estoque;</w:t>
      </w:r>
    </w:p>
    <w:p>
      <w:pPr>
        <w:pStyle w:val="Compact"/>
        <w:numPr>
          <w:ilvl w:val="0"/>
          <w:numId w:val="1020"/>
        </w:numPr>
      </w:pPr>
      <w:r>
        <w:t xml:space="preserve">carrinho;</w:t>
      </w:r>
    </w:p>
    <w:p>
      <w:pPr>
        <w:pStyle w:val="Compact"/>
        <w:numPr>
          <w:ilvl w:val="0"/>
          <w:numId w:val="1020"/>
        </w:numPr>
      </w:pPr>
      <w:r>
        <w:t xml:space="preserve">pedidos;</w:t>
      </w:r>
    </w:p>
    <w:p>
      <w:pPr>
        <w:pStyle w:val="Compact"/>
        <w:numPr>
          <w:ilvl w:val="0"/>
          <w:numId w:val="1020"/>
        </w:numPr>
      </w:pPr>
      <w:r>
        <w:t xml:space="preserve">pagamentos.</w:t>
      </w:r>
    </w:p>
    <w:bookmarkEnd w:id="36"/>
    <w:bookmarkStart w:id="37" w:name="fase-6-garagem-e-logística"/>
    <w:p>
      <w:pPr>
        <w:pStyle w:val="Heading3"/>
      </w:pPr>
      <w:r>
        <w:t xml:space="preserve">Fase 6 — Garagem e logística</w:t>
      </w:r>
    </w:p>
    <w:p>
      <w:pPr>
        <w:pStyle w:val="Compact"/>
        <w:numPr>
          <w:ilvl w:val="0"/>
          <w:numId w:val="1021"/>
        </w:numPr>
      </w:pPr>
      <w:r>
        <w:t xml:space="preserve">garagem;</w:t>
      </w:r>
    </w:p>
    <w:p>
      <w:pPr>
        <w:pStyle w:val="Compact"/>
        <w:numPr>
          <w:ilvl w:val="0"/>
          <w:numId w:val="1021"/>
        </w:numPr>
      </w:pPr>
      <w:r>
        <w:t xml:space="preserve">consolidação;</w:t>
      </w:r>
    </w:p>
    <w:p>
      <w:pPr>
        <w:pStyle w:val="Compact"/>
        <w:numPr>
          <w:ilvl w:val="0"/>
          <w:numId w:val="1021"/>
        </w:numPr>
      </w:pPr>
      <w:r>
        <w:t xml:space="preserve">despacho;</w:t>
      </w:r>
    </w:p>
    <w:p>
      <w:pPr>
        <w:pStyle w:val="Compact"/>
        <w:numPr>
          <w:ilvl w:val="0"/>
          <w:numId w:val="1021"/>
        </w:numPr>
      </w:pPr>
      <w:r>
        <w:t xml:space="preserve">cotação;</w:t>
      </w:r>
    </w:p>
    <w:p>
      <w:pPr>
        <w:pStyle w:val="Compact"/>
        <w:numPr>
          <w:ilvl w:val="0"/>
          <w:numId w:val="1021"/>
        </w:numPr>
      </w:pPr>
      <w:r>
        <w:t xml:space="preserve">frete;</w:t>
      </w:r>
    </w:p>
    <w:p>
      <w:pPr>
        <w:pStyle w:val="Compact"/>
        <w:numPr>
          <w:ilvl w:val="0"/>
          <w:numId w:val="1021"/>
        </w:numPr>
      </w:pPr>
      <w:r>
        <w:t xml:space="preserve">etiqueta;</w:t>
      </w:r>
    </w:p>
    <w:p>
      <w:pPr>
        <w:pStyle w:val="Compact"/>
        <w:numPr>
          <w:ilvl w:val="0"/>
          <w:numId w:val="1021"/>
        </w:numPr>
      </w:pPr>
      <w:r>
        <w:t xml:space="preserve">rastreamento.</w:t>
      </w:r>
    </w:p>
    <w:bookmarkEnd w:id="37"/>
    <w:bookmarkStart w:id="38" w:name="fase-7-marketplace-e-comunidade"/>
    <w:p>
      <w:pPr>
        <w:pStyle w:val="Heading3"/>
      </w:pPr>
      <w:r>
        <w:t xml:space="preserve">Fase 7 — Marketplace e comunidade</w:t>
      </w:r>
    </w:p>
    <w:p>
      <w:pPr>
        <w:pStyle w:val="Compact"/>
        <w:numPr>
          <w:ilvl w:val="0"/>
          <w:numId w:val="1022"/>
        </w:numPr>
      </w:pPr>
      <w:r>
        <w:t xml:space="preserve">vendedores;</w:t>
      </w:r>
    </w:p>
    <w:p>
      <w:pPr>
        <w:pStyle w:val="Compact"/>
        <w:numPr>
          <w:ilvl w:val="0"/>
          <w:numId w:val="1022"/>
        </w:numPr>
      </w:pPr>
      <w:r>
        <w:t xml:space="preserve">ofertas;</w:t>
      </w:r>
    </w:p>
    <w:p>
      <w:pPr>
        <w:pStyle w:val="Compact"/>
        <w:numPr>
          <w:ilvl w:val="0"/>
          <w:numId w:val="1022"/>
        </w:numPr>
      </w:pPr>
      <w:r>
        <w:t xml:space="preserve">avaliações;</w:t>
      </w:r>
    </w:p>
    <w:p>
      <w:pPr>
        <w:pStyle w:val="Compact"/>
        <w:numPr>
          <w:ilvl w:val="0"/>
          <w:numId w:val="1022"/>
        </w:numPr>
      </w:pPr>
      <w:r>
        <w:t xml:space="preserve">negociações;</w:t>
      </w:r>
    </w:p>
    <w:p>
      <w:pPr>
        <w:pStyle w:val="Compact"/>
        <w:numPr>
          <w:ilvl w:val="0"/>
          <w:numId w:val="1022"/>
        </w:numPr>
      </w:pPr>
      <w:r>
        <w:t xml:space="preserve">trocas;</w:t>
      </w:r>
    </w:p>
    <w:p>
      <w:pPr>
        <w:pStyle w:val="Compact"/>
        <w:numPr>
          <w:ilvl w:val="0"/>
          <w:numId w:val="1022"/>
        </w:numPr>
      </w:pPr>
      <w:r>
        <w:t xml:space="preserve">comunidade.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incípios-arquiteturais"/>
    <w:p>
      <w:pPr>
        <w:pStyle w:val="Heading2"/>
      </w:pPr>
      <w:r>
        <w:t xml:space="preserve">15. Princípios Arquiteturais</w:t>
      </w:r>
    </w:p>
    <w:p>
      <w:pPr>
        <w:pStyle w:val="Compact"/>
        <w:numPr>
          <w:ilvl w:val="0"/>
          <w:numId w:val="1023"/>
        </w:numPr>
      </w:pPr>
      <w:r>
        <w:t xml:space="preserve">O catálogo é independente da coleção.</w:t>
      </w:r>
    </w:p>
    <w:p>
      <w:pPr>
        <w:pStyle w:val="Compact"/>
        <w:numPr>
          <w:ilvl w:val="0"/>
          <w:numId w:val="1023"/>
        </w:numPr>
      </w:pPr>
      <w:r>
        <w:t xml:space="preserve">Coleção pessoal é independente do comércio.</w:t>
      </w:r>
    </w:p>
    <w:p>
      <w:pPr>
        <w:pStyle w:val="Compact"/>
        <w:numPr>
          <w:ilvl w:val="0"/>
          <w:numId w:val="1023"/>
        </w:numPr>
      </w:pPr>
      <w:r>
        <w:t xml:space="preserve">Produto de catálogo é diferente de produto comercial.</w:t>
      </w:r>
    </w:p>
    <w:p>
      <w:pPr>
        <w:pStyle w:val="Compact"/>
        <w:numPr>
          <w:ilvl w:val="0"/>
          <w:numId w:val="1023"/>
        </w:numPr>
      </w:pPr>
      <w:r>
        <w:t xml:space="preserve">Pedido é diferente de envio.</w:t>
      </w:r>
    </w:p>
    <w:p>
      <w:pPr>
        <w:pStyle w:val="Compact"/>
        <w:numPr>
          <w:ilvl w:val="0"/>
          <w:numId w:val="1023"/>
        </w:numPr>
      </w:pPr>
      <w:r>
        <w:t xml:space="preserve">Garagem é diferente de pedido.</w:t>
      </w:r>
    </w:p>
    <w:p>
      <w:pPr>
        <w:pStyle w:val="Compact"/>
        <w:numPr>
          <w:ilvl w:val="0"/>
          <w:numId w:val="1023"/>
        </w:numPr>
      </w:pPr>
      <w:r>
        <w:t xml:space="preserve">Controle financeiro comercial é diferente de contabilidade.</w:t>
      </w:r>
    </w:p>
    <w:p>
      <w:pPr>
        <w:pStyle w:val="Compact"/>
        <w:numPr>
          <w:ilvl w:val="0"/>
          <w:numId w:val="1023"/>
        </w:numPr>
      </w:pPr>
      <w:r>
        <w:t xml:space="preserve">Notificações devem ser desacopladas dos módulos de negócio.</w:t>
      </w:r>
    </w:p>
    <w:p>
      <w:pPr>
        <w:pStyle w:val="Compact"/>
        <w:numPr>
          <w:ilvl w:val="0"/>
          <w:numId w:val="1023"/>
        </w:numPr>
      </w:pPr>
      <w:r>
        <w:t xml:space="preserve">Integrações externas devem utilizar abstrações.</w:t>
      </w:r>
    </w:p>
    <w:p>
      <w:pPr>
        <w:pStyle w:val="Compact"/>
        <w:numPr>
          <w:ilvl w:val="0"/>
          <w:numId w:val="1023"/>
        </w:numPr>
      </w:pPr>
      <w:r>
        <w:t xml:space="preserve">O MVP não deve carregar complexidade futura desnecessária.</w:t>
      </w:r>
    </w:p>
    <w:p>
      <w:pPr>
        <w:pStyle w:val="Compact"/>
        <w:numPr>
          <w:ilvl w:val="0"/>
          <w:numId w:val="1023"/>
        </w:numPr>
      </w:pPr>
      <w:r>
        <w:t xml:space="preserve">A arquitetura deve permitir evolução sem remodelações estruturais significativas.</w:t>
      </w:r>
    </w:p>
    <w:p>
      <w:pPr>
        <w:pStyle w:val="Compact"/>
        <w:numPr>
          <w:ilvl w:val="0"/>
          <w:numId w:val="1023"/>
        </w:numPr>
      </w:pPr>
      <w:r>
        <w:t xml:space="preserve">Identificadores internos devem ser estáveis.</w:t>
      </w:r>
    </w:p>
    <w:p>
      <w:pPr>
        <w:pStyle w:val="Compact"/>
        <w:numPr>
          <w:ilvl w:val="0"/>
          <w:numId w:val="1023"/>
        </w:numPr>
      </w:pPr>
      <w:r>
        <w:t xml:space="preserve">Histórico não deve ser perdido.</w:t>
      </w:r>
    </w:p>
    <w:p>
      <w:pPr>
        <w:pStyle w:val="Compact"/>
        <w:numPr>
          <w:ilvl w:val="0"/>
          <w:numId w:val="1023"/>
        </w:numPr>
      </w:pPr>
      <w:r>
        <w:t xml:space="preserve">Dados do usuário devem permanecer isolados.</w:t>
      </w:r>
    </w:p>
    <w:p>
      <w:pPr>
        <w:pStyle w:val="Compact"/>
        <w:numPr>
          <w:ilvl w:val="0"/>
          <w:numId w:val="1023"/>
        </w:numPr>
      </w:pPr>
      <w:r>
        <w:t xml:space="preserve">O catálogo deve possuir governança.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Pesquisar antes de cadastrar.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