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inihub-car"/>
    <w:p>
      <w:pPr>
        <w:pStyle w:val="Heading1"/>
      </w:pPr>
      <w:r>
        <w:t xml:space="preserve">MiniHub Car</w:t>
      </w:r>
    </w:p>
    <w:bookmarkStart w:id="10" w:name="regras-de-negócio"/>
    <w:p>
      <w:pPr>
        <w:pStyle w:val="Heading2"/>
      </w:pPr>
      <w:r>
        <w:t xml:space="preserve">Regras de Negócio</w:t>
      </w:r>
    </w:p>
    <w:bookmarkStart w:id="9" w:name="versão-1.3"/>
    <w:p>
      <w:pPr>
        <w:pStyle w:val="Heading3"/>
      </w:pPr>
      <w:r>
        <w:t xml:space="preserve">Versão 1.3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regras-gerais"/>
    <w:p>
      <w:pPr>
        <w:pStyle w:val="Heading2"/>
      </w:pPr>
      <w:r>
        <w:t xml:space="preserve">1. Regras Gerais</w:t>
      </w:r>
    </w:p>
    <w:bookmarkStart w:id="11" w:name="rn001-identificador-interno"/>
    <w:p>
      <w:pPr>
        <w:pStyle w:val="Heading3"/>
      </w:pPr>
      <w:r>
        <w:t xml:space="preserve">RN001 — Identificador interno</w:t>
      </w:r>
    </w:p>
    <w:p>
      <w:pPr>
        <w:pStyle w:val="FirstParagraph"/>
      </w:pPr>
      <w:r>
        <w:t xml:space="preserve">Toda entidade deverá possuir identificador interno próprio.</w:t>
      </w:r>
    </w:p>
    <w:bookmarkEnd w:id="11"/>
    <w:bookmarkStart w:id="12" w:name="rn002-separação-de-domínios"/>
    <w:p>
      <w:pPr>
        <w:pStyle w:val="Heading3"/>
      </w:pPr>
      <w:r>
        <w:t xml:space="preserve">RN002 — Separação de domínios</w:t>
      </w:r>
    </w:p>
    <w:p>
      <w:pPr>
        <w:pStyle w:val="FirstParagraph"/>
      </w:pPr>
      <w:r>
        <w:t xml:space="preserve">O sistema deverá separar conceitualmente: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coleção;</w:t>
      </w:r>
    </w:p>
    <w:p>
      <w:pPr>
        <w:pStyle w:val="Compact"/>
        <w:numPr>
          <w:ilvl w:val="0"/>
          <w:numId w:val="1001"/>
        </w:numPr>
      </w:pPr>
      <w:r>
        <w:t xml:space="preserve">governança;</w:t>
      </w:r>
    </w:p>
    <w:p>
      <w:pPr>
        <w:pStyle w:val="Compact"/>
        <w:numPr>
          <w:ilvl w:val="0"/>
          <w:numId w:val="1001"/>
        </w:numPr>
      </w:pPr>
      <w:r>
        <w:t xml:space="preserve">comércio;</w:t>
      </w:r>
    </w:p>
    <w:p>
      <w:pPr>
        <w:pStyle w:val="Compact"/>
        <w:numPr>
          <w:ilvl w:val="0"/>
          <w:numId w:val="1001"/>
        </w:numPr>
      </w:pPr>
      <w:r>
        <w:t xml:space="preserve">financeiro comercial;</w:t>
      </w:r>
    </w:p>
    <w:p>
      <w:pPr>
        <w:pStyle w:val="Compact"/>
        <w:numPr>
          <w:ilvl w:val="0"/>
          <w:numId w:val="1001"/>
        </w:numPr>
      </w:pPr>
      <w:r>
        <w:t xml:space="preserve">logística;</w:t>
      </w:r>
    </w:p>
    <w:p>
      <w:pPr>
        <w:pStyle w:val="Compact"/>
        <w:numPr>
          <w:ilvl w:val="0"/>
          <w:numId w:val="1001"/>
        </w:numPr>
      </w:pPr>
      <w:r>
        <w:t xml:space="preserve">notificações.</w:t>
      </w:r>
    </w:p>
    <w:bookmarkEnd w:id="12"/>
    <w:bookmarkStart w:id="13" w:name="rn003-histórico"/>
    <w:p>
      <w:pPr>
        <w:pStyle w:val="Heading3"/>
      </w:pPr>
      <w:r>
        <w:t xml:space="preserve">RN003 — Histórico</w:t>
      </w:r>
    </w:p>
    <w:p>
      <w:pPr>
        <w:pStyle w:val="FirstParagraph"/>
      </w:pPr>
      <w:r>
        <w:t xml:space="preserve">Operações relevantes deverão preservar histórico.</w:t>
      </w:r>
    </w:p>
    <w:bookmarkEnd w:id="13"/>
    <w:bookmarkStart w:id="14" w:name="rn004-exclusão-lógica"/>
    <w:p>
      <w:pPr>
        <w:pStyle w:val="Heading3"/>
      </w:pPr>
      <w:r>
        <w:t xml:space="preserve">RN004 — Exclusão lógica</w:t>
      </w:r>
    </w:p>
    <w:p>
      <w:pPr>
        <w:pStyle w:val="FirstParagraph"/>
      </w:pPr>
      <w:r>
        <w:t xml:space="preserve">Informações históricas ou referenciadas não deverão ser fisicamente excluídas sem regra específica.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usuários"/>
    <w:p>
      <w:pPr>
        <w:pStyle w:val="Heading1"/>
      </w:pPr>
      <w:r>
        <w:t xml:space="preserve">2. Usuários</w:t>
      </w:r>
    </w:p>
    <w:bookmarkStart w:id="17" w:name="rn010-usuário-colecionador"/>
    <w:p>
      <w:pPr>
        <w:pStyle w:val="Heading3"/>
      </w:pPr>
      <w:r>
        <w:t xml:space="preserve">RN010 — Usuário colecionador</w:t>
      </w:r>
    </w:p>
    <w:p>
      <w:pPr>
        <w:pStyle w:val="FirstParagraph"/>
      </w:pPr>
      <w:r>
        <w:t xml:space="preserve">Um usuário poderá:</w:t>
      </w:r>
    </w:p>
    <w:p>
      <w:pPr>
        <w:pStyle w:val="Compact"/>
        <w:numPr>
          <w:ilvl w:val="0"/>
          <w:numId w:val="1002"/>
        </w:numPr>
      </w:pPr>
      <w:r>
        <w:t xml:space="preserve">consultar catálogo;</w:t>
      </w:r>
    </w:p>
    <w:p>
      <w:pPr>
        <w:pStyle w:val="Compact"/>
        <w:numPr>
          <w:ilvl w:val="0"/>
          <w:numId w:val="1002"/>
        </w:numPr>
      </w:pPr>
      <w:r>
        <w:t xml:space="preserve">administrar sua coleção;</w:t>
      </w:r>
    </w:p>
    <w:p>
      <w:pPr>
        <w:pStyle w:val="Compact"/>
        <w:numPr>
          <w:ilvl w:val="0"/>
          <w:numId w:val="1002"/>
        </w:numPr>
      </w:pPr>
      <w:r>
        <w:t xml:space="preserve">criar wishlist;</w:t>
      </w:r>
    </w:p>
    <w:p>
      <w:pPr>
        <w:pStyle w:val="Compact"/>
        <w:numPr>
          <w:ilvl w:val="0"/>
          <w:numId w:val="1002"/>
        </w:numPr>
      </w:pPr>
      <w:r>
        <w:t xml:space="preserve">criar listas;</w:t>
      </w:r>
    </w:p>
    <w:p>
      <w:pPr>
        <w:pStyle w:val="Compact"/>
        <w:numPr>
          <w:ilvl w:val="0"/>
          <w:numId w:val="1002"/>
        </w:numPr>
      </w:pPr>
      <w:r>
        <w:t xml:space="preserve">registrar compras;</w:t>
      </w:r>
    </w:p>
    <w:p>
      <w:pPr>
        <w:pStyle w:val="Compact"/>
        <w:numPr>
          <w:ilvl w:val="0"/>
          <w:numId w:val="1002"/>
        </w:numPr>
      </w:pPr>
      <w:r>
        <w:t xml:space="preserve">registrar vendas;</w:t>
      </w:r>
    </w:p>
    <w:p>
      <w:pPr>
        <w:pStyle w:val="Compact"/>
        <w:numPr>
          <w:ilvl w:val="0"/>
          <w:numId w:val="1002"/>
        </w:numPr>
      </w:pPr>
      <w:r>
        <w:t xml:space="preserve">administrar localizações.</w:t>
      </w:r>
    </w:p>
    <w:bookmarkEnd w:id="17"/>
    <w:bookmarkStart w:id="18" w:name="rn011-isolamento"/>
    <w:p>
      <w:pPr>
        <w:pStyle w:val="Heading3"/>
      </w:pPr>
      <w:r>
        <w:t xml:space="preserve">RN011 — Isolamento</w:t>
      </w:r>
    </w:p>
    <w:p>
      <w:pPr>
        <w:pStyle w:val="FirstParagraph"/>
      </w:pPr>
      <w:r>
        <w:t xml:space="preserve">Um usuário não poderá consultar ou alterar dados privados de outro usuário sem autorização específica.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catálogo"/>
    <w:p>
      <w:pPr>
        <w:pStyle w:val="Heading1"/>
      </w:pPr>
      <w:r>
        <w:t xml:space="preserve">3. Catálogo</w:t>
      </w:r>
    </w:p>
    <w:bookmarkStart w:id="20" w:name="rn020-catálogo-oficial"/>
    <w:p>
      <w:pPr>
        <w:pStyle w:val="Heading3"/>
      </w:pPr>
      <w:r>
        <w:t xml:space="preserve">RN020 — Catálogo oficial</w:t>
      </w:r>
    </w:p>
    <w:p>
      <w:pPr>
        <w:pStyle w:val="FirstParagraph"/>
      </w:pPr>
      <w:r>
        <w:t xml:space="preserve">O catálogo pertence ao MiniHub.</w:t>
      </w:r>
    </w:p>
    <w:bookmarkEnd w:id="20"/>
    <w:bookmarkStart w:id="21" w:name="rn021-inclusão-controlada"/>
    <w:p>
      <w:pPr>
        <w:pStyle w:val="Heading3"/>
      </w:pPr>
      <w:r>
        <w:t xml:space="preserve">RN021 — Inclusão controlada</w:t>
      </w:r>
    </w:p>
    <w:p>
      <w:pPr>
        <w:pStyle w:val="FirstParagraph"/>
      </w:pPr>
      <w:r>
        <w:t xml:space="preserve">Usuários não poderão criar diretamente registros oficiais do catálogo.</w:t>
      </w:r>
    </w:p>
    <w:p>
      <w:pPr>
        <w:pStyle w:val="BodyText"/>
      </w:pPr>
      <w:r>
        <w:t xml:space="preserve">Deverão utilizar solicitações.</w:t>
      </w:r>
    </w:p>
    <w:bookmarkEnd w:id="21"/>
    <w:bookmarkStart w:id="22" w:name="rn022-duplicidade"/>
    <w:p>
      <w:pPr>
        <w:pStyle w:val="Heading3"/>
      </w:pPr>
      <w:r>
        <w:t xml:space="preserve">RN022 — Duplicidade</w:t>
      </w:r>
    </w:p>
    <w:p>
      <w:pPr>
        <w:pStyle w:val="FirstParagraph"/>
      </w:pPr>
      <w:r>
        <w:t xml:space="preserve">Antes da criação de uma entidade catalográfica deverão ser realizadas verificações de duplicidade.</w:t>
      </w:r>
    </w:p>
    <w:bookmarkEnd w:id="22"/>
    <w:bookmarkStart w:id="23" w:name="rn023-marca-de-miniatura"/>
    <w:p>
      <w:pPr>
        <w:pStyle w:val="Heading3"/>
      </w:pPr>
      <w:r>
        <w:t xml:space="preserve">RN023 — Marca de miniatura</w:t>
      </w:r>
    </w:p>
    <w:p>
      <w:pPr>
        <w:pStyle w:val="FirstParagraph"/>
      </w:pPr>
      <w:r>
        <w:t xml:space="preserve">Marca de miniatura e montadora são entidades distintas.</w:t>
      </w:r>
    </w:p>
    <w:bookmarkEnd w:id="23"/>
    <w:bookmarkStart w:id="24" w:name="rn024-variação"/>
    <w:p>
      <w:pPr>
        <w:pStyle w:val="Heading3"/>
      </w:pPr>
      <w:r>
        <w:t xml:space="preserve">RN024 — Variação</w:t>
      </w:r>
    </w:p>
    <w:p>
      <w:pPr>
        <w:pStyle w:val="FirstParagraph"/>
      </w:pPr>
      <w:r>
        <w:t xml:space="preserve">Uma variação representa uma versão comercial específica de um casting.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oleção"/>
    <w:p>
      <w:pPr>
        <w:pStyle w:val="Heading1"/>
      </w:pPr>
      <w:r>
        <w:t xml:space="preserve">4. Coleção</w:t>
      </w:r>
    </w:p>
    <w:bookmarkStart w:id="26" w:name="rn030-exemplar"/>
    <w:p>
      <w:pPr>
        <w:pStyle w:val="Heading3"/>
      </w:pPr>
      <w:r>
        <w:t xml:space="preserve">RN030 — Exemplar</w:t>
      </w:r>
    </w:p>
    <w:p>
      <w:pPr>
        <w:pStyle w:val="FirstParagraph"/>
      </w:pPr>
      <w:r>
        <w:t xml:space="preserve">Cada unidade física pertencente ao usuário será representada por um exemplar.</w:t>
      </w:r>
    </w:p>
    <w:bookmarkEnd w:id="26"/>
    <w:bookmarkStart w:id="27" w:name="rn031-duplicidade-permitida"/>
    <w:p>
      <w:pPr>
        <w:pStyle w:val="Heading3"/>
      </w:pPr>
      <w:r>
        <w:t xml:space="preserve">RN031 — Duplicidade permitida</w:t>
      </w:r>
    </w:p>
    <w:p>
      <w:pPr>
        <w:pStyle w:val="FirstParagraph"/>
      </w:pPr>
      <w:r>
        <w:t xml:space="preserve">O usuário poderá possuir vários exemplares da mesma variação.</w:t>
      </w:r>
    </w:p>
    <w:bookmarkEnd w:id="27"/>
    <w:bookmarkStart w:id="28" w:name="rn032-localização"/>
    <w:p>
      <w:pPr>
        <w:pStyle w:val="Heading3"/>
      </w:pPr>
      <w:r>
        <w:t xml:space="preserve">RN032 — Localização</w:t>
      </w:r>
    </w:p>
    <w:p>
      <w:pPr>
        <w:pStyle w:val="FirstParagraph"/>
      </w:pPr>
      <w:r>
        <w:t xml:space="preserve">Um exemplar poderá possuir uma localização atual.</w:t>
      </w:r>
    </w:p>
    <w:bookmarkEnd w:id="28"/>
    <w:bookmarkStart w:id="29" w:name="rn033-histórico-de-movimentação"/>
    <w:p>
      <w:pPr>
        <w:pStyle w:val="Heading3"/>
      </w:pPr>
      <w:r>
        <w:t xml:space="preserve">RN033 — Histórico de movimentação</w:t>
      </w:r>
    </w:p>
    <w:p>
      <w:pPr>
        <w:pStyle w:val="FirstParagraph"/>
      </w:pPr>
      <w:r>
        <w:t xml:space="preserve">Mudanças de localização deverão preservar histórico.</w:t>
      </w:r>
    </w:p>
    <w:bookmarkEnd w:id="29"/>
    <w:bookmarkStart w:id="30" w:name="rn034-custo"/>
    <w:p>
      <w:pPr>
        <w:pStyle w:val="Heading3"/>
      </w:pPr>
      <w:r>
        <w:t xml:space="preserve">RN034 — Custo</w:t>
      </w:r>
    </w:p>
    <w:p>
      <w:pPr>
        <w:pStyle w:val="FirstParagraph"/>
      </w:pPr>
      <w:r>
        <w:t xml:space="preserve">O custo de aquisição pertence à operação de aquisição e não ao catálogo.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vendedor-autorizado"/>
    <w:p>
      <w:pPr>
        <w:pStyle w:val="Heading1"/>
      </w:pPr>
      <w:r>
        <w:t xml:space="preserve">5. Vendedor Autorizado</w:t>
      </w:r>
    </w:p>
    <w:bookmarkStart w:id="32" w:name="rn040-autorização-comercial"/>
    <w:p>
      <w:pPr>
        <w:pStyle w:val="Heading3"/>
      </w:pPr>
      <w:r>
        <w:t xml:space="preserve">RN040 — Autorização comercial</w:t>
      </w:r>
    </w:p>
    <w:p>
      <w:pPr>
        <w:pStyle w:val="FirstParagraph"/>
      </w:pPr>
      <w:r>
        <w:t xml:space="preserve">Ser vendedor autorizado é diferente de possuir uma permissão técnica.</w:t>
      </w:r>
    </w:p>
    <w:bookmarkEnd w:id="32"/>
    <w:bookmarkStart w:id="33" w:name="rn041-aprovação"/>
    <w:p>
      <w:pPr>
        <w:pStyle w:val="Heading3"/>
      </w:pPr>
      <w:r>
        <w:t xml:space="preserve">RN041 — Aprovação</w:t>
      </w:r>
    </w:p>
    <w:p>
      <w:pPr>
        <w:pStyle w:val="FirstParagraph"/>
      </w:pPr>
      <w:r>
        <w:t xml:space="preserve">Um usuário somente poderá criar pré-vendas após possuir autorização comercial válida.</w:t>
      </w:r>
    </w:p>
    <w:bookmarkEnd w:id="33"/>
    <w:bookmarkStart w:id="34" w:name="rn042-suspensão"/>
    <w:p>
      <w:pPr>
        <w:pStyle w:val="Heading3"/>
      </w:pPr>
      <w:r>
        <w:t xml:space="preserve">RN042 — Suspensão</w:t>
      </w:r>
    </w:p>
    <w:p>
      <w:pPr>
        <w:pStyle w:val="FirstParagraph"/>
      </w:pPr>
      <w:r>
        <w:t xml:space="preserve">A autorização comercial poderá ser suspensa ou revogada.</w:t>
      </w:r>
    </w:p>
    <w:bookmarkEnd w:id="34"/>
    <w:bookmarkStart w:id="35" w:name="rn043-colecionador-e-vendedor"/>
    <w:p>
      <w:pPr>
        <w:pStyle w:val="Heading3"/>
      </w:pPr>
      <w:r>
        <w:t xml:space="preserve">RN043 — Colecionador e vendedor</w:t>
      </w:r>
    </w:p>
    <w:p>
      <w:pPr>
        <w:pStyle w:val="FirstParagraph"/>
      </w:pPr>
      <w:r>
        <w:t xml:space="preserve">Um mesmo usuário poderá ser:</w:t>
      </w:r>
    </w:p>
    <w:p>
      <w:pPr>
        <w:pStyle w:val="Compact"/>
        <w:numPr>
          <w:ilvl w:val="0"/>
          <w:numId w:val="1003"/>
        </w:numPr>
      </w:pPr>
      <w:r>
        <w:t xml:space="preserve">colecionador;</w:t>
      </w:r>
    </w:p>
    <w:p>
      <w:pPr>
        <w:pStyle w:val="Compact"/>
        <w:numPr>
          <w:ilvl w:val="0"/>
          <w:numId w:val="1003"/>
        </w:numPr>
      </w:pPr>
      <w:r>
        <w:t xml:space="preserve">vendedor;</w:t>
      </w:r>
    </w:p>
    <w:p>
      <w:pPr>
        <w:pStyle w:val="Compact"/>
        <w:numPr>
          <w:ilvl w:val="0"/>
          <w:numId w:val="1003"/>
        </w:numPr>
      </w:pPr>
      <w:r>
        <w:t xml:space="preserve">ou ambos.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0" w:name="pré-venda"/>
    <w:p>
      <w:pPr>
        <w:pStyle w:val="Heading1"/>
      </w:pPr>
      <w:r>
        <w:t xml:space="preserve">6. Pré-venda</w:t>
      </w:r>
    </w:p>
    <w:bookmarkStart w:id="37" w:name="rn050-pré-venda"/>
    <w:p>
      <w:pPr>
        <w:pStyle w:val="Heading3"/>
      </w:pPr>
      <w:r>
        <w:t xml:space="preserve">RN050 — Pré-venda</w:t>
      </w:r>
    </w:p>
    <w:p>
      <w:pPr>
        <w:pStyle w:val="FirstParagraph"/>
      </w:pPr>
      <w:r>
        <w:t xml:space="preserve">Uma pré-venda representa uma intenção comercial de venda futura.</w:t>
      </w:r>
    </w:p>
    <w:bookmarkEnd w:id="37"/>
    <w:bookmarkStart w:id="38" w:name="rn051-vendedor"/>
    <w:p>
      <w:pPr>
        <w:pStyle w:val="Heading3"/>
      </w:pPr>
      <w:r>
        <w:t xml:space="preserve">RN051 — Vendedor</w:t>
      </w:r>
    </w:p>
    <w:p>
      <w:pPr>
        <w:pStyle w:val="FirstParagraph"/>
      </w:pPr>
      <w:r>
        <w:t xml:space="preserve">Toda pré-venda deverá possuir um vendedor responsável.</w:t>
      </w:r>
    </w:p>
    <w:bookmarkEnd w:id="38"/>
    <w:bookmarkStart w:id="39" w:name="rn052-comprador"/>
    <w:p>
      <w:pPr>
        <w:pStyle w:val="Heading3"/>
      </w:pPr>
      <w:r>
        <w:t xml:space="preserve">RN052 — Comprador</w:t>
      </w:r>
    </w:p>
    <w:p>
      <w:pPr>
        <w:pStyle w:val="FirstParagraph"/>
      </w:pPr>
      <w:r>
        <w:t xml:space="preserve">Toda pré-venda deverá possuir um comprador identificado.</w:t>
      </w:r>
    </w:p>
    <w:bookmarkEnd w:id="39"/>
    <w:bookmarkStart w:id="40" w:name="rn053-produto"/>
    <w:p>
      <w:pPr>
        <w:pStyle w:val="Heading3"/>
      </w:pPr>
      <w:r>
        <w:t xml:space="preserve">RN053 — Produto</w:t>
      </w:r>
    </w:p>
    <w:p>
      <w:pPr>
        <w:pStyle w:val="FirstParagraph"/>
      </w:pPr>
      <w:r>
        <w:t xml:space="preserve">A pré-venda deverá estar associada a uma miniatura/variação válida do catálogo ou a um produto comercial futuro.</w:t>
      </w:r>
    </w:p>
    <w:bookmarkEnd w:id="40"/>
    <w:bookmarkStart w:id="41" w:name="rn054-quantidade"/>
    <w:p>
      <w:pPr>
        <w:pStyle w:val="Heading3"/>
      </w:pPr>
      <w:r>
        <w:t xml:space="preserve">RN054 — Quantidade</w:t>
      </w:r>
    </w:p>
    <w:p>
      <w:pPr>
        <w:pStyle w:val="FirstParagraph"/>
      </w:pPr>
      <w:r>
        <w:t xml:space="preserve">A pré-venda deverá informar quantidade.</w:t>
      </w:r>
    </w:p>
    <w:bookmarkEnd w:id="41"/>
    <w:bookmarkStart w:id="42" w:name="rn055-valor"/>
    <w:p>
      <w:pPr>
        <w:pStyle w:val="Heading3"/>
      </w:pPr>
      <w:r>
        <w:t xml:space="preserve">RN055 — Valor</w:t>
      </w:r>
    </w:p>
    <w:p>
      <w:pPr>
        <w:pStyle w:val="FirstParagraph"/>
      </w:pPr>
      <w:r>
        <w:t xml:space="preserve">O valor deverá ser registrado de forma independente do catálogo.</w:t>
      </w:r>
    </w:p>
    <w:bookmarkEnd w:id="42"/>
    <w:bookmarkStart w:id="43" w:name="rn056-parcelamento"/>
    <w:p>
      <w:pPr>
        <w:pStyle w:val="Heading3"/>
      </w:pPr>
      <w:r>
        <w:t xml:space="preserve">RN056 — Parcelamento</w:t>
      </w:r>
    </w:p>
    <w:p>
      <w:pPr>
        <w:pStyle w:val="FirstParagraph"/>
      </w:pPr>
      <w:r>
        <w:t xml:space="preserve">Uma pré-venda poderá possuir uma ou várias parcelas.</w:t>
      </w:r>
    </w:p>
    <w:bookmarkEnd w:id="43"/>
    <w:bookmarkStart w:id="44" w:name="rn057-vencimento"/>
    <w:p>
      <w:pPr>
        <w:pStyle w:val="Heading3"/>
      </w:pPr>
      <w:r>
        <w:t xml:space="preserve">RN057 — Vencimento</w:t>
      </w:r>
    </w:p>
    <w:p>
      <w:pPr>
        <w:pStyle w:val="FirstParagraph"/>
      </w:pPr>
      <w:r>
        <w:t xml:space="preserve">Cada parcela deverá possuir:</w:t>
      </w:r>
    </w:p>
    <w:p>
      <w:pPr>
        <w:pStyle w:val="Compact"/>
        <w:numPr>
          <w:ilvl w:val="0"/>
          <w:numId w:val="1004"/>
        </w:numPr>
      </w:pPr>
      <w:r>
        <w:t xml:space="preserve">valor;</w:t>
      </w:r>
    </w:p>
    <w:p>
      <w:pPr>
        <w:pStyle w:val="Compact"/>
        <w:numPr>
          <w:ilvl w:val="0"/>
          <w:numId w:val="1004"/>
        </w:numPr>
      </w:pPr>
      <w:r>
        <w:t xml:space="preserve">vencimento;</w:t>
      </w:r>
    </w:p>
    <w:p>
      <w:pPr>
        <w:pStyle w:val="Compact"/>
        <w:numPr>
          <w:ilvl w:val="0"/>
          <w:numId w:val="1004"/>
        </w:numPr>
      </w:pPr>
      <w:r>
        <w:t xml:space="preserve">status.</w:t>
      </w:r>
    </w:p>
    <w:bookmarkEnd w:id="44"/>
    <w:bookmarkStart w:id="45" w:name="rn058-pagamento"/>
    <w:p>
      <w:pPr>
        <w:pStyle w:val="Heading3"/>
      </w:pPr>
      <w:r>
        <w:t xml:space="preserve">RN058 — Pagamento</w:t>
      </w:r>
    </w:p>
    <w:p>
      <w:pPr>
        <w:pStyle w:val="FirstParagraph"/>
      </w:pPr>
      <w:r>
        <w:t xml:space="preserve">Uma parcela poderá receber pagamento total ou parcial, conforme regra comercial.</w:t>
      </w:r>
    </w:p>
    <w:bookmarkEnd w:id="45"/>
    <w:bookmarkStart w:id="46" w:name="rn059-saldo"/>
    <w:p>
      <w:pPr>
        <w:pStyle w:val="Heading3"/>
      </w:pPr>
      <w:r>
        <w:t xml:space="preserve">RN059 — Saldo</w:t>
      </w:r>
    </w:p>
    <w:p>
      <w:pPr>
        <w:pStyle w:val="FirstParagraph"/>
      </w:pPr>
      <w:r>
        <w:t xml:space="preserve">O sistema deverá calcular:</w:t>
      </w:r>
    </w:p>
    <w:p>
      <w:pPr>
        <w:pStyle w:val="SourceCode"/>
      </w:pPr>
      <w:r>
        <w:rPr>
          <w:rStyle w:val="VerbatimChar"/>
        </w:rPr>
        <w:t xml:space="preserve">Saldo = Valor da parcela - Valor pago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Saldo da pré-venda =</w:t>
      </w:r>
      <w:r>
        <w:br/>
      </w:r>
      <w:r>
        <w:rPr>
          <w:rStyle w:val="VerbatimChar"/>
        </w:rPr>
        <w:t xml:space="preserve">Valor contratado - Total recebido</w:t>
      </w:r>
    </w:p>
    <w:bookmarkEnd w:id="46"/>
    <w:bookmarkStart w:id="47" w:name="rn060-parcela-vencida"/>
    <w:p>
      <w:pPr>
        <w:pStyle w:val="Heading3"/>
      </w:pPr>
      <w:r>
        <w:t xml:space="preserve">RN060 — Parcela vencida</w:t>
      </w:r>
    </w:p>
    <w:p>
      <w:pPr>
        <w:pStyle w:val="FirstParagraph"/>
      </w:pPr>
      <w:r>
        <w:t xml:space="preserve">Uma parcela não paga após seu vencimento deverá assumir situação de vencida.</w:t>
      </w:r>
    </w:p>
    <w:bookmarkEnd w:id="47"/>
    <w:bookmarkStart w:id="48" w:name="rn061-cancelamento"/>
    <w:p>
      <w:pPr>
        <w:pStyle w:val="Heading3"/>
      </w:pPr>
      <w:r>
        <w:t xml:space="preserve">RN061 — Cancelamento</w:t>
      </w:r>
    </w:p>
    <w:p>
      <w:pPr>
        <w:pStyle w:val="FirstParagraph"/>
      </w:pPr>
      <w:r>
        <w:t xml:space="preserve">Cancelamentos deverão preservar histórico financeiro.</w:t>
      </w:r>
    </w:p>
    <w:bookmarkEnd w:id="48"/>
    <w:bookmarkStart w:id="49" w:name="rn062-estorno"/>
    <w:p>
      <w:pPr>
        <w:pStyle w:val="Heading3"/>
      </w:pPr>
      <w:r>
        <w:t xml:space="preserve">RN062 — Estorno</w:t>
      </w:r>
    </w:p>
    <w:p>
      <w:pPr>
        <w:pStyle w:val="FirstParagraph"/>
      </w:pPr>
      <w:r>
        <w:t xml:space="preserve">Estornos deverão ser registrados como eventos financeiros, e não simplesmente apagar pagamentos.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onta-corrente-comercial"/>
    <w:p>
      <w:pPr>
        <w:pStyle w:val="Heading1"/>
      </w:pPr>
      <w:r>
        <w:t xml:space="preserve">7. Conta Corrente Comercial</w:t>
      </w:r>
    </w:p>
    <w:bookmarkStart w:id="51" w:name="rn070-natureza"/>
    <w:p>
      <w:pPr>
        <w:pStyle w:val="Heading3"/>
      </w:pPr>
      <w:r>
        <w:t xml:space="preserve">RN070 — Natureza</w:t>
      </w:r>
    </w:p>
    <w:p>
      <w:pPr>
        <w:pStyle w:val="FirstParagraph"/>
      </w:pPr>
      <w:r>
        <w:t xml:space="preserve">O controle financeiro da pré-venda será operacional/comercial e não substituirá contabilidade.</w:t>
      </w:r>
    </w:p>
    <w:bookmarkEnd w:id="51"/>
    <w:bookmarkStart w:id="52" w:name="rn071-histórico"/>
    <w:p>
      <w:pPr>
        <w:pStyle w:val="Heading3"/>
      </w:pPr>
      <w:r>
        <w:t xml:space="preserve">RN071 — Histórico</w:t>
      </w:r>
    </w:p>
    <w:p>
      <w:pPr>
        <w:pStyle w:val="FirstParagraph"/>
      </w:pPr>
      <w:r>
        <w:t xml:space="preserve">Movimentações financeiras deverão ser preservadas.</w:t>
      </w:r>
    </w:p>
    <w:bookmarkEnd w:id="52"/>
    <w:bookmarkStart w:id="53" w:name="rn072-tipos-de-movimentação"/>
    <w:p>
      <w:pPr>
        <w:pStyle w:val="Heading3"/>
      </w:pPr>
      <w:r>
        <w:t xml:space="preserve">RN072 — Tipos de movimentação</w:t>
      </w:r>
    </w:p>
    <w:p>
      <w:pPr>
        <w:pStyle w:val="FirstParagraph"/>
      </w:pPr>
      <w:r>
        <w:t xml:space="preserve">O sistema deverá permitir futuramente eventos como:</w:t>
      </w:r>
    </w:p>
    <w:p>
      <w:pPr>
        <w:pStyle w:val="Compact"/>
        <w:numPr>
          <w:ilvl w:val="0"/>
          <w:numId w:val="1005"/>
        </w:numPr>
      </w:pPr>
      <w:r>
        <w:t xml:space="preserve">valor contratado;</w:t>
      </w:r>
    </w:p>
    <w:p>
      <w:pPr>
        <w:pStyle w:val="Compact"/>
        <w:numPr>
          <w:ilvl w:val="0"/>
          <w:numId w:val="1005"/>
        </w:numPr>
      </w:pPr>
      <w:r>
        <w:t xml:space="preserve">parcela;</w:t>
      </w:r>
    </w:p>
    <w:p>
      <w:pPr>
        <w:pStyle w:val="Compact"/>
        <w:numPr>
          <w:ilvl w:val="0"/>
          <w:numId w:val="1005"/>
        </w:numPr>
      </w:pPr>
      <w:r>
        <w:t xml:space="preserve">pagamento;</w:t>
      </w:r>
    </w:p>
    <w:p>
      <w:pPr>
        <w:pStyle w:val="Compact"/>
        <w:numPr>
          <w:ilvl w:val="0"/>
          <w:numId w:val="1005"/>
        </w:numPr>
      </w:pPr>
      <w:r>
        <w:t xml:space="preserve">pagamento parcial;</w:t>
      </w:r>
    </w:p>
    <w:p>
      <w:pPr>
        <w:pStyle w:val="Compact"/>
        <w:numPr>
          <w:ilvl w:val="0"/>
          <w:numId w:val="1005"/>
        </w:numPr>
      </w:pPr>
      <w:r>
        <w:t xml:space="preserve">estorno;</w:t>
      </w:r>
    </w:p>
    <w:p>
      <w:pPr>
        <w:pStyle w:val="Compact"/>
        <w:numPr>
          <w:ilvl w:val="0"/>
          <w:numId w:val="1005"/>
        </w:numPr>
      </w:pPr>
      <w:r>
        <w:t xml:space="preserve">ajuste;</w:t>
      </w:r>
    </w:p>
    <w:p>
      <w:pPr>
        <w:pStyle w:val="Compact"/>
        <w:numPr>
          <w:ilvl w:val="0"/>
          <w:numId w:val="1005"/>
        </w:numPr>
      </w:pPr>
      <w:r>
        <w:t xml:space="preserve">crédito;</w:t>
      </w:r>
    </w:p>
    <w:p>
      <w:pPr>
        <w:pStyle w:val="Compact"/>
        <w:numPr>
          <w:ilvl w:val="0"/>
          <w:numId w:val="1005"/>
        </w:numPr>
      </w:pPr>
      <w:r>
        <w:t xml:space="preserve">débito.</w:t>
      </w:r>
    </w:p>
    <w:bookmarkEnd w:id="53"/>
    <w:bookmarkStart w:id="54" w:name="rn073-saldo"/>
    <w:p>
      <w:pPr>
        <w:pStyle w:val="Heading3"/>
      </w:pPr>
      <w:r>
        <w:t xml:space="preserve">RN073 — Saldo</w:t>
      </w:r>
    </w:p>
    <w:p>
      <w:pPr>
        <w:pStyle w:val="FirstParagraph"/>
      </w:pPr>
      <w:r>
        <w:t xml:space="preserve">O sistema deverá permitir visualizar o saldo financeiro da relação comprador/vendedor.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notificações"/>
    <w:p>
      <w:pPr>
        <w:pStyle w:val="Heading1"/>
      </w:pPr>
      <w:r>
        <w:t xml:space="preserve">8. Notificações</w:t>
      </w:r>
    </w:p>
    <w:bookmarkStart w:id="56" w:name="rn080-motor-de-notificações"/>
    <w:p>
      <w:pPr>
        <w:pStyle w:val="Heading3"/>
      </w:pPr>
      <w:r>
        <w:t xml:space="preserve">RN080 — Motor de notificações</w:t>
      </w:r>
    </w:p>
    <w:p>
      <w:pPr>
        <w:pStyle w:val="FirstParagraph"/>
      </w:pPr>
      <w:r>
        <w:t xml:space="preserve">Notificações deverão ser processadas por um serviço independente dos módulos de negócio.</w:t>
      </w:r>
    </w:p>
    <w:bookmarkEnd w:id="56"/>
    <w:bookmarkStart w:id="57" w:name="rn081-eventos"/>
    <w:p>
      <w:pPr>
        <w:pStyle w:val="Heading3"/>
      </w:pPr>
      <w:r>
        <w:t xml:space="preserve">RN081 — Eventos</w:t>
      </w:r>
    </w:p>
    <w:p>
      <w:pPr>
        <w:pStyle w:val="FirstParagraph"/>
      </w:pPr>
      <w:r>
        <w:t xml:space="preserve">O motor poderá receber eventos como:</w:t>
      </w:r>
    </w:p>
    <w:p>
      <w:pPr>
        <w:pStyle w:val="Compact"/>
        <w:numPr>
          <w:ilvl w:val="0"/>
          <w:numId w:val="1006"/>
        </w:numPr>
      </w:pPr>
      <w:r>
        <w:t xml:space="preserve">parcela próxima do vencimento;</w:t>
      </w:r>
    </w:p>
    <w:p>
      <w:pPr>
        <w:pStyle w:val="Compact"/>
        <w:numPr>
          <w:ilvl w:val="0"/>
          <w:numId w:val="1006"/>
        </w:numPr>
      </w:pPr>
      <w:r>
        <w:t xml:space="preserve">parcela vencida;</w:t>
      </w:r>
    </w:p>
    <w:p>
      <w:pPr>
        <w:pStyle w:val="Compact"/>
        <w:numPr>
          <w:ilvl w:val="0"/>
          <w:numId w:val="1006"/>
        </w:numPr>
      </w:pPr>
      <w:r>
        <w:t xml:space="preserve">pagamento confirmado;</w:t>
      </w:r>
    </w:p>
    <w:p>
      <w:pPr>
        <w:pStyle w:val="Compact"/>
        <w:numPr>
          <w:ilvl w:val="0"/>
          <w:numId w:val="1006"/>
        </w:numPr>
      </w:pPr>
      <w:r>
        <w:t xml:space="preserve">alteração de vencimento;</w:t>
      </w:r>
    </w:p>
    <w:p>
      <w:pPr>
        <w:pStyle w:val="Compact"/>
        <w:numPr>
          <w:ilvl w:val="0"/>
          <w:numId w:val="1006"/>
        </w:numPr>
      </w:pPr>
      <w:r>
        <w:t xml:space="preserve">pedido criado;</w:t>
      </w:r>
    </w:p>
    <w:p>
      <w:pPr>
        <w:pStyle w:val="Compact"/>
        <w:numPr>
          <w:ilvl w:val="0"/>
          <w:numId w:val="1006"/>
        </w:numPr>
      </w:pPr>
      <w:r>
        <w:t xml:space="preserve">pedido enviado;</w:t>
      </w:r>
    </w:p>
    <w:p>
      <w:pPr>
        <w:pStyle w:val="Compact"/>
        <w:numPr>
          <w:ilvl w:val="0"/>
          <w:numId w:val="1006"/>
        </w:numPr>
      </w:pPr>
      <w:r>
        <w:t xml:space="preserve">entrega realizada.</w:t>
      </w:r>
    </w:p>
    <w:bookmarkEnd w:id="57"/>
    <w:bookmarkStart w:id="58" w:name="rn082-antecedência"/>
    <w:p>
      <w:pPr>
        <w:pStyle w:val="Heading3"/>
      </w:pPr>
      <w:r>
        <w:t xml:space="preserve">RN082 — Antecedência</w:t>
      </w:r>
    </w:p>
    <w:p>
      <w:pPr>
        <w:pStyle w:val="FirstParagraph"/>
      </w:pPr>
      <w:r>
        <w:t xml:space="preserve">Para parcelas, o sistema deverá suportar pelo menos:</w:t>
      </w:r>
    </w:p>
    <w:p>
      <w:pPr>
        <w:pStyle w:val="Compact"/>
        <w:numPr>
          <w:ilvl w:val="0"/>
          <w:numId w:val="1007"/>
        </w:numPr>
      </w:pPr>
      <w:r>
        <w:t xml:space="preserve">5 dias antes;</w:t>
      </w:r>
    </w:p>
    <w:p>
      <w:pPr>
        <w:pStyle w:val="Compact"/>
        <w:numPr>
          <w:ilvl w:val="0"/>
          <w:numId w:val="1007"/>
        </w:numPr>
      </w:pPr>
      <w:r>
        <w:t xml:space="preserve">no dia do vencimento.</w:t>
      </w:r>
    </w:p>
    <w:bookmarkEnd w:id="58"/>
    <w:bookmarkStart w:id="59" w:name="rn083-canais"/>
    <w:p>
      <w:pPr>
        <w:pStyle w:val="Heading3"/>
      </w:pPr>
      <w:r>
        <w:t xml:space="preserve">RN083 — Canais</w:t>
      </w:r>
    </w:p>
    <w:p>
      <w:pPr>
        <w:pStyle w:val="FirstParagraph"/>
      </w:pPr>
      <w:r>
        <w:t xml:space="preserve">Deverão ser previstos:</w:t>
      </w:r>
    </w:p>
    <w:p>
      <w:pPr>
        <w:pStyle w:val="Compact"/>
        <w:numPr>
          <w:ilvl w:val="0"/>
          <w:numId w:val="1008"/>
        </w:numPr>
      </w:pPr>
      <w:r>
        <w:t xml:space="preserve">e-mail;</w:t>
      </w:r>
    </w:p>
    <w:p>
      <w:pPr>
        <w:pStyle w:val="Compact"/>
        <w:numPr>
          <w:ilvl w:val="0"/>
          <w:numId w:val="1008"/>
        </w:numPr>
      </w:pPr>
      <w:r>
        <w:t xml:space="preserve">WhatsApp;</w:t>
      </w:r>
    </w:p>
    <w:p>
      <w:pPr>
        <w:pStyle w:val="Compact"/>
        <w:numPr>
          <w:ilvl w:val="0"/>
          <w:numId w:val="1008"/>
        </w:numPr>
      </w:pPr>
      <w:r>
        <w:t xml:space="preserve">SMS.</w:t>
      </w:r>
    </w:p>
    <w:bookmarkEnd w:id="59"/>
    <w:bookmarkStart w:id="60" w:name="rn084-preferências"/>
    <w:p>
      <w:pPr>
        <w:pStyle w:val="Heading3"/>
      </w:pPr>
      <w:r>
        <w:t xml:space="preserve">RN084 — Preferências</w:t>
      </w:r>
    </w:p>
    <w:p>
      <w:pPr>
        <w:pStyle w:val="FirstParagraph"/>
      </w:pPr>
      <w:r>
        <w:t xml:space="preserve">O usuário poderá configurar preferências de recebimento, conforme disponibilidade do canal.</w:t>
      </w:r>
    </w:p>
    <w:bookmarkEnd w:id="60"/>
    <w:bookmarkStart w:id="61" w:name="rn085-registro"/>
    <w:p>
      <w:pPr>
        <w:pStyle w:val="Heading3"/>
      </w:pPr>
      <w:r>
        <w:t xml:space="preserve">RN085 — Registro</w:t>
      </w:r>
    </w:p>
    <w:p>
      <w:pPr>
        <w:pStyle w:val="FirstParagraph"/>
      </w:pPr>
      <w:r>
        <w:t xml:space="preserve">Cada tentativa de notificação deverá possuir registro de:</w:t>
      </w:r>
    </w:p>
    <w:p>
      <w:pPr>
        <w:pStyle w:val="Compact"/>
        <w:numPr>
          <w:ilvl w:val="0"/>
          <w:numId w:val="1009"/>
        </w:numPr>
      </w:pPr>
      <w:r>
        <w:t xml:space="preserve">evento;</w:t>
      </w:r>
    </w:p>
    <w:p>
      <w:pPr>
        <w:pStyle w:val="Compact"/>
        <w:numPr>
          <w:ilvl w:val="0"/>
          <w:numId w:val="1009"/>
        </w:numPr>
      </w:pPr>
      <w:r>
        <w:t xml:space="preserve">destinatário;</w:t>
      </w:r>
    </w:p>
    <w:p>
      <w:pPr>
        <w:pStyle w:val="Compact"/>
        <w:numPr>
          <w:ilvl w:val="0"/>
          <w:numId w:val="1009"/>
        </w:numPr>
      </w:pPr>
      <w:r>
        <w:t xml:space="preserve">canal;</w:t>
      </w:r>
    </w:p>
    <w:p>
      <w:pPr>
        <w:pStyle w:val="Compact"/>
        <w:numPr>
          <w:ilvl w:val="0"/>
          <w:numId w:val="1009"/>
        </w:numPr>
      </w:pPr>
      <w:r>
        <w:t xml:space="preserve">data/hora;</w:t>
      </w:r>
    </w:p>
    <w:p>
      <w:pPr>
        <w:pStyle w:val="Compact"/>
        <w:numPr>
          <w:ilvl w:val="0"/>
          <w:numId w:val="1009"/>
        </w:numPr>
      </w:pPr>
      <w:r>
        <w:t xml:space="preserve">status;</w:t>
      </w:r>
    </w:p>
    <w:p>
      <w:pPr>
        <w:pStyle w:val="Compact"/>
        <w:numPr>
          <w:ilvl w:val="0"/>
          <w:numId w:val="1009"/>
        </w:numPr>
      </w:pPr>
      <w:r>
        <w:t xml:space="preserve">tentativa;</w:t>
      </w:r>
    </w:p>
    <w:p>
      <w:pPr>
        <w:pStyle w:val="Compact"/>
        <w:numPr>
          <w:ilvl w:val="0"/>
          <w:numId w:val="1009"/>
        </w:numPr>
      </w:pPr>
      <w:r>
        <w:t xml:space="preserve">erro, quando houver.</w:t>
      </w:r>
    </w:p>
    <w:bookmarkEnd w:id="61"/>
    <w:bookmarkStart w:id="62" w:name="rn086-idempotência"/>
    <w:p>
      <w:pPr>
        <w:pStyle w:val="Heading3"/>
      </w:pPr>
      <w:r>
        <w:t xml:space="preserve">RN086 — Idempotência</w:t>
      </w:r>
    </w:p>
    <w:p>
      <w:pPr>
        <w:pStyle w:val="FirstParagraph"/>
      </w:pPr>
      <w:r>
        <w:t xml:space="preserve">Uma mesma notificação não deverá ser enviada repetidamente em razão da reexecução de um processo.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relatórios-de-pré-venda"/>
    <w:p>
      <w:pPr>
        <w:pStyle w:val="Heading1"/>
      </w:pPr>
      <w:r>
        <w:t xml:space="preserve">9. Relatórios de Pré-venda</w:t>
      </w:r>
    </w:p>
    <w:bookmarkStart w:id="64" w:name="rn090-comprador"/>
    <w:p>
      <w:pPr>
        <w:pStyle w:val="Heading3"/>
      </w:pPr>
      <w:r>
        <w:t xml:space="preserve">RN090 — Comprador</w:t>
      </w:r>
    </w:p>
    <w:p>
      <w:pPr>
        <w:pStyle w:val="FirstParagraph"/>
      </w:pPr>
      <w:r>
        <w:t xml:space="preserve">O comprador deverá visualizar somente suas próprias pré-vendas.</w:t>
      </w:r>
    </w:p>
    <w:bookmarkEnd w:id="64"/>
    <w:bookmarkStart w:id="65" w:name="rn091-informações"/>
    <w:p>
      <w:pPr>
        <w:pStyle w:val="Heading3"/>
      </w:pPr>
      <w:r>
        <w:t xml:space="preserve">RN091 — Informações</w:t>
      </w:r>
    </w:p>
    <w:p>
      <w:pPr>
        <w:pStyle w:val="FirstParagraph"/>
      </w:pPr>
      <w:r>
        <w:t xml:space="preserve">O acompanhamento deverá apresentar:</w:t>
      </w:r>
    </w:p>
    <w:p>
      <w:pPr>
        <w:pStyle w:val="Compact"/>
        <w:numPr>
          <w:ilvl w:val="0"/>
          <w:numId w:val="1010"/>
        </w:numPr>
      </w:pPr>
      <w:r>
        <w:t xml:space="preserve">pré-venda;</w:t>
      </w:r>
    </w:p>
    <w:p>
      <w:pPr>
        <w:pStyle w:val="Compact"/>
        <w:numPr>
          <w:ilvl w:val="0"/>
          <w:numId w:val="1010"/>
        </w:numPr>
      </w:pPr>
      <w:r>
        <w:t xml:space="preserve">vendedor;</w:t>
      </w:r>
    </w:p>
    <w:p>
      <w:pPr>
        <w:pStyle w:val="Compact"/>
        <w:numPr>
          <w:ilvl w:val="0"/>
          <w:numId w:val="1010"/>
        </w:numPr>
      </w:pPr>
      <w:r>
        <w:t xml:space="preserve">miniatura;</w:t>
      </w:r>
    </w:p>
    <w:p>
      <w:pPr>
        <w:pStyle w:val="Compact"/>
        <w:numPr>
          <w:ilvl w:val="0"/>
          <w:numId w:val="1010"/>
        </w:numPr>
      </w:pPr>
      <w:r>
        <w:t xml:space="preserve">quantidade;</w:t>
      </w:r>
    </w:p>
    <w:p>
      <w:pPr>
        <w:pStyle w:val="Compact"/>
        <w:numPr>
          <w:ilvl w:val="0"/>
          <w:numId w:val="1010"/>
        </w:numPr>
      </w:pPr>
      <w:r>
        <w:t xml:space="preserve">valor;</w:t>
      </w:r>
    </w:p>
    <w:p>
      <w:pPr>
        <w:pStyle w:val="Compact"/>
        <w:numPr>
          <w:ilvl w:val="0"/>
          <w:numId w:val="1010"/>
        </w:numPr>
      </w:pPr>
      <w:r>
        <w:t xml:space="preserve">parcelas;</w:t>
      </w:r>
    </w:p>
    <w:p>
      <w:pPr>
        <w:pStyle w:val="Compact"/>
        <w:numPr>
          <w:ilvl w:val="0"/>
          <w:numId w:val="1010"/>
        </w:numPr>
      </w:pPr>
      <w:r>
        <w:t xml:space="preserve">vencimentos;</w:t>
      </w:r>
    </w:p>
    <w:p>
      <w:pPr>
        <w:pStyle w:val="Compact"/>
        <w:numPr>
          <w:ilvl w:val="0"/>
          <w:numId w:val="1010"/>
        </w:numPr>
      </w:pPr>
      <w:r>
        <w:t xml:space="preserve">pagamentos;</w:t>
      </w:r>
    </w:p>
    <w:p>
      <w:pPr>
        <w:pStyle w:val="Compact"/>
        <w:numPr>
          <w:ilvl w:val="0"/>
          <w:numId w:val="1010"/>
        </w:numPr>
      </w:pPr>
      <w:r>
        <w:t xml:space="preserve">saldo;</w:t>
      </w:r>
    </w:p>
    <w:p>
      <w:pPr>
        <w:pStyle w:val="Compact"/>
        <w:numPr>
          <w:ilvl w:val="0"/>
          <w:numId w:val="1010"/>
        </w:numPr>
      </w:pPr>
      <w:r>
        <w:t xml:space="preserve">situação.</w:t>
      </w:r>
    </w:p>
    <w:bookmarkEnd w:id="65"/>
    <w:bookmarkStart w:id="66" w:name="rn092-vendedor"/>
    <w:p>
      <w:pPr>
        <w:pStyle w:val="Heading3"/>
      </w:pPr>
      <w:r>
        <w:t xml:space="preserve">RN092 — Vendedor</w:t>
      </w:r>
    </w:p>
    <w:p>
      <w:pPr>
        <w:pStyle w:val="FirstParagraph"/>
      </w:pPr>
      <w:r>
        <w:t xml:space="preserve">O vendedor deverá visualizar suas pré-vendas e respectivos compradores.</w:t>
      </w:r>
    </w:p>
    <w:bookmarkEnd w:id="66"/>
    <w:bookmarkStart w:id="67" w:name="rn093-visão-financeira"/>
    <w:p>
      <w:pPr>
        <w:pStyle w:val="Heading3"/>
      </w:pPr>
      <w:r>
        <w:t xml:space="preserve">RN093 — Visão financeira</w:t>
      </w:r>
    </w:p>
    <w:p>
      <w:pPr>
        <w:pStyle w:val="FirstParagraph"/>
      </w:pPr>
      <w:r>
        <w:t xml:space="preserve">O vendedor deverá conseguir acompanhar:</w:t>
      </w:r>
    </w:p>
    <w:p>
      <w:pPr>
        <w:pStyle w:val="Compact"/>
        <w:numPr>
          <w:ilvl w:val="0"/>
          <w:numId w:val="1011"/>
        </w:numPr>
      </w:pPr>
      <w:r>
        <w:t xml:space="preserve">total contratado;</w:t>
      </w:r>
    </w:p>
    <w:p>
      <w:pPr>
        <w:pStyle w:val="Compact"/>
        <w:numPr>
          <w:ilvl w:val="0"/>
          <w:numId w:val="1011"/>
        </w:numPr>
      </w:pPr>
      <w:r>
        <w:t xml:space="preserve">recebido;</w:t>
      </w:r>
    </w:p>
    <w:p>
      <w:pPr>
        <w:pStyle w:val="Compact"/>
        <w:numPr>
          <w:ilvl w:val="0"/>
          <w:numId w:val="1011"/>
        </w:numPr>
      </w:pPr>
      <w:r>
        <w:t xml:space="preserve">a receber;</w:t>
      </w:r>
    </w:p>
    <w:p>
      <w:pPr>
        <w:pStyle w:val="Compact"/>
        <w:numPr>
          <w:ilvl w:val="0"/>
          <w:numId w:val="1011"/>
        </w:numPr>
      </w:pPr>
      <w:r>
        <w:t xml:space="preserve">vencido.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rifas"/>
    <w:p>
      <w:pPr>
        <w:pStyle w:val="Heading1"/>
      </w:pPr>
      <w:r>
        <w:t xml:space="preserve">10. Rifas</w:t>
      </w:r>
    </w:p>
    <w:bookmarkStart w:id="69" w:name="rn100-rifa-externa"/>
    <w:p>
      <w:pPr>
        <w:pStyle w:val="Heading3"/>
      </w:pPr>
      <w:r>
        <w:t xml:space="preserve">RN100 — Rifa externa</w:t>
      </w:r>
    </w:p>
    <w:p>
      <w:pPr>
        <w:pStyle w:val="FirstParagraph"/>
      </w:pPr>
      <w:r>
        <w:t xml:space="preserve">O MiniHub poderá apenas divulgar uma rifa externa.</w:t>
      </w:r>
    </w:p>
    <w:bookmarkEnd w:id="69"/>
    <w:bookmarkStart w:id="70" w:name="rn101-url"/>
    <w:p>
      <w:pPr>
        <w:pStyle w:val="Heading3"/>
      </w:pPr>
      <w:r>
        <w:t xml:space="preserve">RN101 — URL</w:t>
      </w:r>
    </w:p>
    <w:p>
      <w:pPr>
        <w:pStyle w:val="FirstParagraph"/>
      </w:pPr>
      <w:r>
        <w:t xml:space="preserve">Rifas externas deverão possuir URL de destino.</w:t>
      </w:r>
    </w:p>
    <w:bookmarkEnd w:id="70"/>
    <w:bookmarkStart w:id="71" w:name="rn102-rifa-interna"/>
    <w:p>
      <w:pPr>
        <w:pStyle w:val="Heading3"/>
      </w:pPr>
      <w:r>
        <w:t xml:space="preserve">RN102 — Rifa interna</w:t>
      </w:r>
    </w:p>
    <w:p>
      <w:pPr>
        <w:pStyle w:val="FirstParagraph"/>
      </w:pPr>
      <w:r>
        <w:t xml:space="preserve">Futuras rifas internas poderão controlar números, participantes, pagamentos e sorteio.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loja"/>
    <w:p>
      <w:pPr>
        <w:pStyle w:val="Heading1"/>
      </w:pPr>
      <w:r>
        <w:t xml:space="preserve">11. Loja</w:t>
      </w:r>
    </w:p>
    <w:bookmarkStart w:id="73" w:name="rn110-produto-comercial"/>
    <w:p>
      <w:pPr>
        <w:pStyle w:val="Heading3"/>
      </w:pPr>
      <w:r>
        <w:t xml:space="preserve">RN110 — Produto comercial</w:t>
      </w:r>
    </w:p>
    <w:p>
      <w:pPr>
        <w:pStyle w:val="FirstParagraph"/>
      </w:pPr>
      <w:r>
        <w:t xml:space="preserve">Produto comercial não é a mesma entidade que variação de catálogo.</w:t>
      </w:r>
    </w:p>
    <w:bookmarkEnd w:id="73"/>
    <w:bookmarkStart w:id="74" w:name="rn111-catálogo"/>
    <w:p>
      <w:pPr>
        <w:pStyle w:val="Heading3"/>
      </w:pPr>
      <w:r>
        <w:t xml:space="preserve">RN111 — Catálogo</w:t>
      </w:r>
    </w:p>
    <w:p>
      <w:pPr>
        <w:pStyle w:val="FirstParagraph"/>
      </w:pPr>
      <w:r>
        <w:t xml:space="preserve">Uma oferta comercial deverá referenciar uma entidade catalográfica válida.</w:t>
      </w:r>
    </w:p>
    <w:bookmarkEnd w:id="74"/>
    <w:bookmarkStart w:id="75" w:name="rn112-preço"/>
    <w:p>
      <w:pPr>
        <w:pStyle w:val="Heading3"/>
      </w:pPr>
      <w:r>
        <w:t xml:space="preserve">RN112 — Preço</w:t>
      </w:r>
    </w:p>
    <w:p>
      <w:pPr>
        <w:pStyle w:val="FirstParagraph"/>
      </w:pPr>
      <w:r>
        <w:t xml:space="preserve">O preço comercial pertence à oferta e não ao catálogo.</w:t>
      </w:r>
    </w:p>
    <w:bookmarkEnd w:id="75"/>
    <w:bookmarkStart w:id="76" w:name="rn113-estoque"/>
    <w:p>
      <w:pPr>
        <w:pStyle w:val="Heading3"/>
      </w:pPr>
      <w:r>
        <w:t xml:space="preserve">RN113 — Estoque</w:t>
      </w:r>
    </w:p>
    <w:p>
      <w:pPr>
        <w:pStyle w:val="FirstParagraph"/>
      </w:pPr>
      <w:r>
        <w:t xml:space="preserve">Estoque comercial deverá ser separado da coleção pessoal.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edido"/>
    <w:p>
      <w:pPr>
        <w:pStyle w:val="Heading1"/>
      </w:pPr>
      <w:r>
        <w:t xml:space="preserve">12. Pedido</w:t>
      </w:r>
    </w:p>
    <w:bookmarkStart w:id="78" w:name="rn120-pedido"/>
    <w:p>
      <w:pPr>
        <w:pStyle w:val="Heading3"/>
      </w:pPr>
      <w:r>
        <w:t xml:space="preserve">RN120 — Pedido</w:t>
      </w:r>
    </w:p>
    <w:p>
      <w:pPr>
        <w:pStyle w:val="FirstParagraph"/>
      </w:pPr>
      <w:r>
        <w:t xml:space="preserve">Um pedido representa a intenção de compra registrada no comércio.</w:t>
      </w:r>
    </w:p>
    <w:bookmarkEnd w:id="78"/>
    <w:bookmarkStart w:id="79" w:name="rn121-envio"/>
    <w:p>
      <w:pPr>
        <w:pStyle w:val="Heading3"/>
      </w:pPr>
      <w:r>
        <w:t xml:space="preserve">RN121 — Envio</w:t>
      </w:r>
    </w:p>
    <w:p>
      <w:pPr>
        <w:pStyle w:val="FirstParagraph"/>
      </w:pPr>
      <w:r>
        <w:t xml:space="preserve">A criação do pedido não obriga a criação imediata de um envio.</w:t>
      </w:r>
    </w:p>
    <w:bookmarkEnd w:id="79"/>
    <w:bookmarkStart w:id="80" w:name="rn122-fulfillment"/>
    <w:p>
      <w:pPr>
        <w:pStyle w:val="Heading3"/>
      </w:pPr>
      <w:r>
        <w:t xml:space="preserve">RN122 — Fulfillment</w:t>
      </w:r>
    </w:p>
    <w:p>
      <w:pPr>
        <w:pStyle w:val="FirstParagraph"/>
      </w:pPr>
      <w:r>
        <w:t xml:space="preserve">O pedido deverá possuir estratégia de atendimento, podendo futuramente ser:</w:t>
      </w:r>
    </w:p>
    <w:p>
      <w:pPr>
        <w:pStyle w:val="Compact"/>
        <w:numPr>
          <w:ilvl w:val="0"/>
          <w:numId w:val="1012"/>
        </w:numPr>
      </w:pPr>
      <w:r>
        <w:t xml:space="preserve">envio imediato;</w:t>
      </w:r>
    </w:p>
    <w:p>
      <w:pPr>
        <w:pStyle w:val="Compact"/>
        <w:numPr>
          <w:ilvl w:val="0"/>
          <w:numId w:val="1012"/>
        </w:numPr>
      </w:pPr>
      <w:r>
        <w:t xml:space="preserve">garagem;</w:t>
      </w:r>
    </w:p>
    <w:p>
      <w:pPr>
        <w:pStyle w:val="Compact"/>
        <w:numPr>
          <w:ilvl w:val="0"/>
          <w:numId w:val="1012"/>
        </w:numPr>
      </w:pPr>
      <w:r>
        <w:t xml:space="preserve">retirada;</w:t>
      </w:r>
    </w:p>
    <w:p>
      <w:pPr>
        <w:pStyle w:val="Compact"/>
        <w:numPr>
          <w:ilvl w:val="0"/>
          <w:numId w:val="1012"/>
        </w:numPr>
      </w:pPr>
      <w:r>
        <w:t xml:space="preserve">outra modalidade futura.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garagem"/>
    <w:p>
      <w:pPr>
        <w:pStyle w:val="Heading1"/>
      </w:pPr>
      <w:r>
        <w:t xml:space="preserve">13. Garagem</w:t>
      </w:r>
    </w:p>
    <w:bookmarkStart w:id="82" w:name="rn130-conceito"/>
    <w:p>
      <w:pPr>
        <w:pStyle w:val="Heading3"/>
      </w:pPr>
      <w:r>
        <w:t xml:space="preserve">RN130 — Conceito</w:t>
      </w:r>
    </w:p>
    <w:p>
      <w:pPr>
        <w:pStyle w:val="FirstParagraph"/>
      </w:pPr>
      <w:r>
        <w:t xml:space="preserve">A garagem representa produtos adquiridos pelo comprador que aguardam despacho.</w:t>
      </w:r>
    </w:p>
    <w:bookmarkEnd w:id="82"/>
    <w:bookmarkStart w:id="83" w:name="rn131-permanência"/>
    <w:p>
      <w:pPr>
        <w:pStyle w:val="Heading3"/>
      </w:pPr>
      <w:r>
        <w:t xml:space="preserve">RN131 — Permanência</w:t>
      </w:r>
    </w:p>
    <w:p>
      <w:pPr>
        <w:pStyle w:val="FirstParagraph"/>
      </w:pPr>
      <w:r>
        <w:t xml:space="preserve">Um item poderá permanecer na garagem até que o comprador solicite seu despacho.</w:t>
      </w:r>
    </w:p>
    <w:bookmarkEnd w:id="83"/>
    <w:bookmarkStart w:id="84" w:name="rn132-consolidação"/>
    <w:p>
      <w:pPr>
        <w:pStyle w:val="Heading3"/>
      </w:pPr>
      <w:r>
        <w:t xml:space="preserve">RN132 — Consolidação</w:t>
      </w:r>
    </w:p>
    <w:p>
      <w:pPr>
        <w:pStyle w:val="FirstParagraph"/>
      </w:pPr>
      <w:r>
        <w:t xml:space="preserve">Itens de diferentes pedidos poderão ser consolidados em um único despacho, quando operacionalmente possível.</w:t>
      </w:r>
    </w:p>
    <w:bookmarkEnd w:id="84"/>
    <w:bookmarkStart w:id="85" w:name="rn133-frete"/>
    <w:p>
      <w:pPr>
        <w:pStyle w:val="Heading3"/>
      </w:pPr>
      <w:r>
        <w:t xml:space="preserve">RN133 — Frete</w:t>
      </w:r>
    </w:p>
    <w:p>
      <w:pPr>
        <w:pStyle w:val="FirstParagraph"/>
      </w:pPr>
      <w:r>
        <w:t xml:space="preserve">O frete deverá ser calculado sobre o despacho consolidado, e não necessariamente sobre cada pedido individual.</w:t>
      </w:r>
    </w:p>
    <w:bookmarkEnd w:id="85"/>
    <w:bookmarkStart w:id="86" w:name="rn134-despacho-parcial"/>
    <w:p>
      <w:pPr>
        <w:pStyle w:val="Heading3"/>
      </w:pPr>
      <w:r>
        <w:t xml:space="preserve">RN134 — Despacho parcial</w:t>
      </w:r>
    </w:p>
    <w:p>
      <w:pPr>
        <w:pStyle w:val="FirstParagraph"/>
      </w:pPr>
      <w:r>
        <w:t xml:space="preserve">O comprador poderá futuramente selecionar apenas parte dos itens disponíveis na garagem para envio.</w:t>
      </w:r>
    </w:p>
    <w:bookmarkEnd w:id="86"/>
    <w:bookmarkStart w:id="87" w:name="rn135-saldo-de-garagem"/>
    <w:p>
      <w:pPr>
        <w:pStyle w:val="Heading3"/>
      </w:pPr>
      <w:r>
        <w:t xml:space="preserve">RN135 — Saldo de garagem</w:t>
      </w:r>
    </w:p>
    <w:p>
      <w:pPr>
        <w:pStyle w:val="FirstParagraph"/>
      </w:pPr>
      <w:r>
        <w:t xml:space="preserve">Itens já despachados não deverão permanecer disponíveis para novo despacho.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consolidação-logística"/>
    <w:p>
      <w:pPr>
        <w:pStyle w:val="Heading1"/>
      </w:pPr>
      <w:r>
        <w:t xml:space="preserve">14. Consolidação Logística</w:t>
      </w:r>
    </w:p>
    <w:bookmarkStart w:id="89" w:name="rn140-pedido-x-envio"/>
    <w:p>
      <w:pPr>
        <w:pStyle w:val="Heading3"/>
      </w:pPr>
      <w:r>
        <w:t xml:space="preserve">RN140 — Pedido x envio</w:t>
      </w:r>
    </w:p>
    <w:p>
      <w:pPr>
        <w:pStyle w:val="FirstParagraph"/>
      </w:pPr>
      <w:r>
        <w:t xml:space="preserve">Um pedido não deverá possuir obrigatoriamente relação 1:1 com um envio.</w:t>
      </w:r>
    </w:p>
    <w:bookmarkEnd w:id="89"/>
    <w:bookmarkStart w:id="90" w:name="rn141-múltiplos-pedidos"/>
    <w:p>
      <w:pPr>
        <w:pStyle w:val="Heading3"/>
      </w:pPr>
      <w:r>
        <w:t xml:space="preserve">RN141 — Múltiplos pedidos</w:t>
      </w:r>
    </w:p>
    <w:p>
      <w:pPr>
        <w:pStyle w:val="FirstParagraph"/>
      </w:pPr>
      <w:r>
        <w:t xml:space="preserve">Um envio poderá conter itens originados de diferentes pedidos.</w:t>
      </w:r>
    </w:p>
    <w:bookmarkEnd w:id="90"/>
    <w:bookmarkStart w:id="91" w:name="rn142-consolidação-física"/>
    <w:p>
      <w:pPr>
        <w:pStyle w:val="Heading3"/>
      </w:pPr>
      <w:r>
        <w:t xml:space="preserve">RN142 — Consolidação física</w:t>
      </w:r>
    </w:p>
    <w:p>
      <w:pPr>
        <w:pStyle w:val="FirstParagraph"/>
      </w:pPr>
      <w:r>
        <w:t xml:space="preserve">O sistema deverá distinguir:</w:t>
      </w:r>
    </w:p>
    <w:p>
      <w:pPr>
        <w:pStyle w:val="Compact"/>
        <w:numPr>
          <w:ilvl w:val="0"/>
          <w:numId w:val="1013"/>
        </w:numPr>
      </w:pPr>
      <w:r>
        <w:t xml:space="preserve">agrupamento comercial;</w:t>
      </w:r>
    </w:p>
    <w:p>
      <w:pPr>
        <w:pStyle w:val="Compact"/>
        <w:numPr>
          <w:ilvl w:val="0"/>
          <w:numId w:val="1013"/>
        </w:numPr>
      </w:pPr>
      <w:r>
        <w:t xml:space="preserve">consolidação logística física.</w:t>
      </w:r>
    </w:p>
    <w:bookmarkEnd w:id="91"/>
    <w:bookmarkStart w:id="92" w:name="rn143-marketplace"/>
    <w:p>
      <w:pPr>
        <w:pStyle w:val="Heading3"/>
      </w:pPr>
      <w:r>
        <w:t xml:space="preserve">RN143 — Marketplace</w:t>
      </w:r>
    </w:p>
    <w:p>
      <w:pPr>
        <w:pStyle w:val="FirstParagraph"/>
      </w:pPr>
      <w:r>
        <w:t xml:space="preserve">Caso existam vendedores em locais distintos, somente pedidos elegíveis para consolidação física poderão compartilhar um despacho.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frete"/>
    <w:p>
      <w:pPr>
        <w:pStyle w:val="Heading1"/>
      </w:pPr>
      <w:r>
        <w:t xml:space="preserve">15. Frete</w:t>
      </w:r>
    </w:p>
    <w:bookmarkStart w:id="94" w:name="rn150-abstração"/>
    <w:p>
      <w:pPr>
        <w:pStyle w:val="Heading3"/>
      </w:pPr>
      <w:r>
        <w:t xml:space="preserve">RN150 — Abstração</w:t>
      </w:r>
    </w:p>
    <w:p>
      <w:pPr>
        <w:pStyle w:val="FirstParagraph"/>
      </w:pPr>
      <w:r>
        <w:t xml:space="preserve">A aplicação não deverá depender de um único fornecedor.</w:t>
      </w:r>
    </w:p>
    <w:bookmarkEnd w:id="94"/>
    <w:bookmarkStart w:id="95" w:name="rn151-provedores"/>
    <w:p>
      <w:pPr>
        <w:pStyle w:val="Heading3"/>
      </w:pPr>
      <w:r>
        <w:t xml:space="preserve">RN151 — Provedores</w:t>
      </w:r>
    </w:p>
    <w:p>
      <w:pPr>
        <w:pStyle w:val="FirstParagraph"/>
      </w:pPr>
      <w:r>
        <w:t xml:space="preserve">Deverá ser possível integrar futuramente:</w:t>
      </w:r>
    </w:p>
    <w:p>
      <w:pPr>
        <w:pStyle w:val="Compact"/>
        <w:numPr>
          <w:ilvl w:val="0"/>
          <w:numId w:val="1014"/>
        </w:numPr>
      </w:pPr>
      <w:r>
        <w:t xml:space="preserve">Correios;</w:t>
      </w:r>
    </w:p>
    <w:p>
      <w:pPr>
        <w:pStyle w:val="Compact"/>
        <w:numPr>
          <w:ilvl w:val="0"/>
          <w:numId w:val="1014"/>
        </w:numPr>
      </w:pPr>
      <w:r>
        <w:t xml:space="preserve">Jadlog;</w:t>
      </w:r>
    </w:p>
    <w:p>
      <w:pPr>
        <w:pStyle w:val="Compact"/>
        <w:numPr>
          <w:ilvl w:val="0"/>
          <w:numId w:val="1014"/>
        </w:numPr>
      </w:pPr>
      <w:r>
        <w:t xml:space="preserve">SuperFrete;</w:t>
      </w:r>
    </w:p>
    <w:p>
      <w:pPr>
        <w:pStyle w:val="Compact"/>
        <w:numPr>
          <w:ilvl w:val="0"/>
          <w:numId w:val="1014"/>
        </w:numPr>
      </w:pPr>
      <w:r>
        <w:t xml:space="preserve">outros.</w:t>
      </w:r>
    </w:p>
    <w:bookmarkEnd w:id="95"/>
    <w:bookmarkStart w:id="96" w:name="rn152-cotação"/>
    <w:p>
      <w:pPr>
        <w:pStyle w:val="Heading3"/>
      </w:pPr>
      <w:r>
        <w:t xml:space="preserve">RN152 — Cotação</w:t>
      </w:r>
    </w:p>
    <w:p>
      <w:pPr>
        <w:pStyle w:val="FirstParagraph"/>
      </w:pPr>
      <w:r>
        <w:t xml:space="preserve">A cotação deverá ocorrer sobre o despacho que será efetivamente transportado.</w:t>
      </w:r>
    </w:p>
    <w:bookmarkEnd w:id="96"/>
    <w:bookmarkStart w:id="97" w:name="rn153-rastreamento"/>
    <w:p>
      <w:pPr>
        <w:pStyle w:val="Heading3"/>
      </w:pPr>
      <w:r>
        <w:t xml:space="preserve">RN153 — Rastreamento</w:t>
      </w:r>
    </w:p>
    <w:p>
      <w:pPr>
        <w:pStyle w:val="FirstParagraph"/>
      </w:pPr>
      <w:r>
        <w:t xml:space="preserve">O despacho deverá possuir informações de rastreamento quando disponibilizadas pelo transportador.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princípios-de-segurança"/>
    <w:p>
      <w:pPr>
        <w:pStyle w:val="Heading1"/>
      </w:pPr>
      <w:r>
        <w:t xml:space="preserve">16. Princípios de Segurança</w:t>
      </w:r>
    </w:p>
    <w:bookmarkStart w:id="99" w:name="rn160"/>
    <w:p>
      <w:pPr>
        <w:pStyle w:val="Heading3"/>
      </w:pPr>
      <w:r>
        <w:t xml:space="preserve">RN160</w:t>
      </w:r>
    </w:p>
    <w:p>
      <w:pPr>
        <w:pStyle w:val="FirstParagraph"/>
      </w:pPr>
      <w:r>
        <w:t xml:space="preserve">Nenhum usuário poderá acessar dados comerciais privados de outro usuário sem autorização.</w:t>
      </w:r>
    </w:p>
    <w:bookmarkEnd w:id="99"/>
    <w:bookmarkStart w:id="100" w:name="rn161"/>
    <w:p>
      <w:pPr>
        <w:pStyle w:val="Heading3"/>
      </w:pPr>
      <w:r>
        <w:t xml:space="preserve">RN161</w:t>
      </w:r>
    </w:p>
    <w:p>
      <w:pPr>
        <w:pStyle w:val="FirstParagraph"/>
      </w:pPr>
      <w:r>
        <w:t xml:space="preserve">Vendedores somente poderão acessar suas próprias pré-vendas.</w:t>
      </w:r>
    </w:p>
    <w:bookmarkEnd w:id="100"/>
    <w:bookmarkStart w:id="101" w:name="rn162"/>
    <w:p>
      <w:pPr>
        <w:pStyle w:val="Heading3"/>
      </w:pPr>
      <w:r>
        <w:t xml:space="preserve">RN162</w:t>
      </w:r>
    </w:p>
    <w:p>
      <w:pPr>
        <w:pStyle w:val="FirstParagraph"/>
      </w:pPr>
      <w:r>
        <w:t xml:space="preserve">Compradores somente poderão acessar suas próprias compras e parcelas.</w:t>
      </w:r>
    </w:p>
    <w:bookmarkEnd w:id="101"/>
    <w:bookmarkStart w:id="102" w:name="rn163"/>
    <w:p>
      <w:pPr>
        <w:pStyle w:val="Heading3"/>
      </w:pPr>
      <w:r>
        <w:t xml:space="preserve">RN163</w:t>
      </w:r>
    </w:p>
    <w:p>
      <w:pPr>
        <w:pStyle w:val="FirstParagraph"/>
      </w:pPr>
      <w:r>
        <w:t xml:space="preserve">Permissões técnicas e autorização comercial deverão permanecer separadas.</w:t>
      </w:r>
    </w:p>
    <w:bookmarkEnd w:id="102"/>
    <w:bookmarkStart w:id="103" w:name="rn164"/>
    <w:p>
      <w:pPr>
        <w:pStyle w:val="Heading3"/>
      </w:pPr>
      <w:r>
        <w:t xml:space="preserve">RN164</w:t>
      </w:r>
    </w:p>
    <w:p>
      <w:pPr>
        <w:pStyle w:val="FirstParagraph"/>
      </w:pPr>
      <w:r>
        <w:t xml:space="preserve">Operações financeiras deverão possuir rastreabilidade.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princípio-de-evolução"/>
    <w:p>
      <w:pPr>
        <w:pStyle w:val="Heading1"/>
      </w:pPr>
      <w:r>
        <w:t xml:space="preserve">17. Princípio de Evolução</w:t>
      </w:r>
    </w:p>
    <w:p>
      <w:pPr>
        <w:pStyle w:val="FirstParagraph"/>
      </w:pPr>
      <w:r>
        <w:t xml:space="preserve">As funcionalidades futuras deverão ser implementadas de forma modular.</w:t>
      </w:r>
    </w:p>
    <w:p>
      <w:pPr>
        <w:pStyle w:val="BodyText"/>
      </w:pPr>
      <w:r>
        <w:t xml:space="preserve">A arquitetura deverá evitar dependências rígidas entre: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LOGÍSTICA</w:t>
      </w:r>
    </w:p>
    <w:p>
      <w:pPr>
        <w:pStyle w:val="FirstParagraph"/>
      </w:pPr>
      <w:r>
        <w:t xml:space="preserve">O objetivo é permitir evolução sem comprometer o núcleo do MiniHub.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