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72D8" w14:textId="77777777" w:rsidR="00A56BF1" w:rsidRDefault="00000000">
      <w:pPr>
        <w:pStyle w:val="ABNT-Capa"/>
      </w:pPr>
      <w:r>
        <w:t>UNIVERSIDADE DE BRASÍLIA — UnB</w:t>
      </w:r>
    </w:p>
    <w:p w14:paraId="4CCA7700" w14:textId="77777777" w:rsidR="00A56BF1" w:rsidRDefault="00000000">
      <w:pPr>
        <w:pStyle w:val="ABNT-Capa"/>
      </w:pPr>
      <w:r>
        <w:t>DEPARTAMENTO DE CIÊNCIAS CONTÁBEIS E ATUARIAIS</w:t>
      </w:r>
    </w:p>
    <w:p w14:paraId="0E440D20" w14:textId="77777777" w:rsidR="00A56BF1" w:rsidRDefault="00000000">
      <w:pPr>
        <w:pStyle w:val="ABNT-Capa"/>
      </w:pPr>
      <w:r>
        <w:t>FINANÇAS DO SETOR PÚBLICO — CCA0169 · 2026.2</w:t>
      </w:r>
    </w:p>
    <w:p w14:paraId="63B83B19" w14:textId="77777777" w:rsidR="00A56BF1" w:rsidRDefault="00A56BF1">
      <w:pPr>
        <w:pStyle w:val="ABNT-Capa"/>
        <w:spacing w:before="240"/>
      </w:pPr>
    </w:p>
    <w:p w14:paraId="2DC009F2" w14:textId="77777777" w:rsidR="00A56BF1" w:rsidRDefault="00FD2DFC">
      <w:pPr>
        <w:pStyle w:val="ABNT-Capa"/>
        <w:spacing w:before="900"/>
      </w:pPr>
      <w:r>
        <w:t>CARLOS HENRIQUE FERREIRA QUEIROZ</w:t>
      </w:r>
    </w:p>
    <w:p w14:paraId="3B4A56EA" w14:textId="77777777" w:rsidR="00A56BF1" w:rsidRDefault="00FD2DFC">
      <w:pPr>
        <w:pStyle w:val="ABNT-Capa"/>
      </w:pPr>
      <w:r>
        <w:t>231005330</w:t>
      </w:r>
    </w:p>
    <w:p w14:paraId="2DF52C38" w14:textId="77777777" w:rsidR="00A56BF1" w:rsidRDefault="00000000">
      <w:pPr>
        <w:pStyle w:val="ABNT-CapaTitulo"/>
        <w:spacing w:before="1100"/>
      </w:pPr>
      <w:r>
        <w:t>O EFEITO FLYPAPER E A ILUSÃO FISCAL SOB A ÓTICA DOS ROYALTIES DO PETRÓLEO: UMA ANÁLISE COMPARATIVA ENTRE MUNICÍPIOS FLUMINENSES (RIO DE JANEIRO E NITERÓI) E O MODELO DE FINANCIAMENTO LOCAL DA FRANÇA</w:t>
      </w:r>
    </w:p>
    <w:p w14:paraId="31AE38AF" w14:textId="77777777" w:rsidR="00A56BF1" w:rsidRDefault="00A56BF1">
      <w:pPr>
        <w:pStyle w:val="ABNT-Capa"/>
        <w:spacing w:before="300"/>
      </w:pPr>
    </w:p>
    <w:p w14:paraId="03C17156" w14:textId="77777777" w:rsidR="00A56BF1" w:rsidRDefault="00A56BF1">
      <w:pPr>
        <w:pStyle w:val="ABNT-NotaCapa"/>
        <w:spacing w:before="100"/>
      </w:pPr>
    </w:p>
    <w:p w14:paraId="2F25A8F7" w14:textId="77777777" w:rsidR="00FD2DFC" w:rsidRDefault="00FD2DFC">
      <w:pPr>
        <w:pStyle w:val="ABNT-NotaCapa"/>
        <w:spacing w:before="100"/>
      </w:pPr>
    </w:p>
    <w:p w14:paraId="52CFD276" w14:textId="77777777" w:rsidR="00FD2DFC" w:rsidRDefault="00FD2DFC">
      <w:pPr>
        <w:pStyle w:val="ABNT-NotaCapa"/>
        <w:spacing w:before="100"/>
      </w:pPr>
    </w:p>
    <w:p w14:paraId="09C9E4B1" w14:textId="77777777" w:rsidR="00FD2DFC" w:rsidRDefault="00FD2DFC">
      <w:pPr>
        <w:pStyle w:val="ABNT-NotaCapa"/>
        <w:spacing w:before="100"/>
      </w:pPr>
    </w:p>
    <w:p w14:paraId="21571C64" w14:textId="77777777" w:rsidR="00FD2DFC" w:rsidRDefault="00FD2DFC">
      <w:pPr>
        <w:pStyle w:val="ABNT-NotaCapa"/>
        <w:spacing w:before="100"/>
      </w:pPr>
    </w:p>
    <w:p w14:paraId="25E8E3C0" w14:textId="77777777" w:rsidR="00FD2DFC" w:rsidRDefault="00FD2DFC">
      <w:pPr>
        <w:pStyle w:val="ABNT-NotaCapa"/>
        <w:spacing w:before="100"/>
      </w:pPr>
    </w:p>
    <w:p w14:paraId="7275F1CC" w14:textId="77777777" w:rsidR="00FD2DFC" w:rsidRDefault="00FD2DFC">
      <w:pPr>
        <w:pStyle w:val="ABNT-NotaCapa"/>
        <w:spacing w:before="100"/>
      </w:pPr>
    </w:p>
    <w:p w14:paraId="31CA1007" w14:textId="77777777" w:rsidR="00FD2DFC" w:rsidRDefault="00FD2DFC">
      <w:pPr>
        <w:pStyle w:val="ABNT-NotaCapa"/>
        <w:spacing w:before="100"/>
      </w:pPr>
    </w:p>
    <w:p w14:paraId="2FD5AC31" w14:textId="77777777" w:rsidR="00FD2DFC" w:rsidRDefault="00FD2DFC">
      <w:pPr>
        <w:pStyle w:val="ABNT-NotaCapa"/>
        <w:spacing w:before="100"/>
      </w:pPr>
    </w:p>
    <w:p w14:paraId="333BB0DD" w14:textId="77777777" w:rsidR="00FD2DFC" w:rsidRDefault="00FD2DFC">
      <w:pPr>
        <w:pStyle w:val="ABNT-NotaCapa"/>
        <w:spacing w:before="100"/>
      </w:pPr>
    </w:p>
    <w:p w14:paraId="13FCD8B1" w14:textId="77777777" w:rsidR="00A56BF1" w:rsidRDefault="00000000">
      <w:pPr>
        <w:pStyle w:val="ABNT-Capa"/>
        <w:spacing w:before="800"/>
      </w:pPr>
      <w:r>
        <w:t>BRASÍLIA — DF</w:t>
      </w:r>
    </w:p>
    <w:p w14:paraId="6611BFF0" w14:textId="35BF03F1" w:rsidR="00A56BF1" w:rsidRDefault="00321CF5">
      <w:pPr>
        <w:pStyle w:val="ABNT-Capa"/>
      </w:pPr>
      <w:r>
        <w:t>24/10/</w:t>
      </w:r>
      <w:r w:rsidR="00000000">
        <w:t>2026</w:t>
      </w:r>
      <w:r w:rsidR="00000000">
        <w:br w:type="page"/>
      </w:r>
    </w:p>
    <w:p w14:paraId="51FD3885" w14:textId="77777777" w:rsidR="00C93EFF" w:rsidRDefault="00000000">
      <w:pPr>
        <w:spacing w:before="100" w:after="200" w:line="240" w:lineRule="auto"/>
        <w:jc w:val="center"/>
      </w:pPr>
      <w:r>
        <w:rPr>
          <w:b/>
        </w:rPr>
        <w:lastRenderedPageBreak/>
        <w:t>SUMÁRIO</w:t>
      </w:r>
    </w:p>
    <w:p w14:paraId="7A6E3A74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1. Introdução</w:t>
      </w:r>
      <w:r>
        <w:rPr>
          <w:sz w:val="20"/>
        </w:rPr>
        <w:tab/>
        <w:t>3</w:t>
      </w:r>
    </w:p>
    <w:p w14:paraId="71C562CF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2. Referencial teórico e evidências</w:t>
      </w:r>
      <w:r>
        <w:rPr>
          <w:sz w:val="20"/>
        </w:rPr>
        <w:tab/>
        <w:t>4</w:t>
      </w:r>
    </w:p>
    <w:p w14:paraId="3C6C83FA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2.1. Federalismo fiscal, descentralização e transferências</w:t>
      </w:r>
      <w:r>
        <w:rPr>
          <w:sz w:val="20"/>
        </w:rPr>
        <w:tab/>
        <w:t>4</w:t>
      </w:r>
    </w:p>
    <w:p w14:paraId="2A0FF380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2.2. O efeito flypaper como hipótese identificável</w:t>
      </w:r>
      <w:r>
        <w:rPr>
          <w:sz w:val="20"/>
        </w:rPr>
        <w:tab/>
        <w:t>5</w:t>
      </w:r>
    </w:p>
    <w:p w14:paraId="40FD3BA2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2.3. Ilusão fiscal e governança</w:t>
      </w:r>
      <w:r>
        <w:rPr>
          <w:sz w:val="20"/>
        </w:rPr>
        <w:tab/>
        <w:t>5</w:t>
      </w:r>
    </w:p>
    <w:p w14:paraId="4DE5904A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2.4. Recursos naturais, volatilidade e capacidade de gasto</w:t>
      </w:r>
      <w:r>
        <w:rPr>
          <w:sz w:val="20"/>
        </w:rPr>
        <w:tab/>
        <w:t>5</w:t>
      </w:r>
    </w:p>
    <w:p w14:paraId="7ADD49EF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2.5. Síntese analítica das 80 publicações selecionadas</w:t>
      </w:r>
      <w:r>
        <w:rPr>
          <w:sz w:val="20"/>
        </w:rPr>
        <w:tab/>
        <w:t>6</w:t>
      </w:r>
    </w:p>
    <w:p w14:paraId="166A5AFA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3. Estudo bibliométrico (bibliometrix)</w:t>
      </w:r>
      <w:r>
        <w:rPr>
          <w:sz w:val="20"/>
        </w:rPr>
        <w:tab/>
        <w:t>7</w:t>
      </w:r>
    </w:p>
    <w:p w14:paraId="0930D3C2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4. Metodologia empírica</w:t>
      </w:r>
      <w:r>
        <w:rPr>
          <w:sz w:val="20"/>
        </w:rPr>
        <w:tab/>
        <w:t>9</w:t>
      </w:r>
    </w:p>
    <w:p w14:paraId="31387007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4.1. Delineamento, unidades e reconstrução da base</w:t>
      </w:r>
      <w:r>
        <w:rPr>
          <w:sz w:val="20"/>
        </w:rPr>
        <w:tab/>
        <w:t>9</w:t>
      </w:r>
    </w:p>
    <w:p w14:paraId="5D2E7902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4.2. Medidas e regras de transformação</w:t>
      </w:r>
      <w:r>
        <w:rPr>
          <w:sz w:val="20"/>
        </w:rPr>
        <w:tab/>
        <w:t>9</w:t>
      </w:r>
    </w:p>
    <w:p w14:paraId="5AE531F8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4.3. Conciliação contábil e limites de identificação</w:t>
      </w:r>
      <w:r>
        <w:rPr>
          <w:sz w:val="20"/>
        </w:rPr>
        <w:tab/>
        <w:t>10</w:t>
      </w:r>
    </w:p>
    <w:p w14:paraId="25BAD4AE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5. Resultados e discussão</w:t>
      </w:r>
      <w:r>
        <w:rPr>
          <w:sz w:val="20"/>
        </w:rPr>
        <w:tab/>
        <w:t>11</w:t>
      </w:r>
    </w:p>
    <w:p w14:paraId="0B7DEC09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5.1. Evolução da despesa real</w:t>
      </w:r>
      <w:r>
        <w:rPr>
          <w:sz w:val="20"/>
        </w:rPr>
        <w:tab/>
        <w:t>11</w:t>
      </w:r>
    </w:p>
    <w:p w14:paraId="78D4BA0E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5.2. Exposição petrolífera, tributos próprios e transferências</w:t>
      </w:r>
      <w:r>
        <w:rPr>
          <w:sz w:val="20"/>
        </w:rPr>
        <w:tab/>
        <w:t>12</w:t>
      </w:r>
    </w:p>
    <w:p w14:paraId="13F2B269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5.3. Confronto internacional e consistência das rubricas</w:t>
      </w:r>
      <w:r>
        <w:rPr>
          <w:sz w:val="20"/>
        </w:rPr>
        <w:tab/>
        <w:t>13</w:t>
      </w:r>
    </w:p>
    <w:p w14:paraId="60B31B6B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5.4. Quadro sintético dos resultados</w:t>
      </w:r>
      <w:r>
        <w:rPr>
          <w:sz w:val="20"/>
        </w:rPr>
        <w:tab/>
        <w:t>13</w:t>
      </w:r>
    </w:p>
    <w:p w14:paraId="522FB754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6. Discussão crítica e implicações</w:t>
      </w:r>
      <w:r>
        <w:rPr>
          <w:sz w:val="20"/>
        </w:rPr>
        <w:tab/>
        <w:t>13</w:t>
      </w:r>
    </w:p>
    <w:p w14:paraId="0B98FB18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7. Conclusão</w:t>
      </w:r>
      <w:r>
        <w:rPr>
          <w:sz w:val="20"/>
        </w:rPr>
        <w:tab/>
        <w:t>14</w:t>
      </w:r>
    </w:p>
    <w:p w14:paraId="06E57893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8. Quadro comentado de evidências científicas (80 artigos Scopus)</w:t>
      </w:r>
      <w:r>
        <w:rPr>
          <w:sz w:val="20"/>
        </w:rPr>
        <w:tab/>
        <w:t>15</w:t>
      </w:r>
    </w:p>
    <w:p w14:paraId="2C4F635D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8.1. Ilusão fiscal e percepção tributária</w:t>
      </w:r>
      <w:r>
        <w:rPr>
          <w:sz w:val="20"/>
        </w:rPr>
        <w:tab/>
        <w:t>15</w:t>
      </w:r>
    </w:p>
    <w:p w14:paraId="7CA3B6F4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8.2. Efeito Flypaper e gasto público</w:t>
      </w:r>
      <w:r>
        <w:rPr>
          <w:sz w:val="20"/>
        </w:rPr>
        <w:tab/>
        <w:t>17</w:t>
      </w:r>
    </w:p>
    <w:p w14:paraId="2FAEBC7B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8.3. Transferências, incentivos e receitas locais</w:t>
      </w:r>
      <w:r>
        <w:rPr>
          <w:sz w:val="20"/>
        </w:rPr>
        <w:tab/>
        <w:t>20</w:t>
      </w:r>
    </w:p>
    <w:p w14:paraId="5D818EAD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8.4. Descentralização, autonomia e capacidade fiscal</w:t>
      </w:r>
      <w:r>
        <w:rPr>
          <w:sz w:val="20"/>
        </w:rPr>
        <w:tab/>
        <w:t>22</w:t>
      </w:r>
    </w:p>
    <w:p w14:paraId="4E4B7470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8.5. Instituições, política e accountability</w:t>
      </w:r>
      <w:r>
        <w:rPr>
          <w:sz w:val="20"/>
        </w:rPr>
        <w:tab/>
        <w:t>25</w:t>
      </w:r>
    </w:p>
    <w:p w14:paraId="3FBED49D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8.6. Brasil e América Latina</w:t>
      </w:r>
      <w:r>
        <w:rPr>
          <w:sz w:val="20"/>
        </w:rPr>
        <w:tab/>
        <w:t>26</w:t>
      </w:r>
    </w:p>
    <w:p w14:paraId="16EF6268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8.7. Receitas extrativas e choques de receita</w:t>
      </w:r>
      <w:r>
        <w:rPr>
          <w:sz w:val="20"/>
        </w:rPr>
        <w:tab/>
        <w:t>28</w:t>
      </w:r>
    </w:p>
    <w:p w14:paraId="789EDB50" w14:textId="77777777" w:rsidR="00C93EFF" w:rsidRDefault="00000000">
      <w:pPr>
        <w:tabs>
          <w:tab w:val="right" w:leader="dot" w:pos="8872"/>
        </w:tabs>
        <w:spacing w:line="240" w:lineRule="auto"/>
        <w:ind w:left="312"/>
        <w:jc w:val="left"/>
      </w:pPr>
      <w:r>
        <w:rPr>
          <w:sz w:val="20"/>
        </w:rPr>
        <w:t>8.8. Experiências comparativas internacionais</w:t>
      </w:r>
      <w:r>
        <w:rPr>
          <w:sz w:val="20"/>
        </w:rPr>
        <w:tab/>
        <w:t>29</w:t>
      </w:r>
    </w:p>
    <w:p w14:paraId="01507A5C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Referências científicas</w:t>
      </w:r>
      <w:r>
        <w:rPr>
          <w:sz w:val="20"/>
        </w:rPr>
        <w:tab/>
        <w:t>30</w:t>
      </w:r>
    </w:p>
    <w:p w14:paraId="0772DD4A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Referências institucionais, metodológicas e tese</w:t>
      </w:r>
      <w:r>
        <w:rPr>
          <w:sz w:val="20"/>
        </w:rPr>
        <w:tab/>
        <w:t>37</w:t>
      </w:r>
    </w:p>
    <w:p w14:paraId="5CA00665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Apêndice A — Conciliações confirmadas, ajustes e pendências</w:t>
      </w:r>
      <w:r>
        <w:rPr>
          <w:sz w:val="20"/>
        </w:rPr>
        <w:tab/>
        <w:t>38</w:t>
      </w:r>
    </w:p>
    <w:p w14:paraId="022243F9" w14:textId="77777777" w:rsidR="00C93EFF" w:rsidRDefault="00000000">
      <w:pPr>
        <w:tabs>
          <w:tab w:val="right" w:leader="dot" w:pos="8872"/>
        </w:tabs>
        <w:spacing w:line="240" w:lineRule="auto"/>
        <w:jc w:val="left"/>
      </w:pPr>
      <w:r>
        <w:rPr>
          <w:b/>
          <w:sz w:val="20"/>
        </w:rPr>
        <w:t>Apêndice B — Fluxo de reprodução e controle documental</w:t>
      </w:r>
      <w:r>
        <w:rPr>
          <w:sz w:val="20"/>
        </w:rPr>
        <w:tab/>
        <w:t>38</w:t>
      </w:r>
    </w:p>
    <w:p w14:paraId="77965935" w14:textId="77777777" w:rsidR="00A56BF1" w:rsidRDefault="00FD2DFC">
      <w:pPr>
        <w:pStyle w:val="ABNT-ResumoNaoNumerado"/>
      </w:pPr>
      <w:r>
        <w:br w:type="column"/>
      </w:r>
      <w:proofErr w:type="spellStart"/>
      <w:r w:rsidR="00380668">
        <w:lastRenderedPageBreak/>
        <w:t>Resumo</w:t>
      </w:r>
      <w:proofErr w:type="spellEnd"/>
    </w:p>
    <w:p w14:paraId="5DE93779" w14:textId="77777777" w:rsidR="00A56BF1" w:rsidRDefault="00000000">
      <w:proofErr w:type="spellStart"/>
      <w:r>
        <w:t>Objetivo</w:t>
      </w:r>
      <w:proofErr w:type="spellEnd"/>
      <w:r>
        <w:t xml:space="preserve">: </w:t>
      </w:r>
      <w:proofErr w:type="spellStart"/>
      <w:r>
        <w:t>comparar</w:t>
      </w:r>
      <w:proofErr w:type="spellEnd"/>
      <w:r>
        <w:t xml:space="preserve"> as </w:t>
      </w:r>
      <w:proofErr w:type="spellStart"/>
      <w:r>
        <w:t>trajetórias</w:t>
      </w:r>
      <w:proofErr w:type="spellEnd"/>
      <w:r>
        <w:t xml:space="preserve"> de financiamento público e despesa de Rio de Janeiro e Niterói, com atenção às compensações da exploração petrolífera, e apresentar as administrações públicas locais francesas como contraponto institucional. Métodos: análise longitudinal descritiva de 2015–2024 com indicadores em moeda constante de 2023, verificação parcial de valores oficiais e bibliometria de 721 artigos da Scopus processados pelo bibliometrix. Resultados: na base auditada, a despesa real aumentou 5,2% no Rio de Janeiro e 89,4% em Niterói; a razão entre receitas petrolíferas informadas e despesa nominal passou de 12,7% a 38,3% em Niterói, e de 0,8% a 1,9% no Rio de Janeiro. O crescimento real do agregado francês APUL foi estimado em 11,9% após correção do fator de inflação de 2024, ressalvada uma divergência da despesa francesa em 2015. Conclusões: as diferenças de exposição fiscal são relevantes e compatíveis com questões levantadas pela literatura, mas </w:t>
      </w:r>
      <w:proofErr w:type="gramStart"/>
      <w:r>
        <w:t>a</w:t>
      </w:r>
      <w:proofErr w:type="gramEnd"/>
      <w:r>
        <w:t xml:space="preserve"> ausência de identificação econométrica e de indicadores de percepção fiscal impede afirmar a ocorrência do efeito flypaper ou da ilusão fiscal nesses municípios. A pesquisa distingue fontes verificadas, inferências e rubricas ainda não conciliadas.</w:t>
      </w:r>
    </w:p>
    <w:p w14:paraId="5701F90B" w14:textId="77777777" w:rsidR="00A56BF1" w:rsidRDefault="00000000">
      <w:pPr>
        <w:spacing w:after="200"/>
        <w:ind w:firstLine="0"/>
      </w:pPr>
      <w:r>
        <w:rPr>
          <w:i/>
        </w:rPr>
        <w:t>Palavras-chave: efeito flypaper; ilusão fiscal; royalties do petróleo; transferências intergovernamentais; finanças municipais; França.</w:t>
      </w:r>
    </w:p>
    <w:p w14:paraId="01BBFDE8" w14:textId="77777777" w:rsidR="00A56BF1" w:rsidRDefault="00000000">
      <w:pPr>
        <w:pStyle w:val="Ttulo1"/>
      </w:pPr>
      <w:bookmarkStart w:id="0" w:name="_Toc243761941"/>
      <w:r>
        <w:rPr>
          <w:rFonts w:ascii="Times New Roman" w:eastAsia="Times New Roman" w:hAnsi="Times New Roman" w:cs="Times New Roman"/>
        </w:rPr>
        <w:t>1. Introdução</w:t>
      </w:r>
      <w:bookmarkEnd w:id="0"/>
    </w:p>
    <w:p w14:paraId="240857C5" w14:textId="77777777" w:rsidR="00A56BF1" w:rsidRDefault="00000000">
      <w:r>
        <w:t>A forma de financiamento da administração local importa não apenas por determinar a capacidade de ofertar serviços públicos, mas também por condicionar a relação entre tributação, gasto e responsabilização política. O debate sobre o efeito flypaper parte de um contraste com a hipótese-padrão de equivalência entre transferências não vinculadas e acréscimos de renda privada local: o financiamento recebido pelo ente público pode impulsionar o gasto em magnitude maior do que um aumento equivalente da renda de seus residentes (Hines e Thaler, 1995). Em um sistema descentralizado, esse resultado pode refletir instituições, restrições fiscais e opacidade de informação, e não necessariamente um único mecanismo de ilusão fiscal.</w:t>
      </w:r>
    </w:p>
    <w:p w14:paraId="6F1BD3AB" w14:textId="77777777" w:rsidR="00A56BF1" w:rsidRDefault="00000000">
      <w:proofErr w:type="gramStart"/>
      <w:r>
        <w:t>A</w:t>
      </w:r>
      <w:proofErr w:type="gramEnd"/>
      <w:r>
        <w:t xml:space="preserve"> escolha de Rio de Janeiro e Niterói decorre da exposição desigual às compensações petrolíferas registrada na base construída para a disciplina. Royalties e participação especial estão associados à exploração de recursos naturais não renováveis, mas diferem em condições de incidência e periodicidade de pagamento (ANP, 2026). Sua relação com gastos municipais deve ser investigada sem presumir que se tratem de transferências constitucionais </w:t>
      </w:r>
      <w:r>
        <w:lastRenderedPageBreak/>
        <w:t xml:space="preserve">equivalentes ao FPM ou à cota-parte do ICMS. A tese de Ferreira (2021), adotada pelo docente como referência inicial, sustenta que </w:t>
      </w:r>
      <w:proofErr w:type="gramStart"/>
      <w:r>
        <w:t>a</w:t>
      </w:r>
      <w:proofErr w:type="gramEnd"/>
      <w:r>
        <w:t xml:space="preserve"> incidência do efeito flypaper em amostras brasileiras se relaciona a transferências, autonomia tributária e incentivos políticos; esse achado não autoriza inferência automática a partir de duas trajetórias anuais.</w:t>
      </w:r>
    </w:p>
    <w:p w14:paraId="19943352" w14:textId="77777777" w:rsidR="00A56BF1" w:rsidRDefault="00000000">
      <w:r>
        <w:t>A França entra no desenho como contraponto institucional. Trata-se de Estado unitário com descentralização territorial e mecanismos de financiamento das collectivités territoriales; no material enviado, entretanto, a série de despesa corresponde ao conjunto das administrations publiques locales (APUL), abrangência maior que as communes. Comparar índices de trajetória pode iluminar arranjos distintos, mas comparar níveis monetários de euro e real ou tratar o país como contrafactual causal dos municípios seria inadequado.</w:t>
      </w:r>
    </w:p>
    <w:p w14:paraId="65818F5A" w14:textId="77777777" w:rsidR="00A56BF1" w:rsidRDefault="00000000">
      <w:r>
        <w:t xml:space="preserve">Pergunta de pesquisa: como evoluíram a despesa, </w:t>
      </w:r>
      <w:proofErr w:type="gramStart"/>
      <w:r>
        <w:t>a</w:t>
      </w:r>
      <w:proofErr w:type="gramEnd"/>
      <w:r>
        <w:t xml:space="preserve"> arrecadação tributária, as transferências correntes e as receitas petrolíferas de Rio de Janeiro e Niterói entre 2015 e 2024, e em que medida o financiamento local francês fornece um contraponto institucional útil a esses padrões? Objetiva-se descrever diferenças de magnitude e composição, examinar a plausibilidade de mecanismos discutidos na literatura e documentar fontes, lacunas, correções e limites da inferência. A contribuição empírica é a reconstrução documentada da base. Informo que não tive acesso à base de dados do trabalho anterior; por isso, organizei e reconstruí as séries utilizadas nesta pesquisa a partir dos materiais de coleta disponíveis, conforme a ressalva apresentada ao professor.</w:t>
      </w:r>
    </w:p>
    <w:p w14:paraId="3665633C" w14:textId="77777777" w:rsidR="00A56BF1" w:rsidRDefault="00000000">
      <w:pPr>
        <w:pStyle w:val="Ttulo1"/>
      </w:pPr>
      <w:bookmarkStart w:id="1" w:name="_Toc243761942"/>
      <w:r>
        <w:rPr>
          <w:rFonts w:ascii="Times New Roman" w:eastAsia="Times New Roman" w:hAnsi="Times New Roman" w:cs="Times New Roman"/>
        </w:rPr>
        <w:t>2. Referencial teórico e evidências</w:t>
      </w:r>
      <w:bookmarkEnd w:id="1"/>
    </w:p>
    <w:p w14:paraId="6A9CD215" w14:textId="77777777" w:rsidR="00A56BF1" w:rsidRDefault="00000000">
      <w:pPr>
        <w:pStyle w:val="Ttulo2"/>
      </w:pPr>
      <w:bookmarkStart w:id="2" w:name="_Toc243761943"/>
      <w:r>
        <w:rPr>
          <w:rFonts w:ascii="Times New Roman" w:eastAsia="Times New Roman" w:hAnsi="Times New Roman" w:cs="Times New Roman"/>
        </w:rPr>
        <w:t>2.1. Federalismo fiscal, descentralização e transferências</w:t>
      </w:r>
      <w:bookmarkEnd w:id="2"/>
    </w:p>
    <w:p w14:paraId="1D344EF1" w14:textId="77777777" w:rsidR="00A56BF1" w:rsidRDefault="00000000">
      <w:r>
        <w:t xml:space="preserve">Oates (1999) sistematiza o problema de atribuição de competências entre níveis de governo e a tensão entre adequação territorial de serviços e instrumentos de financiamento. </w:t>
      </w:r>
      <w:proofErr w:type="gramStart"/>
      <w:r>
        <w:t>A</w:t>
      </w:r>
      <w:proofErr w:type="gramEnd"/>
      <w:r>
        <w:t xml:space="preserve"> existência de responsabilidades locais sem autonomia arrecadatória equivalente abre espaço para transferências intergovernamentais. Sua função redistributiva e estabilizadora, porém, não as torna neutras: fórmulas de partilha e barganhas políticas também alteram incentivos à arrecadação própria e à expansão de despesas. Em consequência, o efeito estimado de uma transferência pode variar segundo seu grau de condicionalidade, previsibilidade e origem fiscal.</w:t>
      </w:r>
    </w:p>
    <w:p w14:paraId="7AC528D2" w14:textId="77777777" w:rsidR="00A56BF1" w:rsidRDefault="00000000">
      <w:r>
        <w:t xml:space="preserve">Na tese disponibilizada pelo professor, Ferreira (2021) reúne três exercícios sobre municípios e estados brasileiros, enfatizando tanto </w:t>
      </w:r>
      <w:proofErr w:type="gramStart"/>
      <w:r>
        <w:t>a</w:t>
      </w:r>
      <w:proofErr w:type="gramEnd"/>
      <w:r>
        <w:t xml:space="preserve"> incidência de transferências sobre os gastos como seu condicionamento pelo custo marginal dos recursos públicos e pela autonomia </w:t>
      </w:r>
      <w:r>
        <w:lastRenderedPageBreak/>
        <w:t>tributária. Os estudos empíricos internacionais e brasileiros localizados no Scopus mostram que a conclusão não é mecanicamente universal: contexto institucional, variáveis de controle, endogeneidade e método de estimação são parte constitutiva da interpretação, como detalhado no Quadro 2.</w:t>
      </w:r>
    </w:p>
    <w:p w14:paraId="78BC061C" w14:textId="77777777" w:rsidR="00A56BF1" w:rsidRDefault="00000000">
      <w:pPr>
        <w:pStyle w:val="Ttulo2"/>
      </w:pPr>
      <w:bookmarkStart w:id="3" w:name="_Toc243761944"/>
      <w:r>
        <w:rPr>
          <w:rFonts w:ascii="Times New Roman" w:eastAsia="Times New Roman" w:hAnsi="Times New Roman" w:cs="Times New Roman"/>
        </w:rPr>
        <w:t>2.2. O efeito flypaper como hipótese identificável</w:t>
      </w:r>
      <w:bookmarkEnd w:id="3"/>
    </w:p>
    <w:p w14:paraId="604349E5" w14:textId="77777777" w:rsidR="00A56BF1" w:rsidRDefault="00000000">
      <w:r>
        <w:t xml:space="preserve">Hines e Thaler (1995) identificam </w:t>
      </w:r>
      <w:proofErr w:type="gramStart"/>
      <w:r>
        <w:t>a</w:t>
      </w:r>
      <w:proofErr w:type="gramEnd"/>
      <w:r>
        <w:t xml:space="preserve"> anomalia entre o gasto gerado por transferências não condicionadas e o gasto associado a um choque equivalente de renda local. O contraste deve ser formulado em termos marginais, não como simples crescimento simultâneo de royalties e despesa. Dahlberg et al. (2008) exploram uma descontinuidade de regra de repasse para identificar causalmente efeitos de subsídios sobre tributos e despesas locais na Suécia, encontrando elevação de gasto, sem redução equivalente da tributação. </w:t>
      </w:r>
      <w:proofErr w:type="gramStart"/>
      <w:r>
        <w:t>A</w:t>
      </w:r>
      <w:proofErr w:type="gramEnd"/>
      <w:r>
        <w:t xml:space="preserve"> estratégia é instrutiva para a pesquisa brasileira porque explicita um desafio central: repasses não são necessariamente exógenos.</w:t>
      </w:r>
    </w:p>
    <w:p w14:paraId="1076BB6C" w14:textId="77777777" w:rsidR="00A56BF1" w:rsidRDefault="00000000">
      <w:r>
        <w:t xml:space="preserve">Portanto, a razão royalties/despesa empregada neste estudo é apenas medida de exposição contábil. Sem renda privada local, instrumentos críveis ou choques exógenos exploráveis, a pesquisa não estima a diferença entre propensões marginais a </w:t>
      </w:r>
      <w:proofErr w:type="gramStart"/>
      <w:r>
        <w:t>consumir bens</w:t>
      </w:r>
      <w:proofErr w:type="gramEnd"/>
      <w:r>
        <w:t xml:space="preserve"> públicos. Tampouco transforma uma correlação em prova de flypaper. A comparação entre crescimento real da despesa e receitas petrolíferas é apresentada como evidência descritiva que motiva análises futuras.</w:t>
      </w:r>
    </w:p>
    <w:p w14:paraId="3600E0EC" w14:textId="77777777" w:rsidR="00A56BF1" w:rsidRDefault="00000000">
      <w:pPr>
        <w:pStyle w:val="Ttulo2"/>
      </w:pPr>
      <w:bookmarkStart w:id="4" w:name="_Toc243761945"/>
      <w:r>
        <w:rPr>
          <w:rFonts w:ascii="Times New Roman" w:eastAsia="Times New Roman" w:hAnsi="Times New Roman" w:cs="Times New Roman"/>
        </w:rPr>
        <w:t>2.3. Ilusão fiscal e governança</w:t>
      </w:r>
      <w:bookmarkEnd w:id="4"/>
    </w:p>
    <w:p w14:paraId="5AC18A89" w14:textId="77777777" w:rsidR="00A56BF1" w:rsidRDefault="00000000">
      <w:proofErr w:type="gramStart"/>
      <w:r>
        <w:t>A</w:t>
      </w:r>
      <w:proofErr w:type="gramEnd"/>
      <w:r>
        <w:t xml:space="preserve"> ilusão fiscal refere-se ao potencial distanciamento entre custos efetivos do financiamento público e sua percepção pelos contribuintes. Um município que amplia serviços com transferências e receitas extrativas pode enfrentar incentivos distintos daqueles de uma unidade que precisa elevar tributos próprios para financiar a mesma despesa. Entretanto, a presença de receitas pouco visíveis não é evidência suficiente de percepção equivocada: seriam necessários indicadores de informação, decisões eleitorais, saliência dos tributos ou arranjos institucionais. A revisão diferencia interpretações baseadas em escolha pública, economia política e eficiência do gasto.</w:t>
      </w:r>
    </w:p>
    <w:p w14:paraId="4DEC8A94" w14:textId="77777777" w:rsidR="00A56BF1" w:rsidRDefault="00000000">
      <w:pPr>
        <w:pStyle w:val="Ttulo2"/>
      </w:pPr>
      <w:bookmarkStart w:id="5" w:name="_Toc243761946"/>
      <w:r>
        <w:rPr>
          <w:rFonts w:ascii="Times New Roman" w:eastAsia="Times New Roman" w:hAnsi="Times New Roman" w:cs="Times New Roman"/>
        </w:rPr>
        <w:t>2.4. Recursos naturais, volatilidade e capacidade de gasto</w:t>
      </w:r>
      <w:bookmarkEnd w:id="5"/>
    </w:p>
    <w:p w14:paraId="068D1D52" w14:textId="77777777" w:rsidR="00A56BF1" w:rsidRDefault="00000000">
      <w:r>
        <w:t xml:space="preserve">Maldonado e Ardanaz (2023) investigam transferências decorrentes de recursos naturais e eficiência do gasto local no Peru, relatando relação não monotônica em amplo </w:t>
      </w:r>
      <w:r>
        <w:lastRenderedPageBreak/>
        <w:t xml:space="preserve">painel municipal. Esse resultado alerta para a possibilidade de efeitos heterogêneos conforme volume </w:t>
      </w:r>
      <w:proofErr w:type="gramStart"/>
      <w:r>
        <w:t>do</w:t>
      </w:r>
      <w:proofErr w:type="gramEnd"/>
      <w:r>
        <w:t xml:space="preserve"> recurso, capacidade administrativa e desenho institucional. Para Niterói, a razão entre compensações e despesa é materialmente maior do que no município do Rio de Janeiro no conjunto recebido; isso suscita perguntas sobre planejamento intertemporal, estabilidade da provisão e dependência de receitas, sem implicar ineficiência por si só.</w:t>
      </w:r>
    </w:p>
    <w:p w14:paraId="6EAA8630" w14:textId="77777777" w:rsidR="00A56BF1" w:rsidRDefault="00000000">
      <w:pPr>
        <w:pStyle w:val="Ttulo2"/>
      </w:pPr>
      <w:bookmarkStart w:id="6" w:name="_Toc243761947"/>
      <w:r>
        <w:rPr>
          <w:rFonts w:ascii="Times New Roman" w:eastAsia="Times New Roman" w:hAnsi="Times New Roman" w:cs="Times New Roman"/>
        </w:rPr>
        <w:t>2.5. Síntese analítica das 80 publicações selecionadas</w:t>
      </w:r>
      <w:bookmarkEnd w:id="6"/>
    </w:p>
    <w:p w14:paraId="1EEAD082" w14:textId="77777777" w:rsidR="00A56BF1" w:rsidRDefault="00000000">
      <w:r>
        <w:t>A literatura indexada na Scopus foi organizada em oito eixos analíticos que abrangem ilusão fiscal, resposta do gasto, incentivos das transferências, autonomia, política, Brasil e América Latina, recursos extrativos e comparações internacionais. Foram selecionados 80 artigos distintos entre os 721 registros da pesquisa bibliométrica, considerando a pertinência dos títulos, resumos, palavras-chave e informações bibliográficas. O quadro comentado da Seção 8 apresenta os trabalhos individualmente e relaciona seus objetivos, argumentos ou achados descritos nas informações bibliográficas ao problema desta pesquisa.</w:t>
      </w:r>
    </w:p>
    <w:p w14:paraId="314DC273" w14:textId="77777777" w:rsidR="00A56BF1" w:rsidRDefault="00000000">
      <w:r>
        <w:t xml:space="preserve">Ilusão fiscal e percepção tributária. As pesquisas reunidas no eixo de ilusão fiscal colocam à prova a ligação entre informação tributária e gasto, com debates sobre </w:t>
      </w:r>
      <w:proofErr w:type="gramStart"/>
      <w:r>
        <w:t>a</w:t>
      </w:r>
      <w:proofErr w:type="gramEnd"/>
      <w:r>
        <w:t xml:space="preserve"> interpretação institucional dos resultados e o papel das regras de transferência. Entre os textos selecionados figuram Amusa (2008), Turnbull (1998), Prado (2020), Worthington (1999), Islam (1998); os estudos são individualmente comentados na Seção 8.</w:t>
      </w:r>
    </w:p>
    <w:p w14:paraId="0F298A99" w14:textId="77777777" w:rsidR="00A56BF1" w:rsidRDefault="00000000">
      <w:r>
        <w:t>Efeito Flypaper e gasto público. A literatura diretamente centrada no flypaper discute se a resposta da despesa a repasses excede o efeito de incrementos de renda privada e como o resultado depende do modelo empírico. Entre os textos selecionados figuram Bae (2004), Poniatowicz (2024), Kjaergaard (2015), Dahlby (2011), Guziejewska (2021); os estudos são individualmente comentados na Seção 8.</w:t>
      </w:r>
    </w:p>
    <w:p w14:paraId="47B6DABC" w14:textId="77777777" w:rsidR="00A56BF1" w:rsidRDefault="00000000">
      <w:r>
        <w:t>Transferências, incentivos e receitas locais. Os estudos de transferências avaliam incentivos à arrecadação, seleção política do repasse, efeitos assimétricos e condições de sustentabilidade de finanças locais. Entre os textos selecionados figuram Mainali (2022), Baekgaard (2016), Dahlby (2016), Samal (2020), Santos Mamaradlo (2021); os estudos são individualmente comentados na Seção 8.</w:t>
      </w:r>
    </w:p>
    <w:p w14:paraId="4CF23F41" w14:textId="77777777" w:rsidR="00A56BF1" w:rsidRDefault="00000000">
      <w:r>
        <w:t>Descentralização, autonomia e capacidade fiscal. A literatura de descentralização distingue autonomia de receita, responsabilidades de gasto e capacidade administrativa; variações institucionais podem alterar a resposta observada. Entre os textos selecionados figuram de Sousa (2021), Turley (2025), Cardoso (2023), Li (2018), Machado (2024); os estudos são individualmente comentados na Seção 8.</w:t>
      </w:r>
    </w:p>
    <w:p w14:paraId="04717C1B" w14:textId="77777777" w:rsidR="00A56BF1" w:rsidRDefault="00000000">
      <w:r>
        <w:lastRenderedPageBreak/>
        <w:t>Instituições, política e accountability. A dimensão político-institucional enfatiza alinhamento partidário, incentivos eleitorais, transparência e assimetria de informação, mecanismos não observáveis nos dados aqui utilizados. Entre os textos selecionados figuram Rios (2022), Borck (2003), Baskaran (2017), Psycharis (2021), Abatemarco (2020); os estudos são individualmente comentados na Seção 8.</w:t>
      </w:r>
    </w:p>
    <w:p w14:paraId="10B2C2F8" w14:textId="77777777" w:rsidR="00A56BF1" w:rsidRDefault="00000000">
      <w:r>
        <w:t>Brasil e América Latina. Os trabalhos latino-americanos oferecem proximidade institucional, mas também evidenciam heterogeneidade de desenhos, períodos e níveis de governo. Entre os textos selecionados figuram Alves (2024), Ortega (2022), Castro (2021), Acosta (2010), Ferreira (2019); os estudos são individualmente comentados na Seção 8.</w:t>
      </w:r>
    </w:p>
    <w:p w14:paraId="34EE6F8C" w14:textId="77777777" w:rsidR="00A56BF1" w:rsidRDefault="00000000">
      <w:r>
        <w:t>Receitas extrativas e choques de receita. Essa frente trata de choques exógenos, recursos naturais e eficiência de provisão, indispensável para não equiparar automaticamente royalties a transferências fiscais ordinárias. Entre os textos selecionados figuram Maldonado (2023), Agüero (2021), Larraín (2019), Timushev (2020), Kim (2016); os estudos são individualmente comentados na Seção 8.</w:t>
      </w:r>
    </w:p>
    <w:p w14:paraId="3A3A2454" w14:textId="77777777" w:rsidR="00A56BF1" w:rsidRDefault="00000000">
      <w:r>
        <w:t xml:space="preserve">Experiências comparativas internacionais. Os estudos comparativos mostram que arranjos nacionais específicos podem alterar a transmissão do financiamento ao gasto, o que limita </w:t>
      </w:r>
      <w:proofErr w:type="gramStart"/>
      <w:r>
        <w:t>a</w:t>
      </w:r>
      <w:proofErr w:type="gramEnd"/>
      <w:r>
        <w:t xml:space="preserve"> extrapolação da França para casos municipais brasileiros. Entre os textos selecionados figuram Strumpf (1998), Guziejewska (2021), Brennan (1996), Masiero (2020), Espinosa (2011); os estudos são individualmente comentados na Seção 8.</w:t>
      </w:r>
    </w:p>
    <w:p w14:paraId="63907584" w14:textId="77777777" w:rsidR="00A56BF1" w:rsidRDefault="00000000">
      <w:pPr>
        <w:pStyle w:val="Ttulo1"/>
      </w:pPr>
      <w:bookmarkStart w:id="7" w:name="_Toc243761948"/>
      <w:r>
        <w:rPr>
          <w:rFonts w:ascii="Times New Roman" w:eastAsia="Times New Roman" w:hAnsi="Times New Roman" w:cs="Times New Roman"/>
        </w:rPr>
        <w:t>3. Estudo bibliométrico (bibliometrix)</w:t>
      </w:r>
      <w:bookmarkEnd w:id="7"/>
    </w:p>
    <w:p w14:paraId="37F94256" w14:textId="77777777" w:rsidR="00A56BF1" w:rsidRDefault="00000000">
      <w:proofErr w:type="gramStart"/>
      <w:r>
        <w:t>A</w:t>
      </w:r>
      <w:proofErr w:type="gramEnd"/>
      <w:r>
        <w:t xml:space="preserve"> exportação original do Scopus foi processada no RStudio com o pacote bibliometrix: 721 artigos em 336 fontes, de 1964 a 2026; foram identificados 1.287 autores, taxa de crescimento anual indicada de 6,37% e média de 17,56 citações por documento. O ano de 2026 está incompleto na data de extração (24/10/2026). Public Choice (41), Public Finance Review (34), Journal of Public Economics (19) e International Tax and Public Finance (18) concentram parte da produção. As palavras-chave mais recorrentes foram fiscal decentralization (98), intergovernmental transfers (77), flypaper effect (65) e fiscal illusion (62), com sinônimos e variações não normalizados nos gráficos originais.</w:t>
      </w:r>
    </w:p>
    <w:p w14:paraId="7072C0F8" w14:textId="77777777" w:rsidR="00A56BF1" w:rsidRDefault="00000000">
      <w:pPr>
        <w:spacing w:before="120" w:after="6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0535C77A" wp14:editId="7B324CDD">
            <wp:extent cx="4680000" cy="22282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3_keywor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228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E13A" w14:textId="77777777" w:rsidR="00A56BF1" w:rsidRDefault="00000000">
      <w:pPr>
        <w:pStyle w:val="ABNT-Legenda"/>
        <w:spacing w:after="180"/>
        <w:jc w:val="center"/>
      </w:pPr>
      <w:r>
        <w:t>Figura 1 — Frequência dos principais descritores dos autores. Fonte: Scopus e bibliometrix; levantamento realizado em 24 out. 2026.</w:t>
      </w:r>
    </w:p>
    <w:p w14:paraId="2F0A6715" w14:textId="77777777" w:rsidR="00A56BF1" w:rsidRDefault="00000000">
      <w:r>
        <w:t>O arquivo de mapa temático originalmente entregue estava totalmente branco e, portanto, não constitui resultado interpretável. Para não induzir o leitor ao erro, foi construído um mapa exploratório de coocorrência de palavras-chave a partir do mesmo conjunto de registros, com documentação do algoritmo e indicação explícita de que não se trata da imagem nativa do bibliometrix. O script R Reproduzir_Mapa_Bibliometrix.R acompanha o repositório para executar a visualização exigida pelo professor e substituir esta figura exploratória quando gerada no RStudio.</w:t>
      </w:r>
    </w:p>
    <w:p w14:paraId="3D215198" w14:textId="77777777" w:rsidR="00A56BF1" w:rsidRDefault="00000000">
      <w:pPr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53BBA74E" wp14:editId="610E4043">
            <wp:extent cx="5184000" cy="3476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pa_Tematico_Exploratorio_RECONSTRU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34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3FA34" w14:textId="77777777" w:rsidR="00A56BF1" w:rsidRDefault="00000000">
      <w:pPr>
        <w:pStyle w:val="ABNT-Legenda"/>
        <w:spacing w:after="180"/>
        <w:jc w:val="center"/>
      </w:pPr>
      <w:r>
        <w:rPr>
          <w:i/>
        </w:rPr>
        <w:t>Figura 2 — Mapa exploratório de coocorrências (reconstrução documentada em Python); NÃO é saída nativa do bibliometrix. Ver código R para obtenção do mapa bibliometrix.</w:t>
      </w:r>
    </w:p>
    <w:p w14:paraId="44E26964" w14:textId="77777777" w:rsidR="00A56BF1" w:rsidRDefault="00000000">
      <w:r>
        <w:lastRenderedPageBreak/>
        <w:t xml:space="preserve">Como o resumo do bibliometrix recuperou somente uma referência citada, redes de cocitação não são confiáveis com </w:t>
      </w:r>
      <w:proofErr w:type="gramStart"/>
      <w:r>
        <w:t>a</w:t>
      </w:r>
      <w:proofErr w:type="gramEnd"/>
      <w:r>
        <w:t xml:space="preserve"> exportação atual. Esta limitação não invalida as estatísticas descritivas de produção e palavras-chave, mas restringe análises da estrutura intelectual baseada em referências bibliográficas. Cobo et al. (2011) ajudam a distinguir visualização de coocorrências, redes sociais de colaboração e mapas de estrutura intelectual; </w:t>
      </w:r>
      <w:proofErr w:type="gramStart"/>
      <w:r>
        <w:t>a</w:t>
      </w:r>
      <w:proofErr w:type="gramEnd"/>
      <w:r>
        <w:t xml:space="preserve"> interpretação dos quadrantes é condicionada ao método e ao pré-processamento.</w:t>
      </w:r>
    </w:p>
    <w:p w14:paraId="3CF20CA0" w14:textId="77777777" w:rsidR="00A56BF1" w:rsidRDefault="00000000">
      <w:pPr>
        <w:pStyle w:val="Ttulo1"/>
      </w:pPr>
      <w:bookmarkStart w:id="8" w:name="_Toc243761949"/>
      <w:r>
        <w:rPr>
          <w:rFonts w:ascii="Times New Roman" w:eastAsia="Times New Roman" w:hAnsi="Times New Roman" w:cs="Times New Roman"/>
        </w:rPr>
        <w:t>4. Metodologia empírica</w:t>
      </w:r>
      <w:bookmarkEnd w:id="8"/>
    </w:p>
    <w:p w14:paraId="2CDB3429" w14:textId="77777777" w:rsidR="00A56BF1" w:rsidRDefault="00000000">
      <w:pPr>
        <w:pStyle w:val="Ttulo2"/>
      </w:pPr>
      <w:bookmarkStart w:id="9" w:name="_Toc243761950"/>
      <w:r>
        <w:rPr>
          <w:rFonts w:ascii="Times New Roman" w:eastAsia="Times New Roman" w:hAnsi="Times New Roman" w:cs="Times New Roman"/>
        </w:rPr>
        <w:t>4.1. Delineamento, unidades e reconstrução da base</w:t>
      </w:r>
      <w:bookmarkEnd w:id="9"/>
    </w:p>
    <w:p w14:paraId="706CE128" w14:textId="77777777" w:rsidR="00A56BF1" w:rsidRDefault="00000000">
      <w:r>
        <w:t>Trata-se de investigação quantitativa descritiva longitudinal e análise institucional comparada. As unidades observadas são dois municípios brasileiros (Rio de Janeiro e Niterói) e o agregado francês das administrations publiques locales (APUL), por ano, no período 2015–2024. A base bruta reúne também informações de 2025, preservadas no arquivo de auditoria sem integrar a janela principal de dez anos. Informo que não tive acesso à base de dados do trabalho anterior e, portanto, precisei construir minha própria base desde o início, reunindo os dados disponíveis e documentando as fontes, os tratamentos, as lacunas e as confrontações efetuadas. Essa circunstância foi comunicada ao professor, que informou que a levaria em consideração na avaliação.</w:t>
      </w:r>
    </w:p>
    <w:p w14:paraId="1C06BAB0" w14:textId="77777777" w:rsidR="00A56BF1" w:rsidRDefault="00000000">
      <w:r>
        <w:t xml:space="preserve">As informações financeiras municipais foram identificadas na base consolidada como despesas, tributos próprios, transferências correntes e compensações petrolíferas; as fontes indicadas compreendem Siconfi/Finbra, ANP, IBGE, INSEE e DGCL. Os arquivos primários de extração das rubricas e os identificadores contábeis completos não integram o material desta versão. Por isso, as confrontações com publicações oficiais são descritas no relatório de conciliação, e </w:t>
      </w:r>
      <w:proofErr w:type="gramStart"/>
      <w:r>
        <w:t>a</w:t>
      </w:r>
      <w:proofErr w:type="gramEnd"/>
      <w:r>
        <w:t xml:space="preserve"> análise preserva distinções entre escopo contábil, estágio orçamentário, classificação e ano de divulgação.</w:t>
      </w:r>
    </w:p>
    <w:p w14:paraId="4934AEDB" w14:textId="77777777" w:rsidR="00A56BF1" w:rsidRDefault="00000000">
      <w:pPr>
        <w:pStyle w:val="Ttulo2"/>
      </w:pPr>
      <w:bookmarkStart w:id="10" w:name="_Toc243761951"/>
      <w:r>
        <w:rPr>
          <w:rFonts w:ascii="Times New Roman" w:eastAsia="Times New Roman" w:hAnsi="Times New Roman" w:cs="Times New Roman"/>
        </w:rPr>
        <w:t>4.2. Medidas e regras de transformação</w:t>
      </w:r>
      <w:bookmarkEnd w:id="10"/>
    </w:p>
    <w:p w14:paraId="0524D4E3" w14:textId="77777777" w:rsidR="00A56BF1" w:rsidRDefault="00000000">
      <w:r>
        <w:t>A despesa real, em unidades de moeda local de 2023, foi calculada por D_real(</w:t>
      </w:r>
      <w:proofErr w:type="gramStart"/>
      <w:r>
        <w:t>u,t</w:t>
      </w:r>
      <w:proofErr w:type="gramEnd"/>
      <w:r>
        <w:t>) = D_nominal(</w:t>
      </w:r>
      <w:proofErr w:type="gramStart"/>
      <w:r>
        <w:t>u,t</w:t>
      </w:r>
      <w:proofErr w:type="gramEnd"/>
      <w:r>
        <w:t>) × F(</w:t>
      </w:r>
      <w:proofErr w:type="gramStart"/>
      <w:r>
        <w:t>u,t</w:t>
      </w:r>
      <w:proofErr w:type="gramEnd"/>
      <w:r>
        <w:t>), onde F(</w:t>
      </w:r>
      <w:proofErr w:type="gramStart"/>
      <w:r>
        <w:t>u,t</w:t>
      </w:r>
      <w:proofErr w:type="gramEnd"/>
      <w:r>
        <w:t>) = IPC(u,2023)/IPC(</w:t>
      </w:r>
      <w:proofErr w:type="gramStart"/>
      <w:r>
        <w:t>u,t</w:t>
      </w:r>
      <w:proofErr w:type="gramEnd"/>
      <w:r>
        <w:t xml:space="preserve">). Aplicou-se o fator do arquivo recebido, exceto para a França em 2024, cuja relação com o IPC médio anual oficial do INSEE foi corrigida para 1/1,02 = 0,980392. A versão anterior implicava inflação de 2,64% em 2024, incompatível com os 2,0% divulgados pelo INSEE como média anual. A série brasileira do fator de 2024 (aproximadamente 0,9582) corresponde a cerca de 4,37% em </w:t>
      </w:r>
      <w:r>
        <w:lastRenderedPageBreak/>
        <w:t>média anual, conceito diferente da alta acumulada dezembro/dezembro de 4,83%; os demais fatores exigem conferência no arquivo histórico da fonte.</w:t>
      </w:r>
    </w:p>
    <w:p w14:paraId="7107CD52" w14:textId="77777777" w:rsidR="00A56BF1" w:rsidRDefault="00000000">
      <w:r>
        <w:t>A razão petróleo/despesa é P(</w:t>
      </w:r>
      <w:proofErr w:type="gramStart"/>
      <w:r>
        <w:t>u,t</w:t>
      </w:r>
      <w:proofErr w:type="gramEnd"/>
      <w:r>
        <w:t>)/D(</w:t>
      </w:r>
      <w:proofErr w:type="gramStart"/>
      <w:r>
        <w:t>u,t</w:t>
      </w:r>
      <w:proofErr w:type="gramEnd"/>
      <w:r>
        <w:t>) e a razão despesa/PIB é D(</w:t>
      </w:r>
      <w:proofErr w:type="gramStart"/>
      <w:r>
        <w:t>u,t</w:t>
      </w:r>
      <w:proofErr w:type="gramEnd"/>
      <w:r>
        <w:t>)/PIB(</w:t>
      </w:r>
      <w:proofErr w:type="gramStart"/>
      <w:r>
        <w:t>u,t</w:t>
      </w:r>
      <w:proofErr w:type="gramEnd"/>
      <w:r>
        <w:t xml:space="preserve">), utilizando valores nominais do mesmo ano. O índice de despesa real toma 2015=100 para permitir comparação de trajetória sem converter euros em reais. Per capita exige população de ano e conceito definidos. </w:t>
      </w:r>
      <w:proofErr w:type="gramStart"/>
      <w:r>
        <w:t>A</w:t>
      </w:r>
      <w:proofErr w:type="gramEnd"/>
      <w:r>
        <w:t xml:space="preserve"> informação censitária oficial de 2022 (Rio de Janeiro: 6.211.223; Niterói: 481.749) foi inserida como novo dado documentado, mas assinalada como quebra frente a estimativas de anos próximos; 2023 continua sem população na planilha auditada. Dados ausentes nunca foram imputados como zero.</w:t>
      </w:r>
    </w:p>
    <w:p w14:paraId="535CC038" w14:textId="77777777" w:rsidR="00A56BF1" w:rsidRDefault="00000000">
      <w:r>
        <w:t>A série francesa é identificada como APUL, que abrange mais do que communes isoladas. Suas grandezas de despesa e tributos não correspondem necessariamente à mesma taxonomia do demonstrativo municipal brasileiro. Por isso, não são produzidas diferenças entre níveis nominais ou equivalências institucionais entre royalties e DGF. A variável francesa recebida como “transferências” é tratada apenas como indicador provisório de financiamento, pois a correspondência com uma rubrica INSEE/DGCL específica ainda não foi demonstrada.</w:t>
      </w:r>
    </w:p>
    <w:p w14:paraId="284700E2" w14:textId="77777777" w:rsidR="00A56BF1" w:rsidRDefault="00000000">
      <w:pPr>
        <w:pStyle w:val="Ttulo2"/>
      </w:pPr>
      <w:bookmarkStart w:id="11" w:name="_Toc243761952"/>
      <w:r>
        <w:rPr>
          <w:rFonts w:ascii="Times New Roman" w:eastAsia="Times New Roman" w:hAnsi="Times New Roman" w:cs="Times New Roman"/>
        </w:rPr>
        <w:t>4.3. Conciliação contábil e limites de identificação</w:t>
      </w:r>
      <w:bookmarkEnd w:id="11"/>
    </w:p>
    <w:p w14:paraId="46F99E17" w14:textId="77777777" w:rsidR="00A56BF1" w:rsidRDefault="00000000">
      <w:r>
        <w:t xml:space="preserve">A separação entre transferências correntes e compensações petrolíferas é obrigatória. A planilha tratada original somava ambos os campos em “Transferencias_Nominal”; entretanto, sem os códigos de natureza da receita e as planilhas-base não há evidência para excluir sobreposição. Portanto, a planilha auditada elimina tal soma dos indicadores adotados no artigo: as compensações são apresentadas em rubrica independente e </w:t>
      </w:r>
      <w:proofErr w:type="gramStart"/>
      <w:r>
        <w:t>a</w:t>
      </w:r>
      <w:proofErr w:type="gramEnd"/>
      <w:r>
        <w:t xml:space="preserve"> agregação permanece bloqueada. Isso é uma reconciliação interna de fórmulas e uma prevenção documentada de dupla contagem, não a prova de que uma sobreposição efetivamente ocorreu.</w:t>
      </w:r>
    </w:p>
    <w:p w14:paraId="7132B6D6" w14:textId="77777777" w:rsidR="00A56BF1" w:rsidRDefault="00000000">
      <w:r>
        <w:t xml:space="preserve">Em confrontação externa, as despesas brutas empenhadas de 2025 apresentadas </w:t>
      </w:r>
      <w:proofErr w:type="gramStart"/>
      <w:r>
        <w:t>para Rio de Janeiro</w:t>
      </w:r>
      <w:proofErr w:type="gramEnd"/>
      <w:r>
        <w:t xml:space="preserve"> (R$ 46.433.922.387,74) e Niterói (R$ 6.765.300.174,88) coincidem até os centavos com a divulgação atual do IBGE Cidades e Estados. Os PIBs municipais informados de 2023 são compatíveis com o PIB per capita do IBGE aplicado à população censitária, com diferença residual explicável por arredondamento. O agregado de despesa APUL francesa informado para 2024 (€ 329,7466 bilhões) aproxima-se dos € 329,7 bilhões do INSEE; já a série de 2015 difere em € 3,039 bilhões do resultado publicado pelo instituto naquele ano (€ 249,2 bilhões). Trata-se de confronto entre vintages e a discrepância não deve ser </w:t>
      </w:r>
      <w:r>
        <w:lastRenderedPageBreak/>
        <w:t xml:space="preserve">automaticamente tratada como erro do autor. Ela </w:t>
      </w:r>
      <w:proofErr w:type="gramStart"/>
      <w:r>
        <w:t>impede</w:t>
      </w:r>
      <w:proofErr w:type="gramEnd"/>
      <w:r>
        <w:t xml:space="preserve"> afirmar plena homogeneização da série sem documentação adicional.</w:t>
      </w:r>
    </w:p>
    <w:p w14:paraId="419D31D1" w14:textId="77777777" w:rsidR="00A56BF1" w:rsidRDefault="00000000">
      <w:proofErr w:type="gramStart"/>
      <w:r>
        <w:t>A</w:t>
      </w:r>
      <w:proofErr w:type="gramEnd"/>
      <w:r>
        <w:t xml:space="preserve"> amostra contém somente dez observações anuais por unidade e não identifica choques exógenos comparáveis de renda privada local; não são estimadas regressões que pretendam inferência causal. Essa decisão evita coeficientes instáveis ou interpretações indevidas do efeito flypaper. </w:t>
      </w:r>
      <w:proofErr w:type="gramStart"/>
      <w:r>
        <w:t>A</w:t>
      </w:r>
      <w:proofErr w:type="gramEnd"/>
      <w:r>
        <w:t xml:space="preserve"> análise limita-se a variações reais, razões nominais comparáveis dentro de cada unidade e exame contextual de instituições.</w:t>
      </w:r>
    </w:p>
    <w:p w14:paraId="468D055A" w14:textId="77777777" w:rsidR="00A56BF1" w:rsidRDefault="00000000">
      <w:pPr>
        <w:pStyle w:val="Ttulo1"/>
      </w:pPr>
      <w:bookmarkStart w:id="12" w:name="_Toc243761953"/>
      <w:r>
        <w:rPr>
          <w:rFonts w:ascii="Times New Roman" w:eastAsia="Times New Roman" w:hAnsi="Times New Roman" w:cs="Times New Roman"/>
        </w:rPr>
        <w:t>5. Resultados e discussão</w:t>
      </w:r>
      <w:bookmarkEnd w:id="12"/>
    </w:p>
    <w:p w14:paraId="2B133326" w14:textId="77777777" w:rsidR="00A56BF1" w:rsidRDefault="00000000">
      <w:pPr>
        <w:pStyle w:val="Ttulo2"/>
      </w:pPr>
      <w:bookmarkStart w:id="13" w:name="_Toc243761954"/>
      <w:r>
        <w:rPr>
          <w:rFonts w:ascii="Times New Roman" w:eastAsia="Times New Roman" w:hAnsi="Times New Roman" w:cs="Times New Roman"/>
        </w:rPr>
        <w:t>5.1. Evolução da despesa real</w:t>
      </w:r>
      <w:bookmarkEnd w:id="13"/>
    </w:p>
    <w:p w14:paraId="1A9E1066" w14:textId="77777777" w:rsidR="00A56BF1" w:rsidRDefault="00000000">
      <w:r>
        <w:t>Entre 2015 e 2024, a despesa nominal informada do município do Rio de Janeiro passou de R$ 27,29 bilhões para R$ 46,31 bilhões, e a de Niterói de R$ 1,98 bilhão para R$ 6,06 bilhões. Depois de aplicado o fator de preços da base auditada (2023=100), a variação entre as pontas foi de +5,2% no Rio de Janeiro e +89,4% em Niterói. A França APUL passou de € 246,16 bilhões para € 329,75 bilhões nominais, com crescimento real indicativo de +11,9% após correção pontual do IPC de 2024, mas a discrepância da série de 2015 com publicação INSEE impede qualificá-lo como crescimento harmonizado definitivo.</w:t>
      </w:r>
    </w:p>
    <w:p w14:paraId="3CE7D97E" w14:textId="77777777" w:rsidR="00A56BF1" w:rsidRDefault="00000000">
      <w:pPr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AC43DE0" wp14:editId="5586BE06">
            <wp:extent cx="5472000" cy="25872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1_despesa_re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8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98B5" w14:textId="77777777" w:rsidR="00A56BF1" w:rsidRDefault="00000000">
      <w:pPr>
        <w:pStyle w:val="ABNT-Legenda"/>
        <w:spacing w:after="180"/>
        <w:jc w:val="center"/>
      </w:pPr>
      <w:r>
        <w:rPr>
          <w:i/>
        </w:rPr>
        <w:t>Figura 3 — Índice de despesa em moeda real de 2023, 2015=100. Fonte: planilha auditada e fatores informados, com correção pontual de 2024 para a França.</w:t>
      </w:r>
    </w:p>
    <w:p w14:paraId="10E21ABE" w14:textId="77777777" w:rsidR="00A56BF1" w:rsidRDefault="00000000">
      <w:r>
        <w:t xml:space="preserve">A divergência dos índices demonstra que </w:t>
      </w:r>
      <w:proofErr w:type="gramStart"/>
      <w:r>
        <w:t>a</w:t>
      </w:r>
      <w:proofErr w:type="gramEnd"/>
      <w:r>
        <w:t xml:space="preserve"> escala de Niterói cresceu mais que a do município do Rio de Janeiro no período observado. A figura não separa, porém, aumento de volume de serviço, custo unitário, investimento, dívida e mudança de classificação; esses </w:t>
      </w:r>
      <w:r>
        <w:lastRenderedPageBreak/>
        <w:t>componentes exigiriam composição funcional e por natureza da despesa. O resultado também não permite ordenar eficiência pública entre os entes.</w:t>
      </w:r>
    </w:p>
    <w:p w14:paraId="4D28AD56" w14:textId="77777777" w:rsidR="00A56BF1" w:rsidRDefault="00000000">
      <w:pPr>
        <w:pStyle w:val="Ttulo2"/>
      </w:pPr>
      <w:bookmarkStart w:id="14" w:name="_Toc243761955"/>
      <w:r>
        <w:rPr>
          <w:rFonts w:ascii="Times New Roman" w:eastAsia="Times New Roman" w:hAnsi="Times New Roman" w:cs="Times New Roman"/>
        </w:rPr>
        <w:t>5.2. Exposição petrolífera, tributos próprios e transferências</w:t>
      </w:r>
      <w:bookmarkEnd w:id="14"/>
    </w:p>
    <w:p w14:paraId="2C8E8C91" w14:textId="77777777" w:rsidR="00A56BF1" w:rsidRDefault="00000000">
      <w:r>
        <w:t>A variável de compensações petrolíferas cresceu, nominalmente, de R$ 251,9 milhões para R$ 2,32 bilhões em Niterói, frente a R$ 209,6 milhões e R$ 869,5 milhões no município do Rio de Janeiro. A razão entre esses recursos e a despesa total foi de 12,7% em 2015 e 38,3% em 2024 para Niterói; no Rio, 0,8% e 1,9%, respectivamente. Na base que construí, trata-se de um forte contraste de exposição fiscal relativa. Ele não equivale a demonstrar que o mesmo percentual da despesa tenha sido legal ou contabilmente financiado por royalties naquele ano, devido a fluxos de caixa, vinculações, estoque de recursos e possibilidade de rubricas múltiplas.</w:t>
      </w:r>
    </w:p>
    <w:p w14:paraId="73B365B9" w14:textId="77777777" w:rsidR="00A56BF1" w:rsidRDefault="00000000">
      <w:pPr>
        <w:spacing w:before="120" w:after="6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D34CB91" wp14:editId="5D7235EB">
            <wp:extent cx="5400000" cy="24666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02_exposicao_petrole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66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25C3F" w14:textId="77777777" w:rsidR="00A56BF1" w:rsidRDefault="00000000">
      <w:pPr>
        <w:pStyle w:val="ABNT-Legenda"/>
        <w:spacing w:after="180"/>
        <w:jc w:val="center"/>
      </w:pPr>
      <w:r>
        <w:rPr>
          <w:i/>
        </w:rPr>
        <w:t>Figura 4 — Compensações petrolíferas informadas / despesa nominal. Fonte: Base_Bruta recebida; ainda exige conciliação anual ANP/Siconfi.</w:t>
      </w:r>
    </w:p>
    <w:p w14:paraId="26A9C869" w14:textId="77777777" w:rsidR="00A56BF1" w:rsidRDefault="00000000">
      <w:r>
        <w:t xml:space="preserve">Nas contas recebidas, tributos próprios/despesa em 2024 foram 38,6% </w:t>
      </w:r>
      <w:proofErr w:type="gramStart"/>
      <w:r>
        <w:t>para Rio de Janeiro</w:t>
      </w:r>
      <w:proofErr w:type="gramEnd"/>
      <w:r>
        <w:t xml:space="preserve"> e 27,5% para Niterói, enquanto transferências correntes/despesa foram 30,2% e 63,0%, respectivamente. Esses quocientes têm denominador despesa (não receita total); portanto, não devem ser chamados de participação do financiamento total ou dependência fiscal sem um demonstrativo de receita exaustivo. Em Niterói, transferências correntes chegam a superar a despesa total nominal em alguns exercícios, reforçando a urgência de verificar escopo e natureza das rubricas antes de qualquer adição entre transferências e petróleo.</w:t>
      </w:r>
    </w:p>
    <w:p w14:paraId="5A7A30B8" w14:textId="77777777" w:rsidR="00A56BF1" w:rsidRDefault="00000000">
      <w:pPr>
        <w:pStyle w:val="Ttulo2"/>
      </w:pPr>
      <w:bookmarkStart w:id="15" w:name="_Toc243761956"/>
      <w:r>
        <w:rPr>
          <w:rFonts w:ascii="Times New Roman" w:eastAsia="Times New Roman" w:hAnsi="Times New Roman" w:cs="Times New Roman"/>
        </w:rPr>
        <w:lastRenderedPageBreak/>
        <w:t>5.3. Confronto internacional e consistência das rubricas</w:t>
      </w:r>
      <w:bookmarkEnd w:id="15"/>
    </w:p>
    <w:p w14:paraId="1CABF51D" w14:textId="77777777" w:rsidR="00A56BF1" w:rsidRDefault="00000000">
      <w:r>
        <w:t xml:space="preserve">O confronto França-Brasil é útil para distinguir arranjos de financiamento, não para formar uma estimativa de tratamento-control e nem para equiparar dotações estatais francesas a compensações por extração de petróleo. As APUL incluem níveis locais além das communes, e o INSEE emprega contas nacionais, enquanto as variáveis municipais brasileiras foram reunidas como dados orçamentários. Na publicação de 2024 do INSEE, a despesa APUL foi de € 329,7 bilhões; o número da planilha (€ 329,7466 bilhões) está alinhado no arredondamento, mas a divergência em 2015 e </w:t>
      </w:r>
      <w:proofErr w:type="gramStart"/>
      <w:r>
        <w:t>a</w:t>
      </w:r>
      <w:proofErr w:type="gramEnd"/>
      <w:r>
        <w:t xml:space="preserve"> ausência de metadados das transferências persistem. A variável francesa “transferências” não será somada </w:t>
      </w:r>
      <w:proofErr w:type="gramStart"/>
      <w:r>
        <w:t>a</w:t>
      </w:r>
      <w:proofErr w:type="gramEnd"/>
      <w:r>
        <w:t xml:space="preserve"> outras categorias nem interpretada como se fosse integralmente DGF.</w:t>
      </w:r>
    </w:p>
    <w:p w14:paraId="0BE70D17" w14:textId="77777777" w:rsidR="00A56BF1" w:rsidRDefault="00000000">
      <w:r>
        <w:t>Como análise institucional, a França oferece uma observação complementar de que a provisão local depende tanto de tributos e capacidade própria quanto de dotações e mecanismos de equalização. Para testar quantitativamente diferenças entre o nível comunal francês e municípios fluminenses seria preciso reconstruir séries homogêneas das communes ou, alternativamente, elevar também o agregado brasileiro para um conjunto abrangente de administrações locais. Na ausência dessa harmonização, o texto mantém a comparação descritiva por trajetória e os limites de escala.</w:t>
      </w:r>
    </w:p>
    <w:p w14:paraId="39EDDDA2" w14:textId="77777777" w:rsidR="00A56BF1" w:rsidRDefault="00000000">
      <w:pPr>
        <w:pStyle w:val="Ttulo2"/>
      </w:pPr>
      <w:bookmarkStart w:id="16" w:name="_Toc243761957"/>
      <w:r>
        <w:rPr>
          <w:rFonts w:ascii="Times New Roman" w:eastAsia="Times New Roman" w:hAnsi="Times New Roman" w:cs="Times New Roman"/>
        </w:rPr>
        <w:t>5.4. Quadro sintético dos resultados</w:t>
      </w:r>
      <w:bookmarkEnd w:id="16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29"/>
        <w:gridCol w:w="2319"/>
        <w:gridCol w:w="2319"/>
        <w:gridCol w:w="2320"/>
      </w:tblGrid>
      <w:tr w:rsidR="00A56BF1" w14:paraId="1FE2C775" w14:textId="77777777">
        <w:trPr>
          <w:jc w:val="center"/>
        </w:trPr>
        <w:tc>
          <w:tcPr>
            <w:tcW w:w="2337" w:type="dxa"/>
            <w:vAlign w:val="center"/>
          </w:tcPr>
          <w:p w14:paraId="755C651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Indicador (2015–2024)</w:t>
            </w:r>
          </w:p>
        </w:tc>
        <w:tc>
          <w:tcPr>
            <w:tcW w:w="2337" w:type="dxa"/>
            <w:vAlign w:val="center"/>
          </w:tcPr>
          <w:p w14:paraId="74A024DC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Rio de Janeiro</w:t>
            </w:r>
          </w:p>
        </w:tc>
        <w:tc>
          <w:tcPr>
            <w:tcW w:w="2337" w:type="dxa"/>
            <w:vAlign w:val="center"/>
          </w:tcPr>
          <w:p w14:paraId="3EB2FA97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Niterói</w:t>
            </w:r>
          </w:p>
        </w:tc>
        <w:tc>
          <w:tcPr>
            <w:tcW w:w="2337" w:type="dxa"/>
            <w:vAlign w:val="center"/>
          </w:tcPr>
          <w:p w14:paraId="734457A2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França / APUL</w:t>
            </w:r>
          </w:p>
        </w:tc>
      </w:tr>
      <w:tr w:rsidR="00A56BF1" w14:paraId="4E1EBC2E" w14:textId="77777777">
        <w:trPr>
          <w:jc w:val="center"/>
        </w:trPr>
        <w:tc>
          <w:tcPr>
            <w:tcW w:w="2337" w:type="dxa"/>
            <w:vAlign w:val="center"/>
          </w:tcPr>
          <w:p w14:paraId="5A0A92A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Despesa nominal 2015</w:t>
            </w:r>
          </w:p>
        </w:tc>
        <w:tc>
          <w:tcPr>
            <w:tcW w:w="2337" w:type="dxa"/>
            <w:vAlign w:val="center"/>
          </w:tcPr>
          <w:p w14:paraId="62A988A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R$ 27,29 bi</w:t>
            </w:r>
          </w:p>
        </w:tc>
        <w:tc>
          <w:tcPr>
            <w:tcW w:w="2337" w:type="dxa"/>
            <w:vAlign w:val="center"/>
          </w:tcPr>
          <w:p w14:paraId="1CED5DE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R$ 1,98 bi</w:t>
            </w:r>
          </w:p>
        </w:tc>
        <w:tc>
          <w:tcPr>
            <w:tcW w:w="2337" w:type="dxa"/>
            <w:vAlign w:val="center"/>
          </w:tcPr>
          <w:p w14:paraId="5937D622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€ 246,16 bi</w:t>
            </w:r>
          </w:p>
        </w:tc>
      </w:tr>
      <w:tr w:rsidR="00A56BF1" w14:paraId="2B60DF66" w14:textId="77777777">
        <w:trPr>
          <w:jc w:val="center"/>
        </w:trPr>
        <w:tc>
          <w:tcPr>
            <w:tcW w:w="2337" w:type="dxa"/>
            <w:vAlign w:val="center"/>
          </w:tcPr>
          <w:p w14:paraId="0C2604C9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Despesa nominal 2024</w:t>
            </w:r>
          </w:p>
        </w:tc>
        <w:tc>
          <w:tcPr>
            <w:tcW w:w="2337" w:type="dxa"/>
            <w:vAlign w:val="center"/>
          </w:tcPr>
          <w:p w14:paraId="29923ED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R$ 46,31 bi</w:t>
            </w:r>
          </w:p>
        </w:tc>
        <w:tc>
          <w:tcPr>
            <w:tcW w:w="2337" w:type="dxa"/>
            <w:vAlign w:val="center"/>
          </w:tcPr>
          <w:p w14:paraId="6A8214FF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R$ 6,06 bi</w:t>
            </w:r>
          </w:p>
        </w:tc>
        <w:tc>
          <w:tcPr>
            <w:tcW w:w="2337" w:type="dxa"/>
            <w:vAlign w:val="center"/>
          </w:tcPr>
          <w:p w14:paraId="1B6C78B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€ 329,75 bi</w:t>
            </w:r>
          </w:p>
        </w:tc>
      </w:tr>
      <w:tr w:rsidR="00A56BF1" w14:paraId="2CA7B2EB" w14:textId="77777777">
        <w:trPr>
          <w:jc w:val="center"/>
        </w:trPr>
        <w:tc>
          <w:tcPr>
            <w:tcW w:w="2337" w:type="dxa"/>
            <w:vAlign w:val="center"/>
          </w:tcPr>
          <w:p w14:paraId="3E6725BF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Δ despesa real 2015→2024</w:t>
            </w:r>
          </w:p>
        </w:tc>
        <w:tc>
          <w:tcPr>
            <w:tcW w:w="2337" w:type="dxa"/>
            <w:vAlign w:val="center"/>
          </w:tcPr>
          <w:p w14:paraId="161FD420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+5.2%</w:t>
            </w:r>
          </w:p>
        </w:tc>
        <w:tc>
          <w:tcPr>
            <w:tcW w:w="2337" w:type="dxa"/>
            <w:vAlign w:val="center"/>
          </w:tcPr>
          <w:p w14:paraId="5E198AE4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+89.4%</w:t>
            </w:r>
          </w:p>
        </w:tc>
        <w:tc>
          <w:tcPr>
            <w:tcW w:w="2337" w:type="dxa"/>
            <w:vAlign w:val="center"/>
          </w:tcPr>
          <w:p w14:paraId="14F240AC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+11.9%*</w:t>
            </w:r>
          </w:p>
        </w:tc>
      </w:tr>
      <w:tr w:rsidR="00A56BF1" w14:paraId="26DB348B" w14:textId="77777777">
        <w:trPr>
          <w:jc w:val="center"/>
        </w:trPr>
        <w:tc>
          <w:tcPr>
            <w:tcW w:w="2337" w:type="dxa"/>
            <w:vAlign w:val="center"/>
          </w:tcPr>
          <w:p w14:paraId="3887B032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Petróleo/despesa 2015</w:t>
            </w:r>
          </w:p>
        </w:tc>
        <w:tc>
          <w:tcPr>
            <w:tcW w:w="2337" w:type="dxa"/>
            <w:vAlign w:val="center"/>
          </w:tcPr>
          <w:p w14:paraId="487F4B4D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0,8%</w:t>
            </w:r>
          </w:p>
        </w:tc>
        <w:tc>
          <w:tcPr>
            <w:tcW w:w="2337" w:type="dxa"/>
            <w:vAlign w:val="center"/>
          </w:tcPr>
          <w:p w14:paraId="56789A58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12,7%</w:t>
            </w:r>
          </w:p>
        </w:tc>
        <w:tc>
          <w:tcPr>
            <w:tcW w:w="2337" w:type="dxa"/>
            <w:vAlign w:val="center"/>
          </w:tcPr>
          <w:p w14:paraId="6BC605D9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Não aplicável</w:t>
            </w:r>
          </w:p>
        </w:tc>
      </w:tr>
      <w:tr w:rsidR="00A56BF1" w14:paraId="42286428" w14:textId="77777777">
        <w:trPr>
          <w:jc w:val="center"/>
        </w:trPr>
        <w:tc>
          <w:tcPr>
            <w:tcW w:w="2337" w:type="dxa"/>
            <w:vAlign w:val="center"/>
          </w:tcPr>
          <w:p w14:paraId="427B82C0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Petróleo/despesa 2024</w:t>
            </w:r>
          </w:p>
        </w:tc>
        <w:tc>
          <w:tcPr>
            <w:tcW w:w="2337" w:type="dxa"/>
            <w:vAlign w:val="center"/>
          </w:tcPr>
          <w:p w14:paraId="1753D9D1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1,9%</w:t>
            </w:r>
          </w:p>
        </w:tc>
        <w:tc>
          <w:tcPr>
            <w:tcW w:w="2337" w:type="dxa"/>
            <w:vAlign w:val="center"/>
          </w:tcPr>
          <w:p w14:paraId="06D7E72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38,3%</w:t>
            </w:r>
          </w:p>
        </w:tc>
        <w:tc>
          <w:tcPr>
            <w:tcW w:w="2337" w:type="dxa"/>
            <w:vAlign w:val="center"/>
          </w:tcPr>
          <w:p w14:paraId="23CB1D1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Não aplicável</w:t>
            </w:r>
          </w:p>
        </w:tc>
      </w:tr>
      <w:tr w:rsidR="00A56BF1" w14:paraId="10F3B5C9" w14:textId="77777777">
        <w:trPr>
          <w:jc w:val="center"/>
        </w:trPr>
        <w:tc>
          <w:tcPr>
            <w:tcW w:w="2337" w:type="dxa"/>
            <w:vAlign w:val="center"/>
          </w:tcPr>
          <w:p w14:paraId="22973A16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Transferências correntes/despesa 2024</w:t>
            </w:r>
          </w:p>
        </w:tc>
        <w:tc>
          <w:tcPr>
            <w:tcW w:w="2337" w:type="dxa"/>
            <w:vAlign w:val="center"/>
          </w:tcPr>
          <w:p w14:paraId="1E9C128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30,2%</w:t>
            </w:r>
          </w:p>
        </w:tc>
        <w:tc>
          <w:tcPr>
            <w:tcW w:w="2337" w:type="dxa"/>
            <w:vAlign w:val="center"/>
          </w:tcPr>
          <w:p w14:paraId="647F3874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63,0%</w:t>
            </w:r>
          </w:p>
        </w:tc>
        <w:tc>
          <w:tcPr>
            <w:tcW w:w="2337" w:type="dxa"/>
            <w:vAlign w:val="center"/>
          </w:tcPr>
          <w:p w14:paraId="7FA5A68F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15,4%**</w:t>
            </w:r>
          </w:p>
        </w:tc>
      </w:tr>
    </w:tbl>
    <w:p w14:paraId="7091A0FB" w14:textId="77777777" w:rsidR="00A56BF1" w:rsidRDefault="00000000">
      <w:r>
        <w:rPr>
          <w:i/>
        </w:rPr>
        <w:t>* França: os dados de 2015 divergem de publicação INSEE do próprio ano; crescimento sujeito à reconciliação histórica. ** Rubrica francesa não reconciliada com fonte primária; quociente apenas provisório. Elaboração própria, com base nos arquivos recebidos e nas verificações oficiais documentadas.</w:t>
      </w:r>
    </w:p>
    <w:p w14:paraId="1DD9A988" w14:textId="77777777" w:rsidR="00A56BF1" w:rsidRDefault="00000000">
      <w:pPr>
        <w:pStyle w:val="Ttulo1"/>
      </w:pPr>
      <w:bookmarkStart w:id="17" w:name="_Toc243761958"/>
      <w:r>
        <w:rPr>
          <w:rFonts w:ascii="Times New Roman" w:eastAsia="Times New Roman" w:hAnsi="Times New Roman" w:cs="Times New Roman"/>
        </w:rPr>
        <w:t>6. Discussão crítica e implicações</w:t>
      </w:r>
      <w:bookmarkEnd w:id="17"/>
    </w:p>
    <w:p w14:paraId="4249930F" w14:textId="77777777" w:rsidR="00A56BF1" w:rsidRDefault="00000000">
      <w:r>
        <w:t xml:space="preserve">A literatura permite formular três hipóteses para estudos posteriores. H1: o crescimento de receitas extrativas pode estar associado à ampliação das despesas, especialmente onde sua magnitude relativa é elevada; H2: maior autonomia tributária pode </w:t>
      </w:r>
      <w:r>
        <w:lastRenderedPageBreak/>
        <w:t>alterar o estímulo de receitas externas ao gasto, condicionando o eventual efeito flypaper; H3: transparência fiscal e regras de destinação podem mediar a percepção dos contribuintes e a resposta político-orçamentária. Nenhuma dessas hipóteses é testada causalmente nesta pesquisa: o foco é explicitar plausibilidade, variáveis necessárias e pontos de fragilidade da base disponível.</w:t>
      </w:r>
    </w:p>
    <w:p w14:paraId="1B9B7953" w14:textId="77777777" w:rsidR="00A56BF1" w:rsidRDefault="00000000">
      <w:r>
        <w:t>Há, ademais, mecanismos concorrentes. A coincidência entre aumento dos royalties e aumento de despesa pode refletir simultaneamente preços internacionais de petróleo, políticas locais de investimento, alterações populacionais, transferências de outras modalidades, mudanças de classificação orçamentária ou revisões dos índices de preços. O mesmo aumento de gasto pode reduzir ou ampliar eficiência dependendo da provisão efetiva de bens públicos. O caso peruano de Maldonado e Ardanaz (2023) ilustra que o volume de recursos extrativos pode relacionar-se de modo não linear à eficiência; esse resultado recomenda cautela com interpretações simplificadas de abundância de receitas.</w:t>
      </w:r>
    </w:p>
    <w:p w14:paraId="368A1495" w14:textId="77777777" w:rsidR="00A56BF1" w:rsidRDefault="00000000">
      <w:r>
        <w:t>O principal ganho analítico, portanto, não é afirmar uma causalidade inexistente, mas construir séries inspecionáveis e tornar explícito o que precisaria ser identificado: decomposição dos repasses, transferências não condicionadas, renda privada local, alterações de carga tributária, regras institucionais e mecanismos de controle democrático. Os achados do estudo de Ferreira (2021) oferecem hipótese e estratégia de referência, mas não equivalem a resultado empírico para os municípios e período aqui selecionados.</w:t>
      </w:r>
    </w:p>
    <w:p w14:paraId="6A447124" w14:textId="77777777" w:rsidR="00A56BF1" w:rsidRDefault="00000000">
      <w:pPr>
        <w:pStyle w:val="Ttulo1"/>
      </w:pPr>
      <w:bookmarkStart w:id="18" w:name="_Toc243761959"/>
      <w:r>
        <w:rPr>
          <w:rFonts w:ascii="Times New Roman" w:eastAsia="Times New Roman" w:hAnsi="Times New Roman" w:cs="Times New Roman"/>
        </w:rPr>
        <w:t>7. Conclusão</w:t>
      </w:r>
      <w:bookmarkEnd w:id="18"/>
    </w:p>
    <w:p w14:paraId="5EB56A30" w14:textId="77777777" w:rsidR="00A56BF1" w:rsidRDefault="00000000">
      <w:r>
        <w:t>O estudo mostra, na base recebida e parcialmente reconciliada, que Rio de Janeiro e Niterói exibiram trajetórias distintas entre 2015 e 2024. O crescimento da despesa real de Niterói foi muito superior ao do Rio de Janeiro, assim como sua exposição à rubrica de receitas petrolíferas em relação à despesa. A comparação institucional com a França é informativa sobre modelos diferentes de financiamento local, mas os dados franceses agregam todas as APUL e não apenas as communes, sem garantir completa homogeneidade temporal e contábil.</w:t>
      </w:r>
    </w:p>
    <w:p w14:paraId="70B793CB" w14:textId="77777777" w:rsidR="00A56BF1" w:rsidRDefault="00000000">
      <w:r>
        <w:t xml:space="preserve">A pergunta de pesquisa recebe, assim, uma resposta descritiva: as receitas petrolíferas, os tributos próprios e as transferências acompanham perfis fiscais bastante diferentes nos dois municípios; contudo, </w:t>
      </w:r>
      <w:proofErr w:type="gramStart"/>
      <w:r>
        <w:t>a</w:t>
      </w:r>
      <w:proofErr w:type="gramEnd"/>
      <w:r>
        <w:t xml:space="preserve"> informação não demonstra a ocorrência de efeito flypaper ou ilusão fiscal, pois faltam medidas de renda privada e de percepção tributária, bem como identificação adequada dos efeitos dos repasses. A contribuição metodológica é a base </w:t>
      </w:r>
      <w:r>
        <w:lastRenderedPageBreak/>
        <w:t>reconstruída, com tratamento explícito de dados faltantes, separação preventiva de rubricas potencialmente sobrepostas e reconciliações pontuais com IBGE/INSEE.</w:t>
      </w:r>
    </w:p>
    <w:p w14:paraId="4DADC337" w14:textId="77777777" w:rsidR="00A56BF1" w:rsidRDefault="00000000">
      <w:r>
        <w:t xml:space="preserve">O estudo é limitado pela ausência de planilhas primárias completas por rubrica, pela discrepância entre versões históricas da despesa francesa de 2015 e pela indisponibilidade de PIB municipal de 2024 e de população anual comparável em 2023. Pesquisas posteriores poderão acessar microdados contábeis, separar royalties e participação especial, confrontar exercícios por códigos de receita e testar modelos com estratégia explícita de identificação. A documentação depositada no GitHub preservará os dados utilizados e o histórico das transformações para favorecer a reprodução e </w:t>
      </w:r>
      <w:proofErr w:type="gramStart"/>
      <w:r>
        <w:t>a</w:t>
      </w:r>
      <w:proofErr w:type="gramEnd"/>
      <w:r>
        <w:t xml:space="preserve"> avaliação dos resultados.</w:t>
      </w:r>
    </w:p>
    <w:p w14:paraId="1E26E12F" w14:textId="77777777" w:rsidR="00A56BF1" w:rsidRDefault="00000000">
      <w:pPr>
        <w:pStyle w:val="Ttulo1"/>
      </w:pPr>
      <w:bookmarkStart w:id="19" w:name="_Toc243761960"/>
      <w:r>
        <w:rPr>
          <w:rFonts w:ascii="Times New Roman" w:eastAsia="Times New Roman" w:hAnsi="Times New Roman" w:cs="Times New Roman"/>
        </w:rPr>
        <w:t>8. Quadro comentado de evidências científicas (80 artigos Scopus)</w:t>
      </w:r>
      <w:bookmarkEnd w:id="19"/>
    </w:p>
    <w:p w14:paraId="5499977F" w14:textId="77777777" w:rsidR="00A56BF1" w:rsidRDefault="00000000">
      <w:r>
        <w:t>Este quadro integra a discussão do referencial teórico e organiza individualmente os 80 artigos científicos selecionados na base Scopus. Para cada estudo são apresentados o título original, elementos de seu objetivo ou de seus resultados disponíveis nos registros bibliográficos e uma síntese de sua relação com o problema investigado. As passagens em inglês são reproduzidas dos resumos exportados do Scopus. O objetivo é explicitar a diversidade de abordagens e as convergências e divergências da literatura sobre transferências intergovernamentais, efeito flypaper e ilusão fiscal.</w:t>
      </w:r>
    </w:p>
    <w:p w14:paraId="2355D1A8" w14:textId="77777777" w:rsidR="00A56BF1" w:rsidRDefault="00000000">
      <w:pPr>
        <w:pStyle w:val="Ttulo2"/>
      </w:pPr>
      <w:bookmarkStart w:id="20" w:name="_Toc243761961"/>
      <w:r>
        <w:rPr>
          <w:rFonts w:ascii="Times New Roman" w:eastAsia="Times New Roman" w:hAnsi="Times New Roman" w:cs="Times New Roman"/>
        </w:rPr>
        <w:t>8.1. Ilusão fiscal e percepção tributária</w:t>
      </w:r>
      <w:bookmarkEnd w:id="20"/>
    </w:p>
    <w:p w14:paraId="2E58F0CD" w14:textId="77777777" w:rsidR="00A56BF1" w:rsidRDefault="00000000">
      <w:pPr>
        <w:spacing w:after="100"/>
      </w:pPr>
      <w:r>
        <w:t xml:space="preserve">Amusa et al. (2008) — Fiscal illusion at the local sphere: An empirical test of the flypaper effect using South African municipal data. Informação no resumo: “Empirical results indicate that the marginal effects of municipal own-source revenues on local expenditure exceed those of intergovernmental transfers”.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51AA8FD" w14:textId="77777777" w:rsidR="00A56BF1" w:rsidRDefault="00000000">
      <w:pPr>
        <w:spacing w:after="100"/>
      </w:pPr>
      <w:r>
        <w:t xml:space="preserve">Turnbull (1998) — The Overspending and Flypaper Effects of Fiscal Illusion: Theory and Empirical Evidence. Informação no resumo: “This paper broadens the notion of fiscal illusion to include imperfect information where voters are unsure about how much they…”.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AD1B473" w14:textId="77777777" w:rsidR="00A56BF1" w:rsidRDefault="00000000">
      <w:pPr>
        <w:spacing w:after="100"/>
      </w:pPr>
      <w:r>
        <w:lastRenderedPageBreak/>
        <w:t xml:space="preserve">Prado e da Silva (2020) — Wagner’s Law and Fiscal Illusion: An analysis of state government finances in Brazil. Informação no resumo: “The aim of this article is to analyze state-level public finances in Brazil”.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A045EA5" w14:textId="77777777" w:rsidR="00A56BF1" w:rsidRDefault="00000000">
      <w:pPr>
        <w:spacing w:after="100"/>
      </w:pPr>
      <w:r>
        <w:t xml:space="preserve">Worthington e Dollery (1999) — Fiscal illusion and the Australian local government grants process: How sticky is the flypaper </w:t>
      </w:r>
      <w:proofErr w:type="gramStart"/>
      <w:r>
        <w:t>effect?.</w:t>
      </w:r>
      <w:proofErr w:type="gramEnd"/>
      <w:r>
        <w:t xml:space="preserve"> Informação no resumo: “It has been argued that evidence supporting the widely documented flypaper effect is a statistical artefact; more specifically that previous…”.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4AFA2A2" w14:textId="77777777" w:rsidR="00A56BF1" w:rsidRDefault="00000000">
      <w:pPr>
        <w:spacing w:after="100"/>
      </w:pPr>
      <w:r>
        <w:t xml:space="preserve">Islam (1998) — Fiscal illusion, intergovernmental grants and local spending. Informação no resumo: “The results show that the fiscally-induced price effects of grants </w:t>
      </w:r>
      <w:proofErr w:type="gramStart"/>
      <w:r>
        <w:t>varies</w:t>
      </w:r>
      <w:proofErr w:type="gramEnd"/>
      <w:r>
        <w:t xml:space="preserve"> quite widely from one municipality to another and these…”.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0FEC74A" w14:textId="77777777" w:rsidR="00A56BF1" w:rsidRDefault="00000000">
      <w:pPr>
        <w:spacing w:after="100"/>
      </w:pPr>
      <w:r>
        <w:t xml:space="preserve">Maddah e Jeyhoon-Tabar (2018) — The tax and petroleum revenue effect on Iran’s public expenditures (1994–2015), employing fiscal illusion approach. Informação no resumo: “As tax revenue itself generally does not result in fiscal illusion (based on the findings), the government should specify transparent…”.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93042B1" w14:textId="77777777" w:rsidR="00A56BF1" w:rsidRDefault="00000000">
      <w:pPr>
        <w:spacing w:after="100"/>
      </w:pPr>
      <w:r>
        <w:t xml:space="preserve">Dollery e Worthington (1995) — Federal expenditure and fiscal Illusion: A test of the flypaper hypothesis in Australia. Informação no resumo: “Despite the fact that there are strong a priori grounds for presuming that the intergovernmental grants characteristic of fiscal federalism…”.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B7B4DDA" w14:textId="77777777" w:rsidR="00A56BF1" w:rsidRDefault="00000000">
      <w:pPr>
        <w:spacing w:after="100"/>
      </w:pPr>
      <w:r>
        <w:t xml:space="preserve">Dollery e Worthington (1995) — State expenditure and fiscal illusion in Australia: A test of the revenue complexity, revenue elasticity and flypaper hypotheses. Informação no resumo: “Despite the federal structure of its constitution, no empirical study of fiscal illusion at the level of state expenditure has…”. Leitura crítica: contribui ao eixo ilusão fiscal e </w:t>
      </w:r>
      <w:r>
        <w:lastRenderedPageBreak/>
        <w:t xml:space="preserve">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4667DF7" w14:textId="77777777" w:rsidR="00A56BF1" w:rsidRDefault="00000000">
      <w:pPr>
        <w:spacing w:after="100"/>
      </w:pPr>
      <w:r>
        <w:t xml:space="preserve">Turnbull (1992) — Fiscal illusion, uncertainty, and the flypaper effect. Informação no resumo: “The flypaper effect is the empirical observation that increases in intergovernmental aid stimulate greater local government expenditure than do increases…”.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AFB1112" w14:textId="77777777" w:rsidR="00A56BF1" w:rsidRDefault="00000000">
      <w:pPr>
        <w:spacing w:after="100"/>
      </w:pPr>
      <w:r>
        <w:t xml:space="preserve">Dollery e Worthington (1996) — The empirical analysis of fiscal illusion. Informação no resumo: “This paper examines the empirical analysis of the five main hypotheses subsumed under the generic term fiscal illusion”.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CCABD0D" w14:textId="77777777" w:rsidR="00A56BF1" w:rsidRDefault="00000000">
      <w:pPr>
        <w:spacing w:after="100"/>
      </w:pPr>
      <w:r>
        <w:t xml:space="preserve">Becker (1996) — The illusion of fiscal illusion: Unsticking the flypaper effect. Informação no resumo: “Recognizing that it is difficult to prove a negative, this paper </w:t>
      </w:r>
      <w:proofErr w:type="gramStart"/>
      <w:r>
        <w:t>marshals</w:t>
      </w:r>
      <w:proofErr w:type="gramEnd"/>
      <w:r>
        <w:t xml:space="preserve"> evidence in support of the hypothesis that the…”.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8C36993" w14:textId="77777777" w:rsidR="00A56BF1" w:rsidRDefault="00000000">
      <w:pPr>
        <w:spacing w:after="100"/>
      </w:pPr>
      <w:r>
        <w:t xml:space="preserve">López-Laborda e Zabalza (2015) — Intergovernmental fiscal relations: The efficiency effect of taxes, transfers, and fiscal illusion. Informação no resumo: “In an economy-wide resource constrained framework we show that, despite its simplicity, this model is capable of discriminating the efficiency…”. Leitura crítica: contribui ao eixo ilusão fiscal e percepção tributária,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BB5FBAE" w14:textId="77777777" w:rsidR="00A56BF1" w:rsidRDefault="00000000">
      <w:pPr>
        <w:pStyle w:val="Ttulo2"/>
      </w:pPr>
      <w:bookmarkStart w:id="21" w:name="_Toc243761962"/>
      <w:r>
        <w:rPr>
          <w:rFonts w:ascii="Times New Roman" w:eastAsia="Times New Roman" w:hAnsi="Times New Roman" w:cs="Times New Roman"/>
        </w:rPr>
        <w:t>8.2. Efeito Flypaper e gasto público</w:t>
      </w:r>
      <w:bookmarkEnd w:id="21"/>
    </w:p>
    <w:p w14:paraId="5F84FC6E" w14:textId="77777777" w:rsidR="00A56BF1" w:rsidRDefault="00000000">
      <w:pPr>
        <w:spacing w:after="100"/>
      </w:pPr>
      <w:r>
        <w:t xml:space="preserve">Bae e Feiock (2004) — The flypaper effect revisited: Intergovernmental grants and local governance. Informação no resumo: “Test results show that the political institutional variables could be one of the explanation variables for the flypaper effect. 2004…”.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BD4E6F9" w14:textId="77777777" w:rsidR="00A56BF1" w:rsidRDefault="00000000">
      <w:pPr>
        <w:spacing w:after="100"/>
      </w:pPr>
      <w:r>
        <w:t xml:space="preserve">Poniatowicz e Wildowicz-Szumarska (2024) — The Increasing Importance of Intergovernmental Transfer Revenue in Local Finance in Poland and the Flypaper Effect. Informação no resumo: “The article explores the growing trend of fiscal recentralization in </w:t>
      </w:r>
      <w:r>
        <w:lastRenderedPageBreak/>
        <w:t xml:space="preserve">Polish local finance, evident in the increase of intergovernmental transfers…”.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1AD9E3A" w14:textId="77777777" w:rsidR="00A56BF1" w:rsidRDefault="00000000">
      <w:pPr>
        <w:spacing w:after="100"/>
      </w:pPr>
      <w:r>
        <w:t xml:space="preserve">Kjaergaard (2015) — The Flypaper Effect: Do Political Institutions Affect Danish Local Governments’ Response to Intergovernmental </w:t>
      </w:r>
      <w:proofErr w:type="gramStart"/>
      <w:r>
        <w:t>Grants?.</w:t>
      </w:r>
      <w:proofErr w:type="gramEnd"/>
      <w:r>
        <w:t xml:space="preserve"> Informação no resumo: “Abstract: Despite a large number of empirical studies on the flypaper effect, it remains disputed whether the effect exists and…”.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C9BBA49" w14:textId="77777777" w:rsidR="00A56BF1" w:rsidRDefault="00000000">
      <w:pPr>
        <w:spacing w:after="100"/>
      </w:pPr>
      <w:r>
        <w:t xml:space="preserve">Dahlby (2011) — The marginal cost of public funds and the flypaper effect. Informação no resumo: “A lump-sum intergovernmental transfer has a "price effect", as well as an "income effect", because it allows the recipient government…”.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D466A98" w14:textId="77777777" w:rsidR="00A56BF1" w:rsidRDefault="00000000">
      <w:pPr>
        <w:spacing w:after="100"/>
      </w:pPr>
      <w:r>
        <w:t xml:space="preserve">Guziejewska et al. (2021) — The flypaper effect and desirable legislative changes to local government financing systems. Informação no resumo: “A substantial portion of local government funding in Poland comes from intergovernmental transfers”.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1744587" w14:textId="77777777" w:rsidR="00A56BF1" w:rsidRDefault="00000000">
      <w:pPr>
        <w:spacing w:after="100"/>
      </w:pPr>
      <w:r>
        <w:t xml:space="preserve">Baskaran (2016) — Intergovernmental transfers, local fiscal policy, and the flypaper effect: Evidence from a German state. Informação no resumo: “I study how rule-based general-purpose transfers from a higher tier of government affect municipalities’ expenditures and taxation”.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49C0CB5" w14:textId="77777777" w:rsidR="00A56BF1" w:rsidRDefault="00000000">
      <w:pPr>
        <w:spacing w:after="100"/>
      </w:pPr>
      <w:r>
        <w:t xml:space="preserve">Wati et al. (2022) — The flypaper effect phenomenon of intergovernmental transfers during the Covid-19: Evidence from Indonesia; [Fenomen efekta muholovke međuvladinih transfera tijekom Covid-19: dokazi iz Indonezije]. Informação no resumo: “The study found that there was a flypaper effect phenomenon that encouraged the local governments to use GAF, instead of…”.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1A04C3A" w14:textId="77777777" w:rsidR="00A56BF1" w:rsidRDefault="00000000">
      <w:pPr>
        <w:spacing w:after="100"/>
      </w:pPr>
      <w:r>
        <w:lastRenderedPageBreak/>
        <w:t xml:space="preserve">Yüksel (2021) — The Flypaper Effect: “Reality” or “Myth”? Evidence from Turkey; [Sinek Kâğıdı Etkisi: “Gerçeklik” mi, “Efsane” mi? Türkiye Örneği]. Informação no resumo: “Several empirical observations in the local government economics literature point out that the effect of an increase in intergovernmental transfers…”.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D992A0E" w14:textId="77777777" w:rsidR="00A56BF1" w:rsidRDefault="00000000">
      <w:pPr>
        <w:spacing w:after="100"/>
      </w:pPr>
      <w:r>
        <w:t xml:space="preserve">Mattos et al. (2011) — Flypaper effect revisited: Evidence for tax collection efficiency in Brazilian municipalities. Informação no resumo: “Last, using two stages least squares and Tobit regressions, which the instruments </w:t>
      </w:r>
      <w:proofErr w:type="gramStart"/>
      <w:r>
        <w:t>is</w:t>
      </w:r>
      <w:proofErr w:type="gramEnd"/>
      <w:r>
        <w:t xml:space="preserve"> built upon the rules established in the…”.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7EF44E2" w14:textId="77777777" w:rsidR="00A56BF1" w:rsidRDefault="00000000">
      <w:pPr>
        <w:spacing w:after="100"/>
      </w:pPr>
      <w:r>
        <w:t xml:space="preserve">Gennari e Messina (2014) — How sticky are local expenditures in Italy? Assessing the relevance of the flypaper effect through municipal data. Informação no resumo: “An extensive literature analysed the impact of upper tier transfers on spending behaviour of </w:t>
      </w:r>
      <w:proofErr w:type="gramStart"/>
      <w:r>
        <w:t>lower level</w:t>
      </w:r>
      <w:proofErr w:type="gramEnd"/>
      <w:r>
        <w:t xml:space="preserve"> governments finding evidence of…”.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1327E3A" w14:textId="77777777" w:rsidR="00A56BF1" w:rsidRDefault="00000000">
      <w:pPr>
        <w:spacing w:after="100"/>
      </w:pPr>
      <w:r>
        <w:t xml:space="preserve">Cruz e Silva (2020) — Minimum Spending in Education and the Flypaper Effect. Informação no resumo: “The minimum spending rule has increased educational spending only for municipalities that were below the minimum; for those above the…”.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9212EAA" w14:textId="77777777" w:rsidR="00A56BF1" w:rsidRDefault="00000000">
      <w:pPr>
        <w:spacing w:after="100"/>
      </w:pPr>
      <w:r>
        <w:t xml:space="preserve">Sepúlveda (2017) — Taxpayers' behavior and the flypaper effect. Informação no resumo: “This paper provides a new explanation for the flypaper effect, a </w:t>
      </w:r>
      <w:proofErr w:type="gramStart"/>
      <w:r>
        <w:t>well known</w:t>
      </w:r>
      <w:proofErr w:type="gramEnd"/>
      <w:r>
        <w:t xml:space="preserve"> empirical result whereby transfers to a government…”.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908276B" w14:textId="77777777" w:rsidR="00A56BF1" w:rsidRDefault="00000000">
      <w:pPr>
        <w:spacing w:after="100"/>
      </w:pPr>
      <w:r>
        <w:t xml:space="preserve">Bastida et al. (2022) — Flypaper effect and partisanship theories best explain municipal financial performance in Latin America. Informação no resumo: “Regarding transfers, we find a strong flypaper effect”.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8DD10C7" w14:textId="77777777" w:rsidR="00A56BF1" w:rsidRDefault="00000000">
      <w:pPr>
        <w:spacing w:after="100"/>
      </w:pPr>
      <w:r>
        <w:lastRenderedPageBreak/>
        <w:t xml:space="preserve">Goeminne et al. (2017) — The real impact of a one-off fiscal restriction: empirical evidence of a flypaper effect in Flemish municipalities. Informação no resumo: “This paper analyses the effects of a one-off fiscal restriction on Flemish local government spending”.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3D9AB7C" w14:textId="77777777" w:rsidR="00A56BF1" w:rsidRDefault="00000000">
      <w:pPr>
        <w:spacing w:after="100"/>
      </w:pPr>
      <w:r>
        <w:t xml:space="preserve">Siregar e Badrudin (2017) — Degree of fiscal decentralization and flypaper effect: Evidence from Indonesia. Informação no resumo: “The existence of flypaper effect phenomenon in Indonesia has not been fully answered completely because the findings of the studies…”. Leitura crítica: contribui ao eixo efeito flypaper e gasto público,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094A45D" w14:textId="77777777" w:rsidR="00A56BF1" w:rsidRDefault="00000000">
      <w:pPr>
        <w:pStyle w:val="Ttulo2"/>
      </w:pPr>
      <w:bookmarkStart w:id="22" w:name="_Toc243761963"/>
      <w:r>
        <w:rPr>
          <w:rFonts w:ascii="Times New Roman" w:eastAsia="Times New Roman" w:hAnsi="Times New Roman" w:cs="Times New Roman"/>
        </w:rPr>
        <w:t>8.3. Transferências, incentivos e receitas locais</w:t>
      </w:r>
      <w:bookmarkEnd w:id="22"/>
    </w:p>
    <w:p w14:paraId="41726857" w14:textId="77777777" w:rsidR="00A56BF1" w:rsidRDefault="00000000">
      <w:pPr>
        <w:spacing w:after="100"/>
      </w:pPr>
      <w:r>
        <w:t xml:space="preserve">Mainali et al. (2022) — Fiscal decentralization, intergovernmental transfer reform and conflict in Colombian municipalities. Informação no resumo: “Our results show a decrease in conflict in response to the intergovernmental transfer reform, but the exact response </w:t>
      </w:r>
      <w:proofErr w:type="gramStart"/>
      <w:r>
        <w:t>vary</w:t>
      </w:r>
      <w:proofErr w:type="gramEnd"/>
      <w:r>
        <w:t xml:space="preserve"> by…”.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D19A24D" w14:textId="77777777" w:rsidR="00A56BF1" w:rsidRDefault="00000000">
      <w:pPr>
        <w:spacing w:after="100"/>
      </w:pPr>
      <w:r>
        <w:t xml:space="preserve">Baekgaard e Kjaergaard (2016) — Intergovernmental Grants and Public Expenditures: Evidence from a Survey Experiment. Informação no resumo: “Abstract: The relationship between intergovernmental grants and public expenditures is one of the most studied phenomena in the local public…”.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B7455DD" w14:textId="77777777" w:rsidR="00A56BF1" w:rsidRDefault="00000000">
      <w:pPr>
        <w:spacing w:after="100"/>
      </w:pPr>
      <w:r>
        <w:t xml:space="preserve">Dahlby e Ferede (2016) — The stimulative effects of intergovernmental grants and the marginal cost of public funds. Informação no resumo: “Our results indicate that the stimulative effects of lump-sum </w:t>
      </w:r>
      <w:proofErr w:type="gramStart"/>
      <w:r>
        <w:t>grants</w:t>
      </w:r>
      <w:proofErr w:type="gramEnd"/>
      <w:r>
        <w:t xml:space="preserve"> on spending increase with the provincial government’s marginal cost of…”.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90EDCB8" w14:textId="77777777" w:rsidR="00A56BF1" w:rsidRDefault="00000000">
      <w:pPr>
        <w:spacing w:after="100"/>
      </w:pPr>
      <w:r>
        <w:t xml:space="preserve">Samal (2020) — An Empirical Analysis of Asymmetry and Threshold Effect of Intergovernmental Grants in India: A Panel Data Analysis. Informação no resumo: “The </w:t>
      </w:r>
      <w:r>
        <w:lastRenderedPageBreak/>
        <w:t xml:space="preserve">threshold regression results indicate that lower-income state grants have a stronger flypaper effect than middle- and higher-income states. 2018…”.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A366C17" w14:textId="77777777" w:rsidR="00A56BF1" w:rsidRDefault="00000000">
      <w:pPr>
        <w:spacing w:after="100"/>
      </w:pPr>
      <w:r>
        <w:t xml:space="preserve">Santos Mamaradlo et al. (2021) — GRANT EFFECTS ON PUBLIC FINANCE FOR LOCAL GOVERNMENTS WITH SELF-SELECTION BEHAVIOR＊. Informação no resumo: “This paper estimates causal effects of intergovernmental grants on local expenditure and tax revenue”.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4DD81E7" w14:textId="77777777" w:rsidR="00A56BF1" w:rsidRDefault="00000000">
      <w:pPr>
        <w:spacing w:after="100"/>
      </w:pPr>
      <w:r>
        <w:t xml:space="preserve">Mehiriz (2017) — The use of intergovernmental grants to municipalities for electoral purposes by subnational governments. Informação no resumo: “These findings suggest that distributive politics can be conceptualised as a political agency problem whose prevalence is seriously constrained by…”.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0CD42B3" w14:textId="77777777" w:rsidR="00A56BF1" w:rsidRDefault="00000000">
      <w:pPr>
        <w:spacing w:after="100"/>
      </w:pPr>
      <w:r>
        <w:t xml:space="preserve">Shani et al. (2023) — Intergovernmental grants and local public finance: An empirical examination in Israel. Informação no resumo: “Our results show that grant reductions led local governments to increase local tax rates and their annual deficits, but did…”.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D84A751" w14:textId="77777777" w:rsidR="00A56BF1" w:rsidRDefault="00000000">
      <w:pPr>
        <w:spacing w:after="100"/>
      </w:pPr>
      <w:r>
        <w:t xml:space="preserve">Porto e Puig (2023) — Fiscal Federalism: The Interaction between Own Revenues and Intergovernmental Transfers in Local Governments - The Case of Municipalities in Buenos Aires. Informação no resumo: “Based on a sample for Argentina's local governments, specifically the 135 municipalities of the province of Buenos Aires, we find…”.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513A38C" w14:textId="77777777" w:rsidR="00A56BF1" w:rsidRDefault="00000000">
      <w:pPr>
        <w:spacing w:after="100"/>
      </w:pPr>
      <w:r>
        <w:t xml:space="preserve">Bracco et al. (2015) — Intergovernmental grants as signals and the alignment effect: Theory and evidence. Informação no resumo: “This paper provides a simple political agency model to explain the effect of political alignment between different tiers of government…”. Leitura crítica: contribui ao eixo transferências, incentivos e receitas locais, mas o alcance </w:t>
      </w:r>
      <w:proofErr w:type="gramStart"/>
      <w:r>
        <w:lastRenderedPageBreak/>
        <w:t>para Rio de Janeiro</w:t>
      </w:r>
      <w:proofErr w:type="gramEnd"/>
      <w:r>
        <w:t>, Niterói e França depende de definição de variável, período e contexto institucional.</w:t>
      </w:r>
    </w:p>
    <w:p w14:paraId="7D75F285" w14:textId="77777777" w:rsidR="00A56BF1" w:rsidRDefault="00000000">
      <w:pPr>
        <w:spacing w:after="100"/>
      </w:pPr>
      <w:r>
        <w:t xml:space="preserve">Dalle Nogare e Kauder (2017) — Term limits for mayors and intergovernmental grants: Evidence from Italian cities. Informação no resumo: “We provide evidence that electoral incentives distort rather than discipline incumbent mayors’ behavior because transfers are higher before an election…”.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0E5CF27" w14:textId="77777777" w:rsidR="00A56BF1" w:rsidRDefault="00000000">
      <w:pPr>
        <w:spacing w:after="100"/>
      </w:pPr>
      <w:r>
        <w:t xml:space="preserve">Kluza e Wójtowicz (2025) — Intergovernmental Transfers as Determinants of Municipal Fiscal Sustainability: A Review of Theory and Empirical Evidence from Polish Municipalities. Informação no resumo: “Results show that general subsidies crowd out local tax revenues, particularly in less developed municipalities, while targeted grants strengthen the…”.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B48E84D" w14:textId="77777777" w:rsidR="00A56BF1" w:rsidRDefault="00000000">
      <w:pPr>
        <w:spacing w:after="100"/>
      </w:pPr>
      <w:r>
        <w:t xml:space="preserve">Sacchi e Salotti (2017) — The influence of decentralized taxes and intergovernmental grants on local spending volatility. Informação no resumo: “These findings suggest that making local governments rely more on grants than own tax revenues adversely affects their spending stability”.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704C9B5" w14:textId="77777777" w:rsidR="00A56BF1" w:rsidRDefault="00000000">
      <w:pPr>
        <w:spacing w:after="100"/>
      </w:pPr>
      <w:r>
        <w:t xml:space="preserve">Masaki (2018) — The impact of intergovernmental transfers on local revenue generation in Sub-Saharan Africa: Evidence from Tanzania. Informação no resumo: “Do intergovernmental transfers reduce revenues collected by local government authorities (LGAs)?”. Leitura crítica: contribui ao eixo transferências, incentivos e receitas locais,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DBB08C8" w14:textId="77777777" w:rsidR="00A56BF1" w:rsidRDefault="00000000">
      <w:pPr>
        <w:pStyle w:val="Ttulo2"/>
      </w:pPr>
      <w:bookmarkStart w:id="23" w:name="_Toc243761964"/>
      <w:r>
        <w:rPr>
          <w:rFonts w:ascii="Times New Roman" w:eastAsia="Times New Roman" w:hAnsi="Times New Roman" w:cs="Times New Roman"/>
        </w:rPr>
        <w:t>8.4. Descentralização, autonomia e capacidade fiscal</w:t>
      </w:r>
      <w:bookmarkEnd w:id="23"/>
    </w:p>
    <w:p w14:paraId="1B4CCD4E" w14:textId="77777777" w:rsidR="00A56BF1" w:rsidRDefault="00000000">
      <w:pPr>
        <w:spacing w:after="100"/>
      </w:pPr>
      <w:r>
        <w:t xml:space="preserve">de Sousa e Do Monte (2021) — Public expenditure composition and fiscal decentralization in Brazilian local governments: an analysis through unconditional quantile regression with longitudinal data; [Composição do gasto público e descentralização fiscal em governos locais brasileiros: uma análise por regressão quantílica incondicional com dados </w:t>
      </w:r>
      <w:r>
        <w:lastRenderedPageBreak/>
        <w:t xml:space="preserve">longitudinais]; [Composición del gasto público y descentralización fiscal en los gobiernos locales brasileños: un análisis por regresión cuantílica incondicional con datos longitudinales]. Informação no resumo: “This paper investigates the effect of increasing fiscal decentralization on the composition of public expenditures of Brazilian local governments”.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C6CEB58" w14:textId="77777777" w:rsidR="00A56BF1" w:rsidRDefault="00000000">
      <w:pPr>
        <w:spacing w:after="100"/>
      </w:pPr>
      <w:r>
        <w:t xml:space="preserve">Turley (2025) — Local government finance in Ireland: The four pillars of fiscal decentralisation. Informação no resumo: “This article outlines Ireland's system of local government finance using a conceptual framework drawn from the fiscal federalism and municipal…”.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98D9026" w14:textId="77777777" w:rsidR="00A56BF1" w:rsidRDefault="00000000">
      <w:pPr>
        <w:spacing w:after="100"/>
      </w:pPr>
      <w:r>
        <w:t xml:space="preserve">Cardoso et al. (2023) — Lessons from Brazil's unsuccessful fiscal decentralization policy to fight COVID-19. Informação no resumo: “The findings have implications for policymakers and literature since they represent inadequate vertical coordination that followed a path dependence on…”.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6DFBAFA" w14:textId="77777777" w:rsidR="00A56BF1" w:rsidRDefault="00000000">
      <w:pPr>
        <w:spacing w:after="100"/>
      </w:pPr>
      <w:r>
        <w:t xml:space="preserve">Li (2018) — Asymmetric decentralization, intergovernmental transfers, and expenditure policies of local governments. Informação no resumo: “Although China's asymmetric fiscal decentralization system has been criticized for many years, there have been few studies giving direct evidence…”.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014D300" w14:textId="77777777" w:rsidR="00A56BF1" w:rsidRDefault="00000000">
      <w:pPr>
        <w:spacing w:after="100"/>
      </w:pPr>
      <w:r>
        <w:t xml:space="preserve">Machado et al. (2024) — Brazilian fiscal decentralization: budget priorities from an agenda-setting perspective; [Descentralização fiscal brasileira: as prioridades orçamentárias sob a perspectiva de agenda-setting]. Informação no resumo: “Results: Our findings suggest that, according to Punctuated Equilibrium Theory, fiscal decentralization by the federal government generally occurs gradually, with…”.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9EF7A18" w14:textId="77777777" w:rsidR="00A56BF1" w:rsidRDefault="00000000">
      <w:pPr>
        <w:spacing w:after="100"/>
      </w:pPr>
      <w:r>
        <w:lastRenderedPageBreak/>
        <w:t xml:space="preserve">Bucci et al. (2024) — Local government spending efficiency and fiscal decentralization: evidence from Italian municipalities. Informação no resumo: “This article investigates the association between fiscal decentralization and municipality efficiency by conducting an empirical analysis focused on the Italian…”.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32BD56A" w14:textId="77777777" w:rsidR="00A56BF1" w:rsidRDefault="00000000">
      <w:pPr>
        <w:spacing w:after="100"/>
      </w:pPr>
      <w:r>
        <w:t xml:space="preserve">Bahl e Johannes (1994) — Fiscal decentralization and intergovernmental transfers in less developed countries. Informação no resumo: “We find that developing countries have more centralized fiscal structures and argue that this is consistent with the theory of…”.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3A73685" w14:textId="77777777" w:rsidR="00A56BF1" w:rsidRDefault="00000000">
      <w:pPr>
        <w:spacing w:after="100"/>
      </w:pPr>
      <w:r>
        <w:t xml:space="preserve">Timushev (2018) — Revenues, grants, and fiscal incentives-evaluation and the causes of decentralization effects in the budgetary system of Russia. Informação no resumo: “The concept of the flypaper effect is used in analyzing fiscal incentives of the budgets of subjects of the Russian…”.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0E3859F" w14:textId="77777777" w:rsidR="00A56BF1" w:rsidRDefault="00000000">
      <w:pPr>
        <w:spacing w:after="100"/>
      </w:pPr>
      <w:r>
        <w:t xml:space="preserve">Mogues e Benin (2012) — Do External Grants to District Governments Discourage Own Revenue Generation? A Look at Local Public Finance Dynamics in Ghana. Informação no resumo: “We find that despite an incentive scheme built into one of the major intergovernmental grants, the flow of all grants…”.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38A27F6" w14:textId="77777777" w:rsidR="00A56BF1" w:rsidRDefault="00000000">
      <w:pPr>
        <w:spacing w:after="100"/>
      </w:pPr>
      <w:r>
        <w:t xml:space="preserve">Canikalp et al. (2021) — The effects of fiscal decentralization on general and local government size: Does composite index </w:t>
      </w:r>
      <w:proofErr w:type="gramStart"/>
      <w:r>
        <w:t>matter?.</w:t>
      </w:r>
      <w:proofErr w:type="gramEnd"/>
      <w:r>
        <w:t xml:space="preserve"> Informação no resumo: “Our results consistently suggest that fiscal decentralization does not exert a significant impact on general government size”. Leitura crítica: contribui ao eixo descentralização, autonomia e capacidade fiscal,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62BE44E" w14:textId="77777777" w:rsidR="00A56BF1" w:rsidRDefault="00000000">
      <w:pPr>
        <w:pStyle w:val="Ttulo2"/>
      </w:pPr>
      <w:bookmarkStart w:id="24" w:name="_Toc243761965"/>
      <w:r>
        <w:rPr>
          <w:rFonts w:ascii="Times New Roman" w:eastAsia="Times New Roman" w:hAnsi="Times New Roman" w:cs="Times New Roman"/>
        </w:rPr>
        <w:lastRenderedPageBreak/>
        <w:t>8.5. Instituições, política e accountability</w:t>
      </w:r>
      <w:bookmarkEnd w:id="24"/>
    </w:p>
    <w:p w14:paraId="1CE2594F" w14:textId="77777777" w:rsidR="00A56BF1" w:rsidRDefault="00000000">
      <w:pPr>
        <w:spacing w:after="100"/>
      </w:pPr>
      <w:r>
        <w:t xml:space="preserve">Rios et al. (2022) — What shapes the flypaper effect? The role of the political environment in the budget process. Informação no resumo: “Our results suggest that municipalities with higher tax collection efficiency and where local governments have more political strength exhibit a…”.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288DE6D" w14:textId="77777777" w:rsidR="00A56BF1" w:rsidRDefault="00000000">
      <w:pPr>
        <w:spacing w:after="100"/>
      </w:pPr>
      <w:r>
        <w:t xml:space="preserve">Borck e Owings (2003) — The political economy of intergovernmental grants. Informação no resumo: “Using data from California counties, we find support for our model. 2002 Elsevier Science B.V”.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7C9D450" w14:textId="77777777" w:rsidR="00A56BF1" w:rsidRDefault="00000000">
      <w:pPr>
        <w:spacing w:after="100"/>
      </w:pPr>
      <w:r>
        <w:t xml:space="preserve">Baskaran e Hessami (2017) — Political alignment and intergovernmental transfers in parliamentary systems: evidence from Germany. Informação no resumo: “In line with this argument, we show empirically that the effect of political alignment on grant receipts varies depending on…”.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4E2DD4D" w14:textId="77777777" w:rsidR="00A56BF1" w:rsidRDefault="00000000">
      <w:pPr>
        <w:spacing w:after="100"/>
      </w:pPr>
      <w:r>
        <w:t xml:space="preserve">Psycharis et al. (2021) — Beyond the socio-economic use of fiscal transfers: The role of political factors in Greek intergovernmental grant allocations. Informação no resumo: “Results show that political considerations exert a statistically significant influence over the allocation of state grants to local government”.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E509D74" w14:textId="77777777" w:rsidR="00A56BF1" w:rsidRDefault="00000000">
      <w:pPr>
        <w:spacing w:after="100"/>
      </w:pPr>
      <w:r>
        <w:t xml:space="preserve">Abatemarco e Dell’Anno (2020) — Fiscal illusion and progressive taxation with retrospective voting. Informação no resumo: “Given electoral and constitutional constraints, we show that the design of the tax system can be sensibly affected by fiscal…”.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5B533BF" w14:textId="77777777" w:rsidR="00A56BF1" w:rsidRDefault="00000000">
      <w:pPr>
        <w:spacing w:after="100"/>
      </w:pPr>
      <w:r>
        <w:t xml:space="preserve">Kim e Park (2021) — Political determination of intergovernmental grants: Evidence from the general shared tax in South Korea. Informação no resumo: “We found that political influence, based on the political ideology of the municipal government chief, which is the </w:t>
      </w:r>
      <w:r>
        <w:lastRenderedPageBreak/>
        <w:t xml:space="preserve">same as…”.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38F0099" w14:textId="77777777" w:rsidR="00A56BF1" w:rsidRDefault="00000000">
      <w:pPr>
        <w:spacing w:after="100"/>
      </w:pPr>
      <w:r>
        <w:t xml:space="preserve">Yang (2022) — Fiscal transparency or fiscal illusion? Housing and credit market responses to fiscal monitoring. Informação no resumo: “Nongovernmental stakeholders, including taxpayers and investors of government bonds, have an interest in government financial information”.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016E218" w14:textId="77777777" w:rsidR="00A56BF1" w:rsidRDefault="00000000">
      <w:pPr>
        <w:spacing w:after="100"/>
      </w:pPr>
      <w:r>
        <w:t xml:space="preserve">Gemmell et al. (2002) — Fiscal illusion and political accountability: Theory and evidence from two local tax regimes in Britain. Informação no resumo: “We find strong evidence of grant illusion (the flypaper effect), similar across tax regimes, with evidence of renter illusion and…”.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8EC9DF2" w14:textId="77777777" w:rsidR="00A56BF1" w:rsidRDefault="00000000">
      <w:pPr>
        <w:spacing w:after="100"/>
      </w:pPr>
      <w:r>
        <w:t xml:space="preserve">Thuy e Lim (2023) — The Determinants of Fiscal Transparency in Vietnamese Local Governments. Informação no resumo: “The results indicate that local government expenditure, taxes and population size are positively associated with fiscal transparency, while fiscal surplus…”. Leitura crítica: contribui ao eixo instituições, política e accountability,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4873FD9E" w14:textId="77777777" w:rsidR="00A56BF1" w:rsidRDefault="00000000">
      <w:pPr>
        <w:pStyle w:val="Ttulo2"/>
      </w:pPr>
      <w:bookmarkStart w:id="25" w:name="_Toc243761966"/>
      <w:r>
        <w:rPr>
          <w:rFonts w:ascii="Times New Roman" w:eastAsia="Times New Roman" w:hAnsi="Times New Roman" w:cs="Times New Roman"/>
        </w:rPr>
        <w:t>8.6. Brasil e América Latina</w:t>
      </w:r>
      <w:bookmarkEnd w:id="25"/>
    </w:p>
    <w:p w14:paraId="24D572C9" w14:textId="77777777" w:rsidR="00A56BF1" w:rsidRDefault="00000000">
      <w:pPr>
        <w:spacing w:after="100"/>
      </w:pPr>
      <w:r>
        <w:t xml:space="preserve">Alves e Araujo (2024) — The effects of intergovernmental transfers on the local fiscal incentives of Brazilian municipalities. Informação no resumo: “These results indicate that the transfers generate only perverse incentives”.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2BA16170" w14:textId="77777777" w:rsidR="00A56BF1" w:rsidRDefault="00000000">
      <w:pPr>
        <w:spacing w:after="100"/>
      </w:pPr>
      <w:r>
        <w:t xml:space="preserve">Ortega e De La Rosa (2022) — Flypaper Effect: The Colombian Municipalities Case for 2000-2017; [L'effet flypaper: une étude de cas pour les communes colombiennes pour la période 2000-2017]; [Efecto flypaper: estudio de caso para los municipios colombianos, periodo 2000-2017]. Informação no resumo: “This article was elaborated to test the "flypaper effect" and the asymmetry effect of fiscal replacement in the municipalities of…”. Leitura </w:t>
      </w:r>
      <w:r>
        <w:lastRenderedPageBreak/>
        <w:t xml:space="preserve">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923C60C" w14:textId="77777777" w:rsidR="00A56BF1" w:rsidRDefault="00000000">
      <w:pPr>
        <w:spacing w:after="100"/>
      </w:pPr>
      <w:r>
        <w:t xml:space="preserve">Castro e Mattos (2021) — Measuring Fiscal Spillovers in Brazilian Municipalities. Informação no resumo: “This article documents fiscal spillovers after an exogenous increase in the main federal transfer to Brazilian municipalities”.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C71BBB0" w14:textId="77777777" w:rsidR="00A56BF1" w:rsidRDefault="00000000">
      <w:pPr>
        <w:spacing w:after="100"/>
      </w:pPr>
      <w:r>
        <w:t xml:space="preserve">Acosta (2010) — The "flypaper effect" in presence of spatial interdependence: Evidence from Argentinean municipalities. Informação no resumo: “The "flypaper effect", when an unconditional lump-sum grant to a local government increases spending in a greater proportion than an…”.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23A160B" w14:textId="77777777" w:rsidR="00A56BF1" w:rsidRDefault="00000000">
      <w:pPr>
        <w:spacing w:after="100"/>
      </w:pPr>
      <w:r>
        <w:t xml:space="preserve">Ferreira et al. (2019) — EFFECTS OF FEDERAL CONSTITUTIONAL GRANTS IN BRAZILIAN MUNICIPALITIES. Informação no resumo: “The objective of the present study is to verify the flypaper effect of 476 Brazilian municipalities from 2005 to 2012…”.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96C8C4D" w14:textId="77777777" w:rsidR="00A56BF1" w:rsidRDefault="00000000">
      <w:pPr>
        <w:spacing w:after="100"/>
      </w:pPr>
      <w:r>
        <w:t xml:space="preserve">Melo (2002) — The flypaper effect under different institutional contexts: The Colombian case. Informação no resumo: “The results show that the flypaper effect is observed when sub-national entities are highly dependent on intergovernmental transfers”.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44F1374" w14:textId="77777777" w:rsidR="00A56BF1" w:rsidRDefault="00000000">
      <w:pPr>
        <w:spacing w:after="100"/>
      </w:pPr>
      <w:r>
        <w:t xml:space="preserve">Mattos et al. (2018) — Grants and dispersion of local education spending in Brazil. Informação no resumo: “Grants and dispersion of local education spending in Brazil”.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8AA2CCC" w14:textId="77777777" w:rsidR="00A56BF1" w:rsidRDefault="00000000">
      <w:pPr>
        <w:spacing w:after="100"/>
      </w:pPr>
      <w:r>
        <w:t xml:space="preserve">De Mello Jr (2002) — Public finance, government spending and economic growth: The case of local governments in Brazil. Informação no resumo: “The impact of local government spending on output growth is estimated using a panel of Brazilian municipalities during 1985-1994”. Leitura crítica: contribui ao eixo brasil e américa latina, mas o alcance </w:t>
      </w:r>
      <w:proofErr w:type="gramStart"/>
      <w:r>
        <w:lastRenderedPageBreak/>
        <w:t>para Rio de Janeiro</w:t>
      </w:r>
      <w:proofErr w:type="gramEnd"/>
      <w:r>
        <w:t>, Niterói e França depende de definição de variável, período e contexto institucional.</w:t>
      </w:r>
    </w:p>
    <w:p w14:paraId="53855810" w14:textId="77777777" w:rsidR="00A56BF1" w:rsidRDefault="00000000">
      <w:pPr>
        <w:spacing w:after="100"/>
      </w:pPr>
      <w:r>
        <w:t xml:space="preserve">do Valle e Gomes (2014) — Analyzing the importance of financial resources for educational effectiveness: The case of Brazil. Informação no resumo: “Purpose: Much has been done in the public organization performance management field and there are some established theories that account…”.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D90425E" w14:textId="77777777" w:rsidR="00A56BF1" w:rsidRDefault="00000000">
      <w:pPr>
        <w:spacing w:after="100"/>
      </w:pPr>
      <w:r>
        <w:t xml:space="preserve">Araújo et al. (2017) — Brazilian municipalities and their own expenditures on health: Some associations; [Os municípios brasileiros e os gastos próprios com saúde: Algumas associações]. Informação no resumo: “In a context that combines decentralization and underfunding of public health policy, Brazilian municipalities expressively extend their spending in this…”. Leitura crítica: contribui ao eixo brasil e américa latina,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24EE0D8" w14:textId="77777777" w:rsidR="00A56BF1" w:rsidRDefault="00000000">
      <w:pPr>
        <w:pStyle w:val="Ttulo2"/>
      </w:pPr>
      <w:bookmarkStart w:id="26" w:name="_Toc243761967"/>
      <w:r>
        <w:rPr>
          <w:rFonts w:ascii="Times New Roman" w:eastAsia="Times New Roman" w:hAnsi="Times New Roman" w:cs="Times New Roman"/>
        </w:rPr>
        <w:t>8.7. Receitas extrativas e choques de receita</w:t>
      </w:r>
      <w:bookmarkEnd w:id="26"/>
    </w:p>
    <w:p w14:paraId="0714B05D" w14:textId="77777777" w:rsidR="00A56BF1" w:rsidRDefault="00000000">
      <w:pPr>
        <w:spacing w:after="100"/>
      </w:pPr>
      <w:r>
        <w:t xml:space="preserve">Maldonado e Ardanaz (2023) — Natural resource windfalls and efficiency in local government expenditure: Evidence from Peru. Informação no resumo: “We study the role of natural resource windfalls in explaining the technical efficiency of public expenditure”. Leitura crítica: contribui ao eixo receitas extrativas e choques de receita,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FBE96DC" w14:textId="77777777" w:rsidR="00A56BF1" w:rsidRDefault="00000000">
      <w:pPr>
        <w:spacing w:after="100"/>
      </w:pPr>
      <w:r>
        <w:t xml:space="preserve">Agüero et al. (2021) — The value of redistribution: Natural resources and the formation of human capital under weak institutions. Informação no resumo: “Combining test scores from over two million students and district-level administrative data of mining taxes redistributed to local governments, we…”. Leitura crítica: contribui ao eixo receitas extrativas e choques de receita,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DAE3CCF" w14:textId="77777777" w:rsidR="00A56BF1" w:rsidRDefault="00000000">
      <w:pPr>
        <w:spacing w:after="100"/>
      </w:pPr>
      <w:r>
        <w:t xml:space="preserve">Larraín e Perelló (2019) — Resource windfalls and public sector employment: Evidence from municipalities in Chile. Informação no resumo: “Our results also have several implications for the fiscal decentralization debate in resource-abundant economies. 2019, Brookings Institution Press”. Leitura crítica: contribui ao eixo receitas extrativas e choques de </w:t>
      </w:r>
      <w:r>
        <w:lastRenderedPageBreak/>
        <w:t xml:space="preserve">receita,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705F7E3A" w14:textId="77777777" w:rsidR="00A56BF1" w:rsidRDefault="00000000">
      <w:pPr>
        <w:spacing w:after="100"/>
      </w:pPr>
      <w:r>
        <w:t xml:space="preserve">Timushev (2020) — Fiscal powers of municipalities in Russia’s resource-rich regions and fixed capital investment. Informação no resumo: “The article considers the nature and limits of the impact local fiscal decentralization exerts on private fixed capital investments in…”. Leitura crítica: contribui ao eixo receitas extrativas e choques de receita,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1A7A7DA5" w14:textId="77777777" w:rsidR="00A56BF1" w:rsidRDefault="00000000">
      <w:pPr>
        <w:spacing w:after="100"/>
      </w:pPr>
      <w:r>
        <w:t xml:space="preserve">Kim e Oh (2016) — Local Managerial Strategies for External Versus Own Source Fiscal Resources: Do Administrators’ Previous Career and Education </w:t>
      </w:r>
      <w:proofErr w:type="gramStart"/>
      <w:r>
        <w:t>Matter?.</w:t>
      </w:r>
      <w:proofErr w:type="gramEnd"/>
      <w:r>
        <w:t xml:space="preserve"> Informação no resumo: “Our findings suggest that local managers’ individual characteristics are an integral component of the game between the central and subnational…”. Leitura crítica: contribui ao eixo receitas extrativas e choques de receita,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832DF1B" w14:textId="77777777" w:rsidR="00A56BF1" w:rsidRDefault="00000000">
      <w:pPr>
        <w:spacing w:after="100"/>
      </w:pPr>
      <w:r>
        <w:t xml:space="preserve">Zheng et al. (2023) — Examining the Impact of Fiscal Resources on Anti-Poverty Expenditure: Evidence from China. Informação no resumo: “Using the fixed effect model, we show that local governments will put more fiscal resources into the minimum living standard…”. Leitura crítica: contribui ao eixo receitas extrativas e choques de receita,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02A6098C" w14:textId="77777777" w:rsidR="00A56BF1" w:rsidRDefault="00000000">
      <w:pPr>
        <w:pStyle w:val="Ttulo2"/>
      </w:pPr>
      <w:bookmarkStart w:id="27" w:name="_Toc243761968"/>
      <w:r>
        <w:rPr>
          <w:rFonts w:ascii="Times New Roman" w:eastAsia="Times New Roman" w:hAnsi="Times New Roman" w:cs="Times New Roman"/>
        </w:rPr>
        <w:t>8.8. Experiências comparativas internacionais</w:t>
      </w:r>
      <w:bookmarkEnd w:id="27"/>
    </w:p>
    <w:p w14:paraId="36C8E134" w14:textId="77777777" w:rsidR="00A56BF1" w:rsidRDefault="00000000">
      <w:pPr>
        <w:spacing w:after="100"/>
      </w:pPr>
      <w:r>
        <w:t xml:space="preserve">Strumpf (1998) — A predictive index for the flypaper effect. Informação no resumo: “It is well established that lump-sum public grants boost local government spending more than an equivalent increase in private income…”. Leitura crítica: contribui ao eixo experiências comparativas internacionais,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3745B36" w14:textId="77777777" w:rsidR="00A56BF1" w:rsidRDefault="00000000">
      <w:pPr>
        <w:spacing w:after="100"/>
      </w:pPr>
      <w:r>
        <w:t xml:space="preserve">Guziejewska (2021) — A comparative approach to fiscal illusions: A synthesis of the conclusions from a polish study in relation to new ideas and empirical research in selected countries; [Iluzje fiskalne w ujęciu porównawczym: synteza wyników badań w Polsce na tle nowych podejść i badań empirycznych wybranych krajów]. Informação no resumo: “It presents a synthesis of the findings from a Polish empirical study that set out to determine the types and…”. Leitura crítica: contribui ao eixo experiências comparativas internacionais, mas </w:t>
      </w:r>
      <w:r>
        <w:lastRenderedPageBreak/>
        <w:t xml:space="preserve">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31DC16DC" w14:textId="77777777" w:rsidR="00A56BF1" w:rsidRDefault="00000000">
      <w:pPr>
        <w:spacing w:after="100"/>
      </w:pPr>
      <w:r>
        <w:t xml:space="preserve">Brennan e Pincush (1996) — A minimalist model of federal grants and flypaper effects. Informação no resumo: “This paper shows that 'flypaper effects' can be observed for unconditional federal grants, even in the absence of agenda-setters, voting…”. Leitura crítica: contribui ao eixo experiências comparativas internacionais,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365D381" w14:textId="77777777" w:rsidR="00A56BF1" w:rsidRDefault="00000000">
      <w:pPr>
        <w:spacing w:after="100"/>
      </w:pPr>
      <w:r>
        <w:t xml:space="preserve">Masiero e Santarossa (2020) — Earthquakes, grants, and public expenditure: How municipalities respond to natural disasters. Informação no resumo: “We find evidence of increasing expenditure for about 12 years after the shocks, with asymmetric responses between earthquake-related and unconditional…”. Leitura crítica: contribui ao eixo experiências comparativas internacionais,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546FF70B" w14:textId="77777777" w:rsidR="00A56BF1" w:rsidRDefault="00000000">
      <w:pPr>
        <w:spacing w:after="100"/>
      </w:pPr>
      <w:r>
        <w:t xml:space="preserve">Espinosa (2011) — Mexican Flypaper: Money Sticks Where </w:t>
      </w:r>
      <w:proofErr w:type="gramStart"/>
      <w:r>
        <w:t>it</w:t>
      </w:r>
      <w:proofErr w:type="gramEnd"/>
      <w:r>
        <w:t xml:space="preserve"> </w:t>
      </w:r>
      <w:proofErr w:type="gramStart"/>
      <w:r>
        <w:t>Hits..</w:t>
      </w:r>
      <w:proofErr w:type="gramEnd"/>
      <w:r>
        <w:t xml:space="preserve"> But Every </w:t>
      </w:r>
      <w:proofErr w:type="gramStart"/>
      <w:r>
        <w:t>Time?.</w:t>
      </w:r>
      <w:proofErr w:type="gramEnd"/>
      <w:r>
        <w:t xml:space="preserve"> Informação no resumo: “This article uses the flypaper effect theory to analyze the asymmetric effect of revenue-sharing transfers on spending by state governments…”. Leitura crítica: contribui ao eixo experiências comparativas internacionais, mas o alcance </w:t>
      </w:r>
      <w:proofErr w:type="gramStart"/>
      <w:r>
        <w:t>para Rio de Janeiro</w:t>
      </w:r>
      <w:proofErr w:type="gramEnd"/>
      <w:r>
        <w:t>, Niterói e França depende de definição de variável, período e contexto institucional.</w:t>
      </w:r>
    </w:p>
    <w:p w14:paraId="66655283" w14:textId="77777777" w:rsidR="00A56BF1" w:rsidRDefault="00000000">
      <w:pPr>
        <w:pStyle w:val="Ttulo1"/>
      </w:pPr>
      <w:bookmarkStart w:id="28" w:name="_Toc243761969"/>
      <w:r>
        <w:rPr>
          <w:rFonts w:ascii="Times New Roman" w:eastAsia="Times New Roman" w:hAnsi="Times New Roman" w:cs="Times New Roman"/>
        </w:rPr>
        <w:t>Referências científicas</w:t>
      </w:r>
      <w:bookmarkEnd w:id="28"/>
    </w:p>
    <w:p w14:paraId="581B4C8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Abatemarco, Antonio; Dell’Anno, Roberto. Fiscal illusion and progressive taxation with retrospective voting. Economic and Political Studies, v. 8, n. 2, p. 246 - 273, 2020. DOI: https://doi.org/10.1080/20954816.2020.1728831</w:t>
      </w:r>
    </w:p>
    <w:p w14:paraId="2A54725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Acosta, Pablo. The "flypaper effect" in presence of spatial interdependence: Evidence from Argentinean municipalities. Annals of Regional Science, v. 44, n. 3, p. 453 - 466, 2010. DOI: https://doi.org/10.1007/s00168-008-0277-0</w:t>
      </w:r>
    </w:p>
    <w:p w14:paraId="04B391D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Agüero, Jorge M.; Balcázar, Carlos Felipe; Maldonado, Stanislao; Ñopo, Hugo. The value of redistribution: Natural resources and the formation of human capital under weak institutions. Journal of Development Economics, v. 148, n. s.n., p. n.d., 2021. DOI: https://doi.org/10.1016/j.jdeveco.2020.102581</w:t>
      </w:r>
    </w:p>
    <w:p w14:paraId="77EF4A02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Alves, Pedro Jorge Holanda Figueiredo; Araujo, Jevuks Matheus. The effects of intergovernmental transfers on the local fiscal incentives of Brazilian municipalities. Journal of Government and Economics, v. 13, n. s.n., p. n.d., 2024. DOI: https://doi.org/10.1016/j.jge.2024.100104</w:t>
      </w:r>
    </w:p>
    <w:p w14:paraId="31F72B8F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Amusa, Hammed; Mabunda, Robert; Mabugu, Ramos. Fiscal illusion at the local sphere: An empirical test of the flypaper effect using South African municipal data. South African </w:t>
      </w:r>
      <w:r>
        <w:rPr>
          <w:sz w:val="24"/>
        </w:rPr>
        <w:lastRenderedPageBreak/>
        <w:t>Journal of Economics, v. 76, n. 3, p. 443 - 465, 2008. DOI: https://doi.org/10.1111/j.1813-6982.2008.00205.x</w:t>
      </w:r>
    </w:p>
    <w:p w14:paraId="724ED81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Araújo, Carmem Emmanuely Leitão; Gonçalves, Guilherme Quaresma; Machado, José Angelo. Brazilian municipalities and their own expenditures on health: Some associations; [Os municípios brasileiros e os gastos próprios com saúde: Algumas associações]. Ciencia e Saude Coletiva, v. 22, n. 3, p. 953 - 963, 2017. DOI: https://doi.org/10.1590/1413-81232017223.15542016</w:t>
      </w:r>
    </w:p>
    <w:p w14:paraId="55C53E6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Bae, Sang-Seok; Feiock, Richard </w:t>
      </w:r>
      <w:proofErr w:type="gramStart"/>
      <w:r>
        <w:rPr>
          <w:sz w:val="24"/>
        </w:rPr>
        <w:t>C..</w:t>
      </w:r>
      <w:proofErr w:type="gramEnd"/>
      <w:r>
        <w:rPr>
          <w:sz w:val="24"/>
        </w:rPr>
        <w:t xml:space="preserve"> The flypaper effect revisited: Intergovernmental grants and local governance. International Journal of Public Administration, v. 27, n. 8-9, p. 577 - 596, 2004. DOI: https://doi.org/10.1081/PAD-120030256</w:t>
      </w:r>
    </w:p>
    <w:p w14:paraId="0AF7D10F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Baekgaard, Martin; Kjaergaard, Marie. Intergovernmental Grants and Public Expenditures: Evidence from a Survey Experiment. Local Government Studies, v. 42, n. 2, p. 189 - 207, 2016. DOI: https://doi.org/10.1080/03003930.2015.1110521</w:t>
      </w:r>
    </w:p>
    <w:p w14:paraId="601BE58B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Bahl, Roy; Johannes, Linn. Fiscal decentralization and intergovernmental transfers in less developed countries. Publius, v. 24, n. 1, p. 1 - 20, 1994. DOI: https://doi.org/10.2307/3330701</w:t>
      </w:r>
    </w:p>
    <w:p w14:paraId="2941EF12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Baskaran, Thushyanthan. Intergovernmental transfers, local fiscal policy, and the flypaper effect: Evidence from a German state. FinanzArchiv, v. 72, n. 1, p. 1 - 40, 2016. DOI: https://doi.org/10.1628/001522116X14462054864882</w:t>
      </w:r>
    </w:p>
    <w:p w14:paraId="617D5CC1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Baskaran, Thushyanthan; Hessami, Zohal. Political alignment and intergovernmental transfers in parliamentary systems: evidence from Germany. Public Choice, v. 171, n. 1-2, p. 75 - 98, 2017. DOI: https://doi.org/10.1007/s11127-016-0398-4</w:t>
      </w:r>
    </w:p>
    <w:p w14:paraId="215C427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Bastida, Francisco; Estrada, Lorenzo; Guillamón, María-Dolores. Flypaper effect and partisanship theories best explain municipal financial performance in Latin America. Policy Studies, v. 43, n. 6, p. 1298 - 1321, 2022. DOI: https://doi.org/10.1080/01442872.2021.1982887</w:t>
      </w:r>
    </w:p>
    <w:p w14:paraId="6B6D92D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Becker, Elizabeth. The illusion of fiscal illusion: Unsticking the flypaper effect. Public Choice, v. 86, n. 1-2, p. 85 - 102, 1996. DOI: https://doi.org/10.1007/BF00114876</w:t>
      </w:r>
    </w:p>
    <w:p w14:paraId="65A7E965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Borck, Rainald; Owings, Stephanie. The political economy of intergovernmental grants. Regional Science and Urban Economics, v. 33, n. 2, p. 139 - 156, 2003. DOI: https://doi.org/10.1016/S0166-0462(02)00005-4</w:t>
      </w:r>
    </w:p>
    <w:p w14:paraId="75B1C20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Bracco, Emanuele; Lockwood, Ben; Porcelli, Francesco; Redoano, Michela. Intergovernmental grants as signals and the alignment effect: Theory and evidence. Journal of Public Economics, v. 123, n. s.n., p. 78 - 91, 2015. DOI: https://doi.org/10.1016/j.jpubeco.2014.11.007</w:t>
      </w:r>
    </w:p>
    <w:p w14:paraId="3F6E37F3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Brennan, G.; Pincush, </w:t>
      </w:r>
      <w:proofErr w:type="gramStart"/>
      <w:r>
        <w:rPr>
          <w:sz w:val="24"/>
        </w:rPr>
        <w:t>J.J..</w:t>
      </w:r>
      <w:proofErr w:type="gramEnd"/>
      <w:r>
        <w:rPr>
          <w:sz w:val="24"/>
        </w:rPr>
        <w:t xml:space="preserve"> A minimalist model of federal grants and flypaper effects. Journal of Public Economics, v. 61, n. 2, p. 229 - 246, 1996. DOI: https://doi.org/10.1016/0047-2727(95)01543-4</w:t>
      </w:r>
    </w:p>
    <w:p w14:paraId="02654D35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Bucci, Valeria; Ferrara, Giancarlo; Resce, Giuliano. Local government spending efficiency and fiscal decentralization: evidence from Italian municipalities. Applied Economics, v. 56, n. 5, p. 599 - 614, 2024. DOI: https://doi.org/10.1080/00036846.2023.2169241</w:t>
      </w:r>
    </w:p>
    <w:p w14:paraId="034F9B43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Canikalp, Ebru; Turan, Taner; Ünlükaplan, İlter. The effects of fiscal decentralization on general and local government size: Does composite index </w:t>
      </w:r>
      <w:proofErr w:type="gramStart"/>
      <w:r>
        <w:rPr>
          <w:sz w:val="24"/>
        </w:rPr>
        <w:t>matter?.</w:t>
      </w:r>
      <w:proofErr w:type="gramEnd"/>
      <w:r>
        <w:rPr>
          <w:sz w:val="24"/>
        </w:rPr>
        <w:t xml:space="preserve"> Transylvanian Review of </w:t>
      </w:r>
      <w:r>
        <w:rPr>
          <w:sz w:val="24"/>
        </w:rPr>
        <w:lastRenderedPageBreak/>
        <w:t>Administrative Sciences, v. s.v., n. 64 E-October, p. 5 - 23, 2021. DOI: https://doi.org/10.24193/tras.64E.1</w:t>
      </w:r>
    </w:p>
    <w:p w14:paraId="200404E1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Cardoso, Ricardo Lopes; Azevedo, Ricardo Rocha de; Pigatto, José Alexandre Magrini; Fajardo, Bernardo de Abreu Guelber; Cunha, Armando Santos Moreira da. Lessons from Brazil's unsuccessful fiscal decentralization policy to fight COVID-19. Public Administration and Development, v. 43, n. 2, p. 106 - 119, 2023. DOI: https://doi.org/10.1002/pad.1990</w:t>
      </w:r>
    </w:p>
    <w:p w14:paraId="553BE44E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Castro, Marcelo; Mattos, Enlinson. Measuring Fiscal Spillovers in Brazilian Municipalities. Public Finance Review, v. 49, n. 2, p. 221 - 261, 2021. DOI: https://doi.org/10.1177/1091142121993522</w:t>
      </w:r>
    </w:p>
    <w:p w14:paraId="75B25BD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Cobo, M. J.; López-Herrera, A. G.; Herrera-Viedma, E.; Herrera, </w:t>
      </w:r>
      <w:proofErr w:type="gramStart"/>
      <w:r>
        <w:rPr>
          <w:sz w:val="24"/>
        </w:rPr>
        <w:t>F..</w:t>
      </w:r>
      <w:proofErr w:type="gramEnd"/>
      <w:r>
        <w:rPr>
          <w:sz w:val="24"/>
        </w:rPr>
        <w:t xml:space="preserve"> Science mapping software tools: Review, analysis, and cooperative study among tools. Journal of the American Society for Information Science and Technology, v. 62, n. 7, p. 1382-1402, 2011. DOI: https://doi.org/10.1002/asi.21525</w:t>
      </w:r>
    </w:p>
    <w:p w14:paraId="567A9A0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Cruz, Tassia; Silva, Talita. Minimum Spending in Education and the Flypaper Effect. Economics of Education Review, v. 77, n. s.n., p. n.d., 2020. DOI: https://doi.org/10.1016/j.econedurev.2020.102012</w:t>
      </w:r>
    </w:p>
    <w:p w14:paraId="3873E4A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Dahlberg, Matz; Mörk, Eva; Rattsø, Jørn; Ågren, Hanna. Using a discontinuous grant rule to identify the effect of grants on local taxes and spending. Journal of Public Economics, v. 92, n. 12, p. 2320-2335, 2008. DOI: https://doi.org/10.1016/j.jpubeco.2007.05.004</w:t>
      </w:r>
    </w:p>
    <w:p w14:paraId="5118641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Dahlby, Bev. The marginal cost of public funds and the flypaper effect. International Tax and Public Finance, v. 18, n. 3, p. 304 - 321, 2011. DOI: https://doi.org/10.1007/s10797-010-9160-x</w:t>
      </w:r>
    </w:p>
    <w:p w14:paraId="2FC3A1E4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Dahlby, Bev; Ferede, Ergete. The stimulative effects of intergovernmental grants and the marginal cost of public funds. International Tax and Public Finance, v. 23, n. 1, p. 114 - 139, 2016. DOI: https://doi.org/10.1007/s10797-015-9352-5</w:t>
      </w:r>
    </w:p>
    <w:p w14:paraId="7F2666C4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Dalle Nogare, Chiara; Kauder, Björn. Term limits for mayors and intergovernmental grants: Evidence from Italian cities. Regional Science and Urban Economics, v. 64, n. s.n., p. 1 - 11, 2017. DOI: https://doi.org/10.1016/j.regsciurbeco.2017.01.004</w:t>
      </w:r>
    </w:p>
    <w:p w14:paraId="7F415D38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De Mello Jr, Luiz </w:t>
      </w:r>
      <w:proofErr w:type="gramStart"/>
      <w:r>
        <w:rPr>
          <w:sz w:val="24"/>
        </w:rPr>
        <w:t>R..</w:t>
      </w:r>
      <w:proofErr w:type="gramEnd"/>
      <w:r>
        <w:rPr>
          <w:sz w:val="24"/>
        </w:rPr>
        <w:t xml:space="preserve"> Public finance, government spending and economic growth: The case of local governments in Brazil. Applied Economics, v. 34, n. 15, p. 1871 - 1883, 2002. DOI: https://doi.org/10.1080/00036840210128726</w:t>
      </w:r>
    </w:p>
    <w:p w14:paraId="09A21C7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de Sousa, Kleber Morais; Do Monte, Paulo Aguiar. Public expenditure composition and fiscal decentralization in Brazilian local governments: an analysis through unconditional quantile regression with longitudinal data; [Composição do gasto público e descentralização fiscal em governos locais brasileiros: uma análise por regressão quantílica incondicional com dados longitudinais]; [Composición del gasto público y descentralización fiscal en los gobiernos locales brasileños: un análisis por regresión cuantílica incondicional con datos longitudinales]. Revista de Administracao Publica, v. 55, n. 6, p. 1333 - 1354, 2021. DOI: https://doi.org/10.1590/0034-761220200864</w:t>
      </w:r>
    </w:p>
    <w:p w14:paraId="2B2AC318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do Valle, Andre Guimaraes Resende Martins; Gomes, Ricardo Corrêa. Analyzing the importance of financial resources for educational effectiveness: The case of Brazil. International Journal of Productivity and Performance Management, v. 63, n. 1, p. 4 - 21, 2014. DOI: https://doi.org/10.1108/IJPPM-08-2012-0085</w:t>
      </w:r>
    </w:p>
    <w:p w14:paraId="228B3C9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lastRenderedPageBreak/>
        <w:t>Dollery, Brian; Worthington, Andrew. Federal expenditure and fiscal Illusion: A test of the flypaper hypothesis in Australia. Publius, v. 25, n. 1, p. 23 - 34, 1995. DOI: https://doi.org/10.1093/oxfordjournals.pubjof.a038178</w:t>
      </w:r>
    </w:p>
    <w:p w14:paraId="52A07AFE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Dollery, Brian E.; Worthington, Andrew </w:t>
      </w:r>
      <w:proofErr w:type="gramStart"/>
      <w:r>
        <w:rPr>
          <w:sz w:val="24"/>
        </w:rPr>
        <w:t>C..</w:t>
      </w:r>
      <w:proofErr w:type="gramEnd"/>
      <w:r>
        <w:rPr>
          <w:sz w:val="24"/>
        </w:rPr>
        <w:t xml:space="preserve"> State expenditure and fiscal illusion in Australia: A test of the revenue complexity, revenue elasticity and flypaper hypotheses. Economic Analysis and Policy, v. 25, n. 2, p. 125 - 140, 1995. DOI: https://doi.org/10.1016/S0313-5926(95)50021-9</w:t>
      </w:r>
    </w:p>
    <w:p w14:paraId="719B521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Dollery, Brian E.; Worthington, Andrew </w:t>
      </w:r>
      <w:proofErr w:type="gramStart"/>
      <w:r>
        <w:rPr>
          <w:sz w:val="24"/>
        </w:rPr>
        <w:t>C..</w:t>
      </w:r>
      <w:proofErr w:type="gramEnd"/>
      <w:r>
        <w:rPr>
          <w:sz w:val="24"/>
        </w:rPr>
        <w:t xml:space="preserve"> The empirical analysis of fiscal illusion. Journal of Economic Surveys, v. 10, n. 3, p. 261 - 297, 1996. DOI: https://doi.org/10.1111/j.1467-6419.1996.tb00014.x</w:t>
      </w:r>
    </w:p>
    <w:p w14:paraId="6EA8305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Espinosa, Salvador. Mexican Flypaper: Money Sticks Where </w:t>
      </w:r>
      <w:proofErr w:type="gramStart"/>
      <w:r>
        <w:rPr>
          <w:sz w:val="24"/>
        </w:rPr>
        <w:t>it</w:t>
      </w:r>
      <w:proofErr w:type="gramEnd"/>
      <w:r>
        <w:rPr>
          <w:sz w:val="24"/>
        </w:rPr>
        <w:t xml:space="preserve"> </w:t>
      </w:r>
      <w:proofErr w:type="gramStart"/>
      <w:r>
        <w:rPr>
          <w:sz w:val="24"/>
        </w:rPr>
        <w:t>Hits..</w:t>
      </w:r>
      <w:proofErr w:type="gramEnd"/>
      <w:r>
        <w:rPr>
          <w:sz w:val="24"/>
        </w:rPr>
        <w:t xml:space="preserve"> But Every </w:t>
      </w:r>
      <w:proofErr w:type="gramStart"/>
      <w:r>
        <w:rPr>
          <w:sz w:val="24"/>
        </w:rPr>
        <w:t>Time?.</w:t>
      </w:r>
      <w:proofErr w:type="gramEnd"/>
      <w:r>
        <w:rPr>
          <w:sz w:val="24"/>
        </w:rPr>
        <w:t xml:space="preserve"> Latin American Policy, v. 2, n. 2, p. 122 - 136, 2011. DOI: https://doi.org/10.1111/j.2041-7373.2011.00036.x</w:t>
      </w:r>
    </w:p>
    <w:p w14:paraId="45525AAF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Ferreira, Lucas Oliveira Gomes; Serrano, André Luiz Marques; Revelli, Federico. EFFECTS OF FEDERAL CONSTITUTIONAL GRANTS IN BRAZILIAN MUNICIPALITIES. Review of Urban and Regional Development Studies, v. 31, n. 3, p. 203 - 233, 2019. DOI: https://doi.org/10.1111/rurd.12103</w:t>
      </w:r>
    </w:p>
    <w:p w14:paraId="036DBB8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Gemmell, Norman; Morrissey, Oliver; Pinar, Abuzer. Fiscal illusion and political accountability: Theory and evidence from two local tax regimes in Britain. Public Choice, v. 110, n. 3-4, p. 199 - 224, 2002. DOI: https://doi.org/10.1023/A:1013015330173</w:t>
      </w:r>
    </w:p>
    <w:p w14:paraId="23BFD641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Gennari, Elena; Messina, Giovanna. How sticky are local expenditures in Italy? Assessing the relevance of the flypaper effect through municipal data. International Tax and Public Finance, v. 21, n. 2, p. 324 - 344, 2014. DOI: https://doi.org/10.1007/s10797-013-9269-9</w:t>
      </w:r>
    </w:p>
    <w:p w14:paraId="118B358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Goeminne, Stijn; Smolders, Carine; Vandorpe, Elke. The real impact of a one-off fiscal restriction: empirical evidence of a flypaper effect in Flemish municipalities. Public Money and Management, v. 37, n. 4, p. 285 - 292, 2017. DOI: https://doi.org/10.1080/09540962.2017.1295732</w:t>
      </w:r>
    </w:p>
    <w:p w14:paraId="24918BE8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Guziejewska, Beata. A comparative approach to fiscal illusions: A synthesis of the conclusions from a polish study in relation to new ideas and empirical research in selected countries; [Iluzje fiskalne w ujęciu porównawczym: synteza wyników badań w Polsce na tle nowych podejść i badań empirycznych wybranych krajów]. Comparative Economic Research, v. 24, n. 2, p. 7 - 21, 2021. DOI: https://doi.org/10.18778/1508-2008.24.09</w:t>
      </w:r>
    </w:p>
    <w:p w14:paraId="7EB1138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Guziejewska, Beata; Majdzińska, Anna; Żółtaszek, Agata. The flypaper effect and desirable legislative changes to local government financing systems. Lex Localis, v. 19, n. 3, p. 587 - 608, 2021. DOI: https://doi.org/10.4335/19.3.587-608(2021)</w:t>
      </w:r>
    </w:p>
    <w:p w14:paraId="6A47107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Hines, James R.; Thaler, Richard </w:t>
      </w:r>
      <w:proofErr w:type="gramStart"/>
      <w:r>
        <w:rPr>
          <w:sz w:val="24"/>
        </w:rPr>
        <w:t>H..</w:t>
      </w:r>
      <w:proofErr w:type="gramEnd"/>
      <w:r>
        <w:rPr>
          <w:sz w:val="24"/>
        </w:rPr>
        <w:t xml:space="preserve"> The Flypaper Effect. Journal of Economic Perspectives, v. 9, n. 4, p. 217-226, 1995. DOI: https://doi.org/10.1257/jep.9.4.217</w:t>
      </w:r>
    </w:p>
    <w:p w14:paraId="43505B5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Islam, Muhammed </w:t>
      </w:r>
      <w:proofErr w:type="gramStart"/>
      <w:r>
        <w:rPr>
          <w:sz w:val="24"/>
        </w:rPr>
        <w:t>N..</w:t>
      </w:r>
      <w:proofErr w:type="gramEnd"/>
      <w:r>
        <w:rPr>
          <w:sz w:val="24"/>
        </w:rPr>
        <w:t xml:space="preserve"> Fiscal illusion, intergovernmental grants and local spending. Regional Studies, v. 32, n. 1, p. 63 - 71, 1998. DOI: https://doi.org/10.1080/00343409850123620</w:t>
      </w:r>
    </w:p>
    <w:p w14:paraId="7CCDAAFD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Kim, Jungbu; Oh, Seong Soo. Local Managerial Strategies for External Versus Own Source Fiscal Resources: Do Administrators’ Previous Career and Education </w:t>
      </w:r>
      <w:proofErr w:type="gramStart"/>
      <w:r>
        <w:rPr>
          <w:sz w:val="24"/>
        </w:rPr>
        <w:t>Matter?.</w:t>
      </w:r>
      <w:proofErr w:type="gramEnd"/>
      <w:r>
        <w:rPr>
          <w:sz w:val="24"/>
        </w:rPr>
        <w:t xml:space="preserve"> American Review of Public Administration, v. 46, n. 1, p. 28 - 50, 2016. DOI: https://doi.org/10.1177/0275074014526637</w:t>
      </w:r>
    </w:p>
    <w:p w14:paraId="7925B28E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lastRenderedPageBreak/>
        <w:t>Kim, Sungchan; Park, Soyoung. Political determination of intergovernmental grants: Evidence from the general shared tax in South Korea. Lex Localis, v. 19, n. 2, p. 263 - 278, 2021. DOI: https://doi.org/10.4335/19.2.263-278(2021)</w:t>
      </w:r>
    </w:p>
    <w:p w14:paraId="363FDB2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Kjaergaard, Marie. The Flypaper Effect: Do Political Institutions Affect Danish Local Governments’ Response to Intergovernmental </w:t>
      </w:r>
      <w:proofErr w:type="gramStart"/>
      <w:r>
        <w:rPr>
          <w:sz w:val="24"/>
        </w:rPr>
        <w:t>Grants?.</w:t>
      </w:r>
      <w:proofErr w:type="gramEnd"/>
      <w:r>
        <w:rPr>
          <w:sz w:val="24"/>
        </w:rPr>
        <w:t xml:space="preserve"> Local Government Studies, v. 41, n. 4, p. 534 - 552, 2015. DOI: https://doi.org/10.1080/03003930.2014.968708</w:t>
      </w:r>
    </w:p>
    <w:p w14:paraId="4AC78B3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Kluza, Krzysztof; Wójtowicz, Katarzyna. Intergovernmental Transfers as Determinants of Municipal Fiscal Sustainability: A Review of Theory and Empirical Evidence from Polish Municipalities. Sustainability (Switzerland), v. 17, n. 24, p. n.d., 2025. DOI: https://doi.org/10.3390/su172411284</w:t>
      </w:r>
    </w:p>
    <w:p w14:paraId="64337B5D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Larraín, Felipe; Perelló, Oscar. Resource windfalls and public sector employment: Evidence from municipalities in Chile. Economia, v. 19, n. 2, p. 127 - 167, 2019. DOI: https://doi.org/10.1353/eco.2019.0004</w:t>
      </w:r>
    </w:p>
    <w:p w14:paraId="26109134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Li, Yongyou. Asymmetric decentralization, intergovernmental transfers, and expenditure policies of local governments. Frontiers of Economics in China, v. 13, n. 2, p. 223 - 248, 2018. DOI: https://doi.org/10.3868/s060-007-018-0014-1</w:t>
      </w:r>
    </w:p>
    <w:p w14:paraId="649F396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López-Laborda, Julio; Zabalza, Antoni. Intergovernmental fiscal relations: The efficiency effect of taxes, transfers, and fiscal illusion. Environment and Planning C: Government and Policy, v. 33, n. 1, p. 136 - 162, 2015. DOI: https://doi.org/10.1068/c12284r</w:t>
      </w:r>
    </w:p>
    <w:p w14:paraId="4B690EA3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Machado, Gabriel Santana; Brasil, Felipe Gonçalves; Peres, Ursula Dias. Brazilian fiscal decentralization: budget priorities from an agenda-setting perspective; [Descentralização fiscal brasileira: as prioridades orçamentárias sob a perspectiva de agenda-setting]. Revista de Sociologia e Politica, v. 32, n. s.n., p. e010 - e010, 2024. DOI: https://doi.org/10.1590/1678-98732432E010</w:t>
      </w:r>
    </w:p>
    <w:p w14:paraId="1863593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Maddah, Majid; Jeyhoon-Tabar, Fozieh. The tax and petroleum revenue effect on Iran’s public expenditures (1994–2015), employing fiscal illusion approach. Iranian Economic Review, v. 22, n. 3, p. 833 - 866, 2018. DOI: https://doi.org/10.22059/ier.2018.66646</w:t>
      </w:r>
    </w:p>
    <w:p w14:paraId="36631A5B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Mainali, Raju; Tosun, Mehmet Serkan; Yang, Jingjing. Fiscal decentralization, intergovernmental transfer reform and conflict in Colombian municipalities. Socio-Economic Planning Sciences, v. 83, n. s.n., p. n.d., 2022. DOI: https://doi.org/10.1016/j.seps.2021.101108</w:t>
      </w:r>
    </w:p>
    <w:p w14:paraId="12F6DA72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Maldonado, Stanislao; Ardanaz, Martin. Natural resource windfalls and efficiency in local government expenditure: Evidence from Peru. Economics and Politics, v. 35, n. 1, p. 28 - 64, 2023. DOI: https://doi.org/10.1111/ecpo.12209</w:t>
      </w:r>
    </w:p>
    <w:p w14:paraId="2327028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Masaki, Takaaki. The impact of intergovernmental transfers on local revenue generation in Sub-Saharan Africa: Evidence from Tanzania. World Development, v. 106, n. s.n., p. 173 - 186, 2018. DOI: https://doi.org/10.1016/j.worlddev.2018.01.026</w:t>
      </w:r>
    </w:p>
    <w:p w14:paraId="2A99014F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Masiero, Giuliano; Santarossa, Michael. Earthquakes, grants, and public expenditure: How municipalities respond to natural disasters. Journal of Regional Science, v. 60, n. 3, p. 481 - 516, 2020. DOI: https://doi.org/10.1111/jors.12462</w:t>
      </w:r>
    </w:p>
    <w:p w14:paraId="4AD40EBD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Mattos, Enlinson; Rocha, Fabiana; Aarvate, Paulo. Flypaper effect revisited: Evidence for tax collection efficiency in Brazilian municipalities. Estudos Economicos, v. 41, n. 2, p. 239 - 267, 2011. DOI: https://doi.org/10.1590/S0101-41612011000200002</w:t>
      </w:r>
    </w:p>
    <w:p w14:paraId="444636B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lastRenderedPageBreak/>
        <w:t>Mattos, Enlinson; Politi, Ricardo; Yamaguchi, Afonso. Grants and dispersion of local education spending in Brazil. Regional Studies, v. 52, n. 2, p. 239 - 249, 2018. DOI: https://doi.org/10.1080/00343404.2017.1287891</w:t>
      </w:r>
    </w:p>
    <w:p w14:paraId="54AEAE7A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Mehiriz, Kadour. The use of intergovernmental grants to municipalities for electoral purposes by subnational governments. Local Government Studies, v. 43, n. 2, p. 274 - 290, 2017. DOI: https://doi.org/10.1080/03003930.2016.1263189</w:t>
      </w:r>
    </w:p>
    <w:p w14:paraId="4C68528A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Melo, Ligia. The flypaper effect under different institutional contexts: The Colombian case. Public Choice, v. 111, n. 3-4, p. 317 - 345, 2002. DOI: https://doi.org/10.1023/A:1014964318685</w:t>
      </w:r>
    </w:p>
    <w:p w14:paraId="59335844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Mogues, Tewodaj; Benin, Samuel. Do External Grants to District Governments Discourage Own Revenue Generation? A Look at Local Public Finance Dynamics in Ghana. World Development, v. 40, n. 5, p. 1054 - 1067, 2012. DOI: https://doi.org/10.1016/j.worlddev.2011.12.001</w:t>
      </w:r>
    </w:p>
    <w:p w14:paraId="21CE0445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Oates, Wallace </w:t>
      </w:r>
      <w:proofErr w:type="gramStart"/>
      <w:r>
        <w:rPr>
          <w:sz w:val="24"/>
        </w:rPr>
        <w:t>E..</w:t>
      </w:r>
      <w:proofErr w:type="gramEnd"/>
      <w:r>
        <w:rPr>
          <w:sz w:val="24"/>
        </w:rPr>
        <w:t xml:space="preserve"> An Essay on Fiscal Federalism. Journal of Economic Literature, v. 37, n. 3, p. 1120-1149, 1999. DOI: https://doi.org/10.1257/jel.37.3.1120</w:t>
      </w:r>
    </w:p>
    <w:p w14:paraId="77867D31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Ortega, José Marcelo Torres; De La Rosa, Jorge Mario Ortega. Flypaper Effect: The Colombian Municipalities Case for 2000-2017; [L'effet flypaper: une étude de cas pour les communes colombiennes pour la période 2000-2017]; [Efecto flypaper: estudio de caso para los municipios colombianos, periodo 2000-2017]. Lecturas de Economia, v. s.v., n. 97, p. 79 - 111, 2022. DOI: https://doi.org/10.17533/udea.le.n97a347575</w:t>
      </w:r>
    </w:p>
    <w:p w14:paraId="7D7DAE7E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Poniatowicz, Marzanna; Wildowicz-Szumarska, Anna. The Increasing Importance of Intergovernmental Transfer Revenue in Local Finance in Poland and the Flypaper Effect. Lex Localis, v. 22, n. 3, p. 89 - 117, 2024. DOI: https://doi.org/10.52152/22.3.89-117(2024)</w:t>
      </w:r>
    </w:p>
    <w:p w14:paraId="599C14FA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Porto, Alberto; Puig, Jorge. Fiscal Federalism: The Interaction between Own Revenues and Intergovernmental Transfers in Local Governments - The Case of Municipalities in Buenos Aires. Publius: The Journal of Federalism, v. 53, n. 4, p. 642 - 678, 2023. DOI: https://doi.org/10.1093/publius/pjad005</w:t>
      </w:r>
    </w:p>
    <w:p w14:paraId="53DDA8BD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Prado, Pedro Henrique Martins; da Silva, Cleomar Gomes. Wagner’s Law and Fiscal Illusion: An analysis of state government finances in Brazil. Review of Development Economics, v. 24, n. 2, p. 628 - 643, 2020. DOI: https://doi.org/10.1111/rode.12662</w:t>
      </w:r>
    </w:p>
    <w:p w14:paraId="799F466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Psycharis, Yannis; Iliopoulou, Stavroula; Zoi, Maria; Pantazis, Panagiotis. Beyond the socio-economic use of fiscal transfers: The role of political factors in Greek intergovernmental grant allocations. Regional Science Policy and Practice, v. 13, n. 3, p. 982 - 1008, 2021. DOI: https://doi.org/10.1111/rsp3.12319</w:t>
      </w:r>
    </w:p>
    <w:p w14:paraId="6E5CE543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Rios, Vicente; Hortas-Rico, Miriam; Pascual, Pedro. What shapes the flypaper effect? The role of the political environment in the budget process. Local Government Studies, v. 48, n. 5, p. 793 - 820, 2022. DOI: https://doi.org/10.1080/03003930.2020.1866555</w:t>
      </w:r>
    </w:p>
    <w:p w14:paraId="7CD4215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Sacchi, Agnese; Salotti, Simone. The influence of decentralized taxes and intergovernmental grants on local spending volatility. Regional Studies, v. 51, n. 4, p. 507 - 522, 2017. DOI: https://doi.org/10.1080/00343404.2015.1111512</w:t>
      </w:r>
    </w:p>
    <w:p w14:paraId="710F0281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Samal, Asharani. An Empirical Analysis of Asymmetry and Threshold Effect of Intergovernmental Grants in India: A Panel Data Analysis. Global Business Review, v. 21, n. 2, p. 458 - 472, 2020. DOI: https://doi.org/10.1177/0972150918761083</w:t>
      </w:r>
    </w:p>
    <w:p w14:paraId="67E00639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lastRenderedPageBreak/>
        <w:t xml:space="preserve">Santos Mamaradlo, Marivic Delos; Tang, Cheng-Tao; Wong, Chun </w:t>
      </w:r>
      <w:proofErr w:type="gramStart"/>
      <w:r>
        <w:rPr>
          <w:sz w:val="24"/>
        </w:rPr>
        <w:t>Y.E.E..</w:t>
      </w:r>
      <w:proofErr w:type="gramEnd"/>
      <w:r>
        <w:rPr>
          <w:sz w:val="24"/>
        </w:rPr>
        <w:t xml:space="preserve"> GRANT EFFECTS ON PUBLIC FINANCE FOR LOCAL GOVERNMENTS WITH SELF-SELECTION BEHAVIOR＊. Hitotsubashi Journal of Economics, v. 62, n. 1, p. 33 - 58, 2021. DOI: https://doi.org/10.15057/hje.2021002</w:t>
      </w:r>
    </w:p>
    <w:p w14:paraId="185BA03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Sepúlveda, Cristian </w:t>
      </w:r>
      <w:proofErr w:type="gramStart"/>
      <w:r>
        <w:rPr>
          <w:sz w:val="24"/>
        </w:rPr>
        <w:t>F..</w:t>
      </w:r>
      <w:proofErr w:type="gramEnd"/>
      <w:r>
        <w:rPr>
          <w:sz w:val="24"/>
        </w:rPr>
        <w:t xml:space="preserve"> Taxpayers' behavior and the flypaper effect. Hacienda Publica Espanola, v. 222, n. 3, p. 91 - 108, 2017. DOI: https://doi.org/10.7866/HPE-RPE.17.3.4</w:t>
      </w:r>
    </w:p>
    <w:p w14:paraId="0E1CFEFF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Shani, Ron; Reingewertz, Yaniv; Vigoda-Gadot, Eran. Intergovernmental grants and local public finance: An empirical examination in Israel. European Journal of Political Economy, v. 79, n. s.n., p. n.d., 2023. DOI: https://doi.org/10.1016/j.ejpoleco.2023.102420</w:t>
      </w:r>
    </w:p>
    <w:p w14:paraId="096F40E6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Siregar, Baldric; Badrudin, Rudy. Degree of fiscal decentralization and flypaper effect: Evidence from Indonesia. Advanced Science Letters, v. 23, n. 9, p. 9013 - 9019, 2017. DOI: https://doi.org/10.1166/asl.2017.10014</w:t>
      </w:r>
    </w:p>
    <w:p w14:paraId="0C197D3E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Strumpf, Koleman </w:t>
      </w:r>
      <w:proofErr w:type="gramStart"/>
      <w:r>
        <w:rPr>
          <w:sz w:val="24"/>
        </w:rPr>
        <w:t>S..</w:t>
      </w:r>
      <w:proofErr w:type="gramEnd"/>
      <w:r>
        <w:rPr>
          <w:sz w:val="24"/>
        </w:rPr>
        <w:t xml:space="preserve"> A predictive index for the flypaper effect. Journal of Public Economics, v. 69, n. 3, p. 389 - 412, 1998. DOI: https://doi.org/10.1016/S0047-2727(98)00008-5</w:t>
      </w:r>
    </w:p>
    <w:p w14:paraId="48E66427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Thuy, Hoang Thu; Lim, Seunghoo. The Determinants of Fiscal Transparency in Vietnamese Local Governments. Lex Localis, v. 21, n. 2, p. 297 - 322, 2023. DOI: https://doi.org/10.4335/21.2.297-322(2023)</w:t>
      </w:r>
    </w:p>
    <w:p w14:paraId="499D0196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Timushev, Evgeny </w:t>
      </w:r>
      <w:proofErr w:type="gramStart"/>
      <w:r>
        <w:rPr>
          <w:sz w:val="24"/>
        </w:rPr>
        <w:t>N..</w:t>
      </w:r>
      <w:proofErr w:type="gramEnd"/>
      <w:r>
        <w:rPr>
          <w:sz w:val="24"/>
        </w:rPr>
        <w:t xml:space="preserve"> Revenues, grants, and fiscal incentives-evaluation and the causes of decentralization effects in the budgetary system of Russia. Voprosy Ekonomiki, v. s.v., n. 1, p. 71 - 90, 2018. DOI: https://doi.org/10.32609/0042-8736-2018-1-71-90</w:t>
      </w:r>
    </w:p>
    <w:p w14:paraId="2752B408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Timushev, Evgeny </w:t>
      </w:r>
      <w:proofErr w:type="gramStart"/>
      <w:r>
        <w:rPr>
          <w:sz w:val="24"/>
        </w:rPr>
        <w:t>N..</w:t>
      </w:r>
      <w:proofErr w:type="gramEnd"/>
      <w:r>
        <w:rPr>
          <w:sz w:val="24"/>
        </w:rPr>
        <w:t xml:space="preserve"> Fiscal powers of municipalities in Russia’s resource-rich regions and fixed capital investment. Voprosy Ekonomiki, v. 2020, n. 4, p. 129 - 146, 2020. DOI: https://doi.org/10.32609/0042-8736-2020-4-129-146</w:t>
      </w:r>
    </w:p>
    <w:p w14:paraId="2AD156E6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Turley, Gerard. Local government finance in Ireland: The four pillars of fiscal decentralisation. Administration, v. 73, n. 3, p. 31 - 59, 2025. DOI: https://doi.org/10.2478/admin-2025-0018</w:t>
      </w:r>
    </w:p>
    <w:p w14:paraId="3BFF6DAD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Turnbull, Geoffrey </w:t>
      </w:r>
      <w:proofErr w:type="gramStart"/>
      <w:r>
        <w:rPr>
          <w:sz w:val="24"/>
        </w:rPr>
        <w:t>K..</w:t>
      </w:r>
      <w:proofErr w:type="gramEnd"/>
      <w:r>
        <w:rPr>
          <w:sz w:val="24"/>
        </w:rPr>
        <w:t xml:space="preserve"> Fiscal illusion, uncertainty, and the flypaper effect. Journal of Public Economics, v. 48, n. 2, p. 207 - 223, 1992. DOI: https://doi.org/10.1016/0047-2727(92)90027-D</w:t>
      </w:r>
    </w:p>
    <w:p w14:paraId="511F618F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Turnbull, Geoffrey </w:t>
      </w:r>
      <w:proofErr w:type="gramStart"/>
      <w:r>
        <w:rPr>
          <w:sz w:val="24"/>
        </w:rPr>
        <w:t>K..</w:t>
      </w:r>
      <w:proofErr w:type="gramEnd"/>
      <w:r>
        <w:rPr>
          <w:sz w:val="24"/>
        </w:rPr>
        <w:t xml:space="preserve"> The Overspending and Flypaper Effects of Fiscal Illusion: Theory and Empirical Evidence. Journal of Urban Economics, v. 44, n. 1, p. 1 - 26, 1998. DOI: https://doi.org/10.1006/juec.1997.2056</w:t>
      </w:r>
    </w:p>
    <w:p w14:paraId="3BEE9160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Wati, Lela Nurlaela; Ispriyahadi, Heri; Zakaria, Dhika Habibi. The flypaper effect phenomenon of intergovernmental transfers during the Covid-19: Evidence from Indonesia; [Fenomen efekta muholovke međuvladinih transfera tijekom Covid-19: dokazi iz Indonezije]. Zbornik radova Ekonomskog fakulteta u Rijeci / Proceedings of Rijeka Faculty of Economics, v. 40, n. 2, p. 353 - 373, 2022. DOI: https://doi.org/10.18045/zbefri.2022.2.353</w:t>
      </w:r>
    </w:p>
    <w:p w14:paraId="4A4BF554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 xml:space="preserve">Worthington, Andrew C.; Dollery, Brian </w:t>
      </w:r>
      <w:proofErr w:type="gramStart"/>
      <w:r>
        <w:rPr>
          <w:sz w:val="24"/>
        </w:rPr>
        <w:t>E..</w:t>
      </w:r>
      <w:proofErr w:type="gramEnd"/>
      <w:r>
        <w:rPr>
          <w:sz w:val="24"/>
        </w:rPr>
        <w:t xml:space="preserve"> Fiscal illusion and the Australian local government grants process: How sticky is the flypaper </w:t>
      </w:r>
      <w:proofErr w:type="gramStart"/>
      <w:r>
        <w:rPr>
          <w:sz w:val="24"/>
        </w:rPr>
        <w:t>effect?.</w:t>
      </w:r>
      <w:proofErr w:type="gramEnd"/>
      <w:r>
        <w:rPr>
          <w:sz w:val="24"/>
        </w:rPr>
        <w:t xml:space="preserve"> Public Choice, v. 99, n. 1-2, p. 1 - 13, 1999. DOI: https://doi.org/10.1023/a:1018329802757</w:t>
      </w:r>
    </w:p>
    <w:p w14:paraId="5F0F6F1B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Yang, Lang (Kate). Fiscal transparency or fiscal illusion? Housing and credit market responses to fiscal monitoring. International Tax and Public Finance, v. 29, n. 1, p. n.d., 2022. DOI: https://doi.org/10.1007/s10797-020-09654-x</w:t>
      </w:r>
    </w:p>
    <w:p w14:paraId="6E26459C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lastRenderedPageBreak/>
        <w:t>Yüksel, Cihan. The Flypaper Effect: “Reality” or “Myth”? Evidence from Turkey; [Sinek Kâğıdı Etkisi: “Gerçeklik” mi, “Efsane” mi? Türkiye Örneği]. Sosyoekonomi, v. 29, n. 49, p. 483 - 500, 2021. DOI: https://doi.org/10.17233/sosyoekonomi.2021.03.24</w:t>
      </w:r>
    </w:p>
    <w:p w14:paraId="4D49539A" w14:textId="77777777" w:rsidR="00A56BF1" w:rsidRDefault="00000000">
      <w:pPr>
        <w:pStyle w:val="ABNT-Referencia"/>
        <w:spacing w:after="140" w:line="245" w:lineRule="auto"/>
      </w:pPr>
      <w:r>
        <w:rPr>
          <w:sz w:val="24"/>
        </w:rPr>
        <w:t>Zheng, Mao; Li, Xiaoguang; Qin, Zhilong; Sohail, Muhammad Tayyab. Examining the Impact of Fiscal Resources on Anti-Poverty Expenditure: Evidence from China. Sustainability (Switzerland), v. 15, n. 5, p. n.d., 2023. DOI: https://doi.org/10.3390/su15054371</w:t>
      </w:r>
    </w:p>
    <w:p w14:paraId="1119245F" w14:textId="77777777" w:rsidR="00A56BF1" w:rsidRDefault="00000000">
      <w:pPr>
        <w:pStyle w:val="Ttulo1"/>
      </w:pPr>
      <w:bookmarkStart w:id="29" w:name="_Toc243761970"/>
      <w:r>
        <w:rPr>
          <w:rFonts w:ascii="Times New Roman" w:eastAsia="Times New Roman" w:hAnsi="Times New Roman" w:cs="Times New Roman"/>
        </w:rPr>
        <w:t>Referências institucionais, metodológicas e tese</w:t>
      </w:r>
      <w:bookmarkEnd w:id="29"/>
    </w:p>
    <w:p w14:paraId="0C9519CC" w14:textId="77777777" w:rsidR="00A56BF1" w:rsidRDefault="00000000">
      <w:pPr>
        <w:pStyle w:val="ABNT-Referencia"/>
        <w:spacing w:after="140"/>
      </w:pPr>
      <w:r>
        <w:rPr>
          <w:sz w:val="24"/>
        </w:rPr>
        <w:t>AGÊNCIA NACIONAL DO PETRÓLEO, GÁS NATURAL E BIOCOMBUSTÍVEIS (ANP). Royalties: tabelas de distribuição por beneficiário. Disponível em: https://www.gov.br/anp/pt-br/assuntos/royalties-e-outras-participacoes/royalties. Acesso: 24 out. 2026.</w:t>
      </w:r>
    </w:p>
    <w:p w14:paraId="4F0B4CF3" w14:textId="77777777" w:rsidR="00A56BF1" w:rsidRDefault="00000000">
      <w:pPr>
        <w:pStyle w:val="ABNT-Referencia"/>
        <w:spacing w:after="140"/>
      </w:pPr>
      <w:r>
        <w:rPr>
          <w:sz w:val="24"/>
        </w:rPr>
        <w:t>BRASIL. SECRETARIA DO TESOURO NACIONAL. Siconfi — DCA: regras de preenchimento e estrutura dos demonstrativos. Disponível em: https://siconfi.tesouro.gov.br/siconfi/pages/public/arquivo/conteudo/2024_Regras_Gerais_e_Instrucoes_de_preenchimento_DCA_2023.pdf. Acesso: 24 out. 2026.</w:t>
      </w:r>
    </w:p>
    <w:p w14:paraId="7F93D5B3" w14:textId="77777777" w:rsidR="00A56BF1" w:rsidRDefault="00000000">
      <w:pPr>
        <w:pStyle w:val="ABNT-Referencia"/>
        <w:spacing w:after="140"/>
      </w:pPr>
      <w:r>
        <w:rPr>
          <w:sz w:val="24"/>
        </w:rPr>
        <w:t>FERREIRA, Lucas Oliveira Gomes. Constitutional tax transfers in Brazilian municipalities: the fiscal illusion and the flypaper effect. Tese (Doutorado em Ciências Contábeis) — Universidade de Brasília, Brasília, 2021.</w:t>
      </w:r>
    </w:p>
    <w:p w14:paraId="657A228B" w14:textId="77777777" w:rsidR="00A56BF1" w:rsidRDefault="00000000">
      <w:pPr>
        <w:pStyle w:val="ABNT-Referencia"/>
        <w:spacing w:after="140"/>
      </w:pPr>
      <w:r>
        <w:rPr>
          <w:sz w:val="24"/>
        </w:rPr>
        <w:t>INSTITUTO BRASILEIRO DE GEOGRAFIA E ESTATÍSTICA (IBGE). Cidades e Estados: Rio de Janeiro. Disponível em: https://www.ibge.gov.br/cidades-e-estados/rj/rio-de-janeiro.html. Acesso: 24 out. 2026.</w:t>
      </w:r>
    </w:p>
    <w:p w14:paraId="198C2BB4" w14:textId="77777777" w:rsidR="00A56BF1" w:rsidRDefault="00000000">
      <w:pPr>
        <w:pStyle w:val="ABNT-Referencia"/>
        <w:spacing w:after="140"/>
      </w:pPr>
      <w:r>
        <w:rPr>
          <w:sz w:val="24"/>
        </w:rPr>
        <w:t>INSTITUTO BRASILEIRO DE GEOGRAFIA E ESTATÍSTICA (IBGE). Cidades e Estados: Niterói. Disponível em: https://www.ibge.gov.br/cidades-e-estados/rj/niteroi.html. Acesso: 24 out. 2026.</w:t>
      </w:r>
    </w:p>
    <w:p w14:paraId="31755FE0" w14:textId="77777777" w:rsidR="00A56BF1" w:rsidRDefault="00000000">
      <w:pPr>
        <w:pStyle w:val="ABNT-Referencia"/>
        <w:spacing w:after="140"/>
      </w:pPr>
      <w:r>
        <w:rPr>
          <w:sz w:val="24"/>
        </w:rPr>
        <w:t>INSTITUTO BRASILEIRO DE GEOGRAFIA E ESTATÍSTICA (IBGE). Produto Interno Bruto dos Municípios (2002–2023). Disponível em: https://www.ibge.gov.br/estatisticas/economicas/contas-nacionais/9088-produto-interno-bruto-dos-municipios.html. Acesso: 24 out. 2026.</w:t>
      </w:r>
    </w:p>
    <w:p w14:paraId="7EEBD2C9" w14:textId="77777777" w:rsidR="00A56BF1" w:rsidRDefault="00000000">
      <w:pPr>
        <w:pStyle w:val="ABNT-Referencia"/>
        <w:spacing w:after="140"/>
      </w:pPr>
      <w:r>
        <w:rPr>
          <w:sz w:val="24"/>
        </w:rPr>
        <w:t>INSTITUT NATIONAL DE LA STATISTIQUE ET DES ÉTUDES ÉCONOMIQUES (INSEE). Les comptes des administrations publiques en 2015. Disponível em: https://www.insee.fr/fr/statistiques/2121561. Acesso: 24 out. 2026.</w:t>
      </w:r>
    </w:p>
    <w:p w14:paraId="380274FD" w14:textId="77777777" w:rsidR="00A56BF1" w:rsidRDefault="00000000">
      <w:pPr>
        <w:pStyle w:val="ABNT-Referencia"/>
        <w:spacing w:after="140"/>
      </w:pPr>
      <w:r>
        <w:rPr>
          <w:sz w:val="24"/>
        </w:rPr>
        <w:t>INSTITUT NATIONAL DE LA STATISTIQUE ET DES ÉTUDES ÉCONOMIQUES (INSEE). Le compte des administrations publiques en 2024. Disponível em: https://www.insee.fr/fr/statistiques/8574492. Acesso: 24 out. 2026.</w:t>
      </w:r>
    </w:p>
    <w:p w14:paraId="514ECD13" w14:textId="77777777" w:rsidR="00A56BF1" w:rsidRDefault="00000000">
      <w:pPr>
        <w:pStyle w:val="ABNT-Referencia"/>
        <w:spacing w:after="140"/>
      </w:pPr>
      <w:r>
        <w:rPr>
          <w:sz w:val="24"/>
        </w:rPr>
        <w:t>INSTITUT NATIONAL DE LA STATISTIQUE ET DES ÉTUDES ÉCONOMIQUES (INSEE). Prix à la consommation: moyennes annuelles 2024. Disponível em: https://www.insee.fr/fr/statistiques/8330913. Acesso: 24 out. 2026.</w:t>
      </w:r>
    </w:p>
    <w:p w14:paraId="571E3076" w14:textId="77777777" w:rsidR="00A56BF1" w:rsidRDefault="00000000">
      <w:pPr>
        <w:pStyle w:val="ABNT-Referencia"/>
        <w:spacing w:after="140"/>
      </w:pPr>
      <w:r>
        <w:rPr>
          <w:sz w:val="24"/>
        </w:rPr>
        <w:t>DIRECTION GÉNÉRALE DES COLLECTIVITÉS LOCALES (DGCL). Les finances locales des communes. Disponível em: https://www.collectivites-locales.gouv.fr/etudes-et-statistiques/acces-aux-statistiques-par-thematique/budget/les-finances-locales-des-collectivites/finances-locales-des-communes. Acesso: 24 out. 2026.</w:t>
      </w:r>
    </w:p>
    <w:p w14:paraId="3C36018C" w14:textId="77777777" w:rsidR="00A56BF1" w:rsidRDefault="00000000">
      <w:pPr>
        <w:pStyle w:val="Ttulo1"/>
      </w:pPr>
      <w:bookmarkStart w:id="30" w:name="_Toc243761971"/>
      <w:r>
        <w:rPr>
          <w:rFonts w:ascii="Times New Roman" w:eastAsia="Times New Roman" w:hAnsi="Times New Roman" w:cs="Times New Roman"/>
        </w:rPr>
        <w:lastRenderedPageBreak/>
        <w:t>Apêndice A — Conciliações confirmadas, ajustes e pendências</w:t>
      </w:r>
      <w:bookmarkEnd w:id="30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20"/>
        <w:gridCol w:w="2326"/>
        <w:gridCol w:w="2317"/>
        <w:gridCol w:w="2324"/>
      </w:tblGrid>
      <w:tr w:rsidR="00A56BF1" w14:paraId="0B67616D" w14:textId="77777777">
        <w:trPr>
          <w:jc w:val="center"/>
        </w:trPr>
        <w:tc>
          <w:tcPr>
            <w:tcW w:w="2337" w:type="dxa"/>
            <w:vAlign w:val="center"/>
          </w:tcPr>
          <w:p w14:paraId="7EE63A29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Verificação</w:t>
            </w:r>
          </w:p>
        </w:tc>
        <w:tc>
          <w:tcPr>
            <w:tcW w:w="2337" w:type="dxa"/>
            <w:vAlign w:val="center"/>
          </w:tcPr>
          <w:p w14:paraId="6152431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Valor na base</w:t>
            </w:r>
          </w:p>
        </w:tc>
        <w:tc>
          <w:tcPr>
            <w:tcW w:w="2337" w:type="dxa"/>
            <w:vAlign w:val="center"/>
          </w:tcPr>
          <w:p w14:paraId="2BE47723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Referência externa</w:t>
            </w:r>
          </w:p>
        </w:tc>
        <w:tc>
          <w:tcPr>
            <w:tcW w:w="2337" w:type="dxa"/>
            <w:vAlign w:val="center"/>
          </w:tcPr>
          <w:p w14:paraId="76BB52E0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b/>
                <w:sz w:val="19"/>
              </w:rPr>
              <w:t>Situação</w:t>
            </w:r>
          </w:p>
        </w:tc>
      </w:tr>
      <w:tr w:rsidR="00A56BF1" w14:paraId="3BADA718" w14:textId="77777777">
        <w:trPr>
          <w:jc w:val="center"/>
        </w:trPr>
        <w:tc>
          <w:tcPr>
            <w:tcW w:w="2337" w:type="dxa"/>
            <w:vAlign w:val="center"/>
          </w:tcPr>
          <w:p w14:paraId="1811446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Rio: despesa 2025</w:t>
            </w:r>
          </w:p>
        </w:tc>
        <w:tc>
          <w:tcPr>
            <w:tcW w:w="2337" w:type="dxa"/>
            <w:vAlign w:val="center"/>
          </w:tcPr>
          <w:p w14:paraId="697ADB6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R$ 46.433.922.387,74</w:t>
            </w:r>
          </w:p>
        </w:tc>
        <w:tc>
          <w:tcPr>
            <w:tcW w:w="2337" w:type="dxa"/>
            <w:vAlign w:val="center"/>
          </w:tcPr>
          <w:p w14:paraId="29407F33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IBGE Cidades e Estados (2025)</w:t>
            </w:r>
          </w:p>
        </w:tc>
        <w:tc>
          <w:tcPr>
            <w:tcW w:w="2337" w:type="dxa"/>
            <w:vAlign w:val="center"/>
          </w:tcPr>
          <w:p w14:paraId="2A5C8D83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Compatível, ao centavo</w:t>
            </w:r>
          </w:p>
        </w:tc>
      </w:tr>
      <w:tr w:rsidR="00A56BF1" w14:paraId="6756417E" w14:textId="77777777">
        <w:trPr>
          <w:jc w:val="center"/>
        </w:trPr>
        <w:tc>
          <w:tcPr>
            <w:tcW w:w="2337" w:type="dxa"/>
            <w:vAlign w:val="center"/>
          </w:tcPr>
          <w:p w14:paraId="0FF008A8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Niterói: despesa 2025</w:t>
            </w:r>
          </w:p>
        </w:tc>
        <w:tc>
          <w:tcPr>
            <w:tcW w:w="2337" w:type="dxa"/>
            <w:vAlign w:val="center"/>
          </w:tcPr>
          <w:p w14:paraId="0688CCB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R$ 6.765.300.174,88</w:t>
            </w:r>
          </w:p>
        </w:tc>
        <w:tc>
          <w:tcPr>
            <w:tcW w:w="2337" w:type="dxa"/>
            <w:vAlign w:val="center"/>
          </w:tcPr>
          <w:p w14:paraId="4921EDA8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IBGE Cidades e Estados (2025)</w:t>
            </w:r>
          </w:p>
        </w:tc>
        <w:tc>
          <w:tcPr>
            <w:tcW w:w="2337" w:type="dxa"/>
            <w:vAlign w:val="center"/>
          </w:tcPr>
          <w:p w14:paraId="35A71ED2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Compatível, ao centavo</w:t>
            </w:r>
          </w:p>
        </w:tc>
      </w:tr>
      <w:tr w:rsidR="00A56BF1" w14:paraId="17528684" w14:textId="77777777">
        <w:trPr>
          <w:jc w:val="center"/>
        </w:trPr>
        <w:tc>
          <w:tcPr>
            <w:tcW w:w="2337" w:type="dxa"/>
            <w:vAlign w:val="center"/>
          </w:tcPr>
          <w:p w14:paraId="731B6B7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França APUL: despesa 2024</w:t>
            </w:r>
          </w:p>
        </w:tc>
        <w:tc>
          <w:tcPr>
            <w:tcW w:w="2337" w:type="dxa"/>
            <w:vAlign w:val="center"/>
          </w:tcPr>
          <w:p w14:paraId="7DF7B01D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€ 329,7466 bi</w:t>
            </w:r>
          </w:p>
        </w:tc>
        <w:tc>
          <w:tcPr>
            <w:tcW w:w="2337" w:type="dxa"/>
            <w:vAlign w:val="center"/>
          </w:tcPr>
          <w:p w14:paraId="222C45B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INSEE € 329,7 bi</w:t>
            </w:r>
          </w:p>
        </w:tc>
        <w:tc>
          <w:tcPr>
            <w:tcW w:w="2337" w:type="dxa"/>
            <w:vAlign w:val="center"/>
          </w:tcPr>
          <w:p w14:paraId="177C519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Compatível por arredondamento</w:t>
            </w:r>
          </w:p>
        </w:tc>
      </w:tr>
      <w:tr w:rsidR="00A56BF1" w14:paraId="362640C7" w14:textId="77777777">
        <w:trPr>
          <w:jc w:val="center"/>
        </w:trPr>
        <w:tc>
          <w:tcPr>
            <w:tcW w:w="2337" w:type="dxa"/>
            <w:vAlign w:val="center"/>
          </w:tcPr>
          <w:p w14:paraId="53FF3112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França APUL: despesa 2015</w:t>
            </w:r>
          </w:p>
        </w:tc>
        <w:tc>
          <w:tcPr>
            <w:tcW w:w="2337" w:type="dxa"/>
            <w:vAlign w:val="center"/>
          </w:tcPr>
          <w:p w14:paraId="000A6572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€ 246,1611 bi</w:t>
            </w:r>
          </w:p>
        </w:tc>
        <w:tc>
          <w:tcPr>
            <w:tcW w:w="2337" w:type="dxa"/>
            <w:vAlign w:val="center"/>
          </w:tcPr>
          <w:p w14:paraId="29E27B17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INSEE € 249,2 bi</w:t>
            </w:r>
          </w:p>
        </w:tc>
        <w:tc>
          <w:tcPr>
            <w:tcW w:w="2337" w:type="dxa"/>
            <w:vAlign w:val="center"/>
          </w:tcPr>
          <w:p w14:paraId="7098EF6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Divergência € –3,039 bi</w:t>
            </w:r>
          </w:p>
        </w:tc>
      </w:tr>
      <w:tr w:rsidR="00A56BF1" w14:paraId="2FFD9427" w14:textId="77777777">
        <w:trPr>
          <w:jc w:val="center"/>
        </w:trPr>
        <w:tc>
          <w:tcPr>
            <w:tcW w:w="2337" w:type="dxa"/>
            <w:vAlign w:val="center"/>
          </w:tcPr>
          <w:p w14:paraId="748FE8D5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IPC França 2024 / 2023</w:t>
            </w:r>
          </w:p>
        </w:tc>
        <w:tc>
          <w:tcPr>
            <w:tcW w:w="2337" w:type="dxa"/>
            <w:vAlign w:val="center"/>
          </w:tcPr>
          <w:p w14:paraId="4FE42BB7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Fator anterior 0,974274</w:t>
            </w:r>
          </w:p>
        </w:tc>
        <w:tc>
          <w:tcPr>
            <w:tcW w:w="2337" w:type="dxa"/>
            <w:vAlign w:val="center"/>
          </w:tcPr>
          <w:p w14:paraId="7F6DDA87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INSEE inflação média 2024 +2,0%</w:t>
            </w:r>
          </w:p>
        </w:tc>
        <w:tc>
          <w:tcPr>
            <w:tcW w:w="2337" w:type="dxa"/>
            <w:vAlign w:val="center"/>
          </w:tcPr>
          <w:p w14:paraId="34655F16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Fator ajustado 0,980392</w:t>
            </w:r>
          </w:p>
        </w:tc>
      </w:tr>
      <w:tr w:rsidR="00A56BF1" w14:paraId="5AB38C04" w14:textId="77777777">
        <w:trPr>
          <w:jc w:val="center"/>
        </w:trPr>
        <w:tc>
          <w:tcPr>
            <w:tcW w:w="2337" w:type="dxa"/>
            <w:vAlign w:val="center"/>
          </w:tcPr>
          <w:p w14:paraId="2E2968BF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Censo 2022 — Rio</w:t>
            </w:r>
          </w:p>
        </w:tc>
        <w:tc>
          <w:tcPr>
            <w:tcW w:w="2337" w:type="dxa"/>
            <w:vAlign w:val="center"/>
          </w:tcPr>
          <w:p w14:paraId="05A4334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Ausente</w:t>
            </w:r>
          </w:p>
        </w:tc>
        <w:tc>
          <w:tcPr>
            <w:tcW w:w="2337" w:type="dxa"/>
            <w:vAlign w:val="center"/>
          </w:tcPr>
          <w:p w14:paraId="075077CD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IBGE 6.211.223</w:t>
            </w:r>
          </w:p>
        </w:tc>
        <w:tc>
          <w:tcPr>
            <w:tcW w:w="2337" w:type="dxa"/>
            <w:vAlign w:val="center"/>
          </w:tcPr>
          <w:p w14:paraId="3510A5C0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Preenchido; quebra estimativa/censo</w:t>
            </w:r>
          </w:p>
        </w:tc>
      </w:tr>
      <w:tr w:rsidR="00A56BF1" w14:paraId="110BC382" w14:textId="77777777">
        <w:trPr>
          <w:jc w:val="center"/>
        </w:trPr>
        <w:tc>
          <w:tcPr>
            <w:tcW w:w="2337" w:type="dxa"/>
            <w:vAlign w:val="center"/>
          </w:tcPr>
          <w:p w14:paraId="350F6A6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Censo 2022 — Niterói</w:t>
            </w:r>
          </w:p>
        </w:tc>
        <w:tc>
          <w:tcPr>
            <w:tcW w:w="2337" w:type="dxa"/>
            <w:vAlign w:val="center"/>
          </w:tcPr>
          <w:p w14:paraId="2B72531B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Ausente</w:t>
            </w:r>
          </w:p>
        </w:tc>
        <w:tc>
          <w:tcPr>
            <w:tcW w:w="2337" w:type="dxa"/>
            <w:vAlign w:val="center"/>
          </w:tcPr>
          <w:p w14:paraId="5BEAEA2E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IBGE 481.749</w:t>
            </w:r>
          </w:p>
        </w:tc>
        <w:tc>
          <w:tcPr>
            <w:tcW w:w="2337" w:type="dxa"/>
            <w:vAlign w:val="center"/>
          </w:tcPr>
          <w:p w14:paraId="5E26C977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Preenchido; quebra estimativa/censo</w:t>
            </w:r>
          </w:p>
        </w:tc>
      </w:tr>
      <w:tr w:rsidR="00A56BF1" w14:paraId="75F4B864" w14:textId="77777777">
        <w:trPr>
          <w:jc w:val="center"/>
        </w:trPr>
        <w:tc>
          <w:tcPr>
            <w:tcW w:w="2337" w:type="dxa"/>
            <w:vAlign w:val="center"/>
          </w:tcPr>
          <w:p w14:paraId="0B580D93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Royalties somados a transferências</w:t>
            </w:r>
          </w:p>
        </w:tc>
        <w:tc>
          <w:tcPr>
            <w:tcW w:w="2337" w:type="dxa"/>
            <w:vAlign w:val="center"/>
          </w:tcPr>
          <w:p w14:paraId="4C0D6E7C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Soma na Base_Tratada anterior</w:t>
            </w:r>
          </w:p>
        </w:tc>
        <w:tc>
          <w:tcPr>
            <w:tcW w:w="2337" w:type="dxa"/>
            <w:vAlign w:val="center"/>
          </w:tcPr>
          <w:p w14:paraId="3A5459B9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Código contábil não informado</w:t>
            </w:r>
          </w:p>
        </w:tc>
        <w:tc>
          <w:tcPr>
            <w:tcW w:w="2337" w:type="dxa"/>
            <w:vAlign w:val="center"/>
          </w:tcPr>
          <w:p w14:paraId="5102DD68" w14:textId="77777777" w:rsidR="00A56BF1" w:rsidRDefault="00000000">
            <w:pPr>
              <w:spacing w:after="60" w:line="240" w:lineRule="auto"/>
              <w:ind w:firstLine="0"/>
              <w:jc w:val="left"/>
            </w:pPr>
            <w:r>
              <w:rPr>
                <w:sz w:val="19"/>
              </w:rPr>
              <w:t>Soma bloqueada no indicador auditado</w:t>
            </w:r>
          </w:p>
        </w:tc>
      </w:tr>
    </w:tbl>
    <w:p w14:paraId="4852DDD2" w14:textId="77777777" w:rsidR="00A56BF1" w:rsidRDefault="00000000">
      <w:pPr>
        <w:spacing w:before="60" w:after="120" w:line="276" w:lineRule="auto"/>
        <w:ind w:firstLine="0"/>
        <w:jc w:val="left"/>
      </w:pPr>
      <w:r>
        <w:rPr>
          <w:sz w:val="21"/>
        </w:rPr>
        <w:t>Não foi possível reconciliar a série completa de royalties e participações especiais com valores anuais pagos pela ANP, nem provar a não sobreposição com “Transferências correntes”, pois os arquivos primários com as naturezas contábeis não foram entregues. A declaração “conciliação parcial” é necessária até que esses dados sejam fornecidos. Os testes e a fonte de cada conferência constam da planilha de auditoria.</w:t>
      </w:r>
    </w:p>
    <w:p w14:paraId="2E14A71E" w14:textId="77777777" w:rsidR="00A56BF1" w:rsidRDefault="00000000">
      <w:pPr>
        <w:pStyle w:val="Ttulo1"/>
      </w:pPr>
      <w:bookmarkStart w:id="31" w:name="_Toc243761972"/>
      <w:r>
        <w:rPr>
          <w:rFonts w:ascii="Times New Roman" w:eastAsia="Times New Roman" w:hAnsi="Times New Roman" w:cs="Times New Roman"/>
        </w:rPr>
        <w:t>Apêndice B — Fluxo de reprodução e controle documental</w:t>
      </w:r>
      <w:bookmarkEnd w:id="31"/>
    </w:p>
    <w:p w14:paraId="695BFDF7" w14:textId="77777777" w:rsidR="00A56BF1" w:rsidRDefault="00000000">
      <w:pPr>
        <w:spacing w:before="60" w:after="120" w:line="276" w:lineRule="auto"/>
        <w:ind w:firstLine="0"/>
        <w:jc w:val="left"/>
      </w:pPr>
      <w:r>
        <w:rPr>
          <w:sz w:val="21"/>
        </w:rPr>
        <w:t>Arquivos: (1) Base_Consolidada_Real_Data_RJ_Niteroi_Franca.xlsx, original recebido; (2) Base_Auditada_Conciliação_Parcial.xlsx, com Base_Original, Base_Auditada, Reconciliacao_Externa, Dicionario, Fontes e Pendencias; (3) Scopus_Flypaper_IllusaoFiscal.bib, exportação original; (4) Reproduzir_Mapa_Bibliometrix.R para figura nativa; (5) Mapa_Tematico_Exploratorio_RECONSTRUIDO.png acompanhado do código Python; (6) Matriz_84_Artigos_Citados.csv com DOI e grau de acesso de cada periódico.</w:t>
      </w:r>
    </w:p>
    <w:p w14:paraId="092AE54B" w14:textId="77777777" w:rsidR="00A56BF1" w:rsidRDefault="00000000">
      <w:pPr>
        <w:spacing w:before="60" w:after="120" w:line="276" w:lineRule="auto"/>
        <w:ind w:firstLine="0"/>
        <w:jc w:val="left"/>
      </w:pPr>
      <w:r>
        <w:rPr>
          <w:sz w:val="21"/>
        </w:rPr>
        <w:t>A documentação de reprodução reúne a base consolidada, a base auditada, as planilhas de controle, o arquivo bibliográfico do Scopus, os gráficos e os scripts de transformação. Mantêm-se identificadas as séries sem correspondência documental completa, sem substituir lacunas por zeros ou atribuir aos dados um grau de precisão superior ao efetivamente observado.</w:t>
      </w:r>
    </w:p>
    <w:sectPr w:rsidR="00A56BF1" w:rsidSect="00034616">
      <w:headerReference w:type="default" r:id="rId12"/>
      <w:footerReference w:type="default" r:id="rId13"/>
      <w:pgSz w:w="11906" w:h="16838"/>
      <w:pgMar w:top="1701" w:right="1134" w:bottom="1134" w:left="1701" w:header="709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46B18" w14:textId="77777777" w:rsidR="00DE7920" w:rsidRDefault="00DE7920">
      <w:pPr>
        <w:spacing w:line="240" w:lineRule="auto"/>
      </w:pPr>
      <w:r>
        <w:separator/>
      </w:r>
    </w:p>
  </w:endnote>
  <w:endnote w:type="continuationSeparator" w:id="0">
    <w:p w14:paraId="4F9B03C1" w14:textId="77777777" w:rsidR="00DE7920" w:rsidRDefault="00DE79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EEBE5" w14:textId="77777777" w:rsidR="00A56BF1" w:rsidRDefault="00A56BF1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E2348" w14:textId="77777777" w:rsidR="00DE7920" w:rsidRDefault="00DE7920">
      <w:pPr>
        <w:spacing w:line="240" w:lineRule="auto"/>
      </w:pPr>
      <w:r>
        <w:separator/>
      </w:r>
    </w:p>
  </w:footnote>
  <w:footnote w:type="continuationSeparator" w:id="0">
    <w:p w14:paraId="54E4ED01" w14:textId="77777777" w:rsidR="00DE7920" w:rsidRDefault="00DE79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4B305" w14:textId="77777777" w:rsidR="00A56BF1" w:rsidRDefault="00000000">
    <w:pPr>
      <w:pStyle w:val="Cabealho"/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 w:rsidR="00FD2DFC">
      <w:rPr>
        <w:noProof/>
        <w:sz w:val="20"/>
      </w:rPr>
      <w:t>2</w:t>
    </w:r>
    <w:r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3810849">
    <w:abstractNumId w:val="8"/>
  </w:num>
  <w:num w:numId="2" w16cid:durableId="1224099942">
    <w:abstractNumId w:val="6"/>
  </w:num>
  <w:num w:numId="3" w16cid:durableId="1900245674">
    <w:abstractNumId w:val="5"/>
  </w:num>
  <w:num w:numId="4" w16cid:durableId="1088845007">
    <w:abstractNumId w:val="4"/>
  </w:num>
  <w:num w:numId="5" w16cid:durableId="859006999">
    <w:abstractNumId w:val="7"/>
  </w:num>
  <w:num w:numId="6" w16cid:durableId="1595355768">
    <w:abstractNumId w:val="3"/>
  </w:num>
  <w:num w:numId="7" w16cid:durableId="700980525">
    <w:abstractNumId w:val="2"/>
  </w:num>
  <w:num w:numId="8" w16cid:durableId="1639411583">
    <w:abstractNumId w:val="1"/>
  </w:num>
  <w:num w:numId="9" w16cid:durableId="948977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2A9B"/>
    <w:rsid w:val="001E57D1"/>
    <w:rsid w:val="0029639D"/>
    <w:rsid w:val="00321CF5"/>
    <w:rsid w:val="00326F90"/>
    <w:rsid w:val="00380668"/>
    <w:rsid w:val="00564752"/>
    <w:rsid w:val="00583CAD"/>
    <w:rsid w:val="00A56BF1"/>
    <w:rsid w:val="00AA1D8D"/>
    <w:rsid w:val="00B47730"/>
    <w:rsid w:val="00C93EFF"/>
    <w:rsid w:val="00CB0664"/>
    <w:rsid w:val="00CB76FE"/>
    <w:rsid w:val="00DE7920"/>
    <w:rsid w:val="00FC693F"/>
    <w:rsid w:val="00FD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F4AD2D"/>
  <w14:defaultImageDpi w14:val="300"/>
  <w15:docId w15:val="{2E49634F-502E-4A4D-B672-3AC796A8A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spacing w:after="200"/>
      <w:ind w:firstLine="0"/>
      <w:contextualSpacing/>
      <w:jc w:val="left"/>
    </w:pPr>
    <w:rPr>
      <w:rFonts w:asciiTheme="majorHAnsi" w:eastAsiaTheme="majorEastAsia" w:hAnsiTheme="majorHAnsi" w:cstheme="majorBidi"/>
      <w:b/>
      <w:spacing w:val="5"/>
      <w:kern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keepNext/>
      <w:numPr>
        <w:ilvl w:val="1"/>
      </w:numPr>
      <w:spacing w:after="200"/>
      <w:ind w:firstLine="709"/>
      <w:jc w:val="left"/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NT-Capa">
    <w:name w:val="ABNT-Capa"/>
    <w:pPr>
      <w:spacing w:after="0" w:line="360" w:lineRule="auto"/>
      <w:jc w:val="center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ABNT-CapaTitulo">
    <w:name w:val="ABNT-CapaTitulo"/>
    <w:pPr>
      <w:spacing w:after="0" w:line="360" w:lineRule="auto"/>
      <w:jc w:val="center"/>
    </w:pPr>
    <w:rPr>
      <w:rFonts w:ascii="Times New Roman" w:eastAsia="Times New Roman" w:hAnsi="Times New Roman" w:cs="Times New Roman"/>
      <w:b/>
      <w:color w:val="000000"/>
      <w:sz w:val="24"/>
    </w:rPr>
  </w:style>
  <w:style w:type="paragraph" w:customStyle="1" w:styleId="ABNT-NotaCapa">
    <w:name w:val="ABNT-NotaCapa"/>
    <w:pPr>
      <w:spacing w:after="0" w:line="36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customStyle="1" w:styleId="ABNT-Legenda">
    <w:name w:val="ABNT-Legenda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customStyle="1" w:styleId="ABNT-Referencia">
    <w:name w:val="ABNT-Referencia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0"/>
    </w:rPr>
  </w:style>
  <w:style w:type="paragraph" w:styleId="Sumrio1">
    <w:name w:val="toc 1"/>
    <w:basedOn w:val="Normal"/>
    <w:next w:val="Normal"/>
    <w:autoRedefine/>
    <w:uiPriority w:val="39"/>
    <w:unhideWhenUsed/>
    <w:rsid w:val="0038066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38066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380668"/>
    <w:rPr>
      <w:color w:val="0000FF" w:themeColor="hyperlink"/>
      <w:u w:val="single"/>
    </w:rPr>
  </w:style>
  <w:style w:type="paragraph" w:customStyle="1" w:styleId="ABNT-ResumoNaoNumerado">
    <w:name w:val="ABNT-ResumoNaoNumerado"/>
    <w:basedOn w:val="Normal"/>
    <w:pPr>
      <w:keepNext/>
      <w:spacing w:before="240" w:after="12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38</Pages>
  <Words>14772</Words>
  <Characters>79775</Characters>
  <Application>Microsoft Office Word</Application>
  <DocSecurity>0</DocSecurity>
  <Lines>664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 Efeito Flypaper e a Ilusão Fiscal sob a Ótica dos Royalties do Petróleo</dc:title>
  <dc:subject>Finanças do Setor Público, artigo acadêmico, formatação ABNT</dc:subject>
  <dc:creator/>
  <cp:keywords/>
  <dc:description>generated by python-docx</dc:description>
  <cp:lastModifiedBy>Carlos Henrique Ferreira Queiroz</cp:lastModifiedBy>
  <cp:revision>5</cp:revision>
  <dcterms:created xsi:type="dcterms:W3CDTF">2013-12-23T23:15:00Z</dcterms:created>
  <dcterms:modified xsi:type="dcterms:W3CDTF">2026-10-24T22:45:00Z</dcterms:modified>
  <cp:category/>
</cp:coreProperties>
</file>