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BEE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MAINTENANCE SERVICES AGREEMENT</w:t>
      </w:r>
    </w:p>
    <w:p w14:paraId="219B9BF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Agreement No.: MSA-2021-0156 Effective Date: July 1, 2021</w:t>
      </w:r>
    </w:p>
    <w:p w14:paraId="69BAB90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55E3632B">
          <v:rect id="_x0000_i1250" style="width:0;height:.75pt" o:hralign="center" o:hrstd="t" o:hr="t" fillcolor="#a0a0a0" stroked="f"/>
        </w:pict>
      </w:r>
    </w:p>
    <w:p w14:paraId="3B593622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THIS MAINTENANCE SERVICES AGREEMENT (the "Agreement") is entered into as of the Effective Date by and between:</w:t>
      </w:r>
    </w:p>
    <w:p w14:paraId="687E821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Contoso 100 Enterprise Way Metropolis, ST 10001 ("Contoso" or "Client")</w:t>
      </w:r>
    </w:p>
    <w:p w14:paraId="585211C9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AND</w:t>
      </w:r>
    </w:p>
    <w:p w14:paraId="5F812CE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PROMAINTAIN SERVICES INC. 2800 Commerce Road, Building C Lakeside, ST 20001 Corporation No. 1876543 ("Provider")</w:t>
      </w:r>
    </w:p>
    <w:p w14:paraId="79A46E6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0F60550C">
          <v:rect id="_x0000_i1251" style="width:0;height:.75pt" o:hralign="center" o:hrstd="t" o:hr="t" fillcolor="#a0a0a0" stroked="f"/>
        </w:pict>
      </w:r>
    </w:p>
    <w:p w14:paraId="342D945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RECITALS</w:t>
      </w:r>
    </w:p>
    <w:p w14:paraId="53A04C0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WHEREAS Contoso requires operational equipment maintenance, facility maintenance, and related support services at various domestic facility locations; and</w:t>
      </w:r>
    </w:p>
    <w:p w14:paraId="4791AFDD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WHEREAS ProMaintain Services Inc. is a provider of equipment and facility maintenance services;</w:t>
      </w:r>
    </w:p>
    <w:p w14:paraId="3B148CC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NOW, THEREFORE, the Parties agree as follows:</w:t>
      </w:r>
    </w:p>
    <w:p w14:paraId="1E695974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7DAB5A76">
          <v:rect id="_x0000_i1252" style="width:0;height:.75pt" o:hralign="center" o:hrstd="t" o:hr="t" fillcolor="#a0a0a0" stroked="f"/>
        </w:pict>
      </w:r>
    </w:p>
    <w:p w14:paraId="4A99829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1. TERM</w:t>
      </w:r>
    </w:p>
    <w:p w14:paraId="7E33D7A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1.1 This Agreement commenced on July 1, 2021 and had an initial term of two (2) years, ending on June 30, 2023.</w:t>
      </w:r>
    </w:p>
    <w:p w14:paraId="25E645F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1.2 This Agreement may be renewed for successive one (1)-year terms by mutual written agreement, provided that written notice of intent to renew is given at least sixty (60) days prior to expiration.</w:t>
      </w:r>
    </w:p>
    <w:p w14:paraId="0E1601A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31BA6E68">
          <v:rect id="_x0000_i1253" style="width:0;height:.75pt" o:hralign="center" o:hrstd="t" o:hr="t" fillcolor="#a0a0a0" stroked="f"/>
        </w:pict>
      </w:r>
    </w:p>
    <w:p w14:paraId="7D4A01A3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2. SCOPE OF SERVICES</w:t>
      </w:r>
    </w:p>
    <w:p w14:paraId="1B2DBD3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2.1 Provider shall provide the following maintenance services at Contoso's designated facility locations (Facility A, Facility B, Vancouver ):</w:t>
      </w:r>
    </w:p>
    <w:p w14:paraId="44C1536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(a) Equipment Maintenance: Preventive and corrective maintenance of forklifts, transport vehicles, industrial machinery, and other operational equipment;</w:t>
      </w:r>
    </w:p>
    <w:p w14:paraId="47A88D0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lastRenderedPageBreak/>
        <w:t>(b) Facility Maintenance: HVAC, electrical, plumbing, and general facility maintenance for Contoso's terminal facilities, warehouse spaces, and operations centres;</w:t>
      </w:r>
    </w:p>
    <w:p w14:paraId="28360DE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(c) Emergency Repair Services: 24/7 emergency response for equipment failures and facility issues affecting service operations;</w:t>
      </w:r>
    </w:p>
    <w:p w14:paraId="3CBFDC5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(d) Seasonal Services: Seasonal equipment preparation, maintenance scheduling, and readiness programs;</w:t>
      </w:r>
    </w:p>
    <w:p w14:paraId="2773C5E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(e) Regulatory Compliance Support: Assistance with regulatory and facility authority compliance inspections.</w:t>
      </w:r>
    </w:p>
    <w:p w14:paraId="1F7BE46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2.2 Provider shall maintain a minimum staffing level of twelve (12) qualified technicians across all three locations during operational hours.</w:t>
      </w:r>
    </w:p>
    <w:p w14:paraId="6EF6AAD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582A6A44">
          <v:rect id="_x0000_i1254" style="width:0;height:.75pt" o:hralign="center" o:hrstd="t" o:hr="t" fillcolor="#a0a0a0" stroked="f"/>
        </w:pict>
      </w:r>
    </w:p>
    <w:p w14:paraId="08060A3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3. FEES AND PAYMENT</w:t>
      </w:r>
    </w:p>
    <w:p w14:paraId="6AC3050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3.1 Contoso shall pay Provider an annual fee of Ninety-Five Thousand domestic Dollars (USD $95,000), payable in equal monthly instalments of USD $7,916.67.</w:t>
      </w:r>
    </w:p>
    <w:p w14:paraId="56A57D1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3.2 Emergency repair services outside of regular scope shall be invoiced separately at pre-agreed rates set forth in Schedule B (Rate Card).</w:t>
      </w:r>
    </w:p>
    <w:p w14:paraId="25BDC6F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3.3 Contoso shall pay undisputed invoices within Net 30 days of receipt.</w:t>
      </w:r>
    </w:p>
    <w:p w14:paraId="7C87784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3.4 Fees are subject to annual adjustment based on the Consumer Price Index, not to exceed 2% per year.</w:t>
      </w:r>
    </w:p>
    <w:p w14:paraId="741E279D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6E3B8E6A">
          <v:rect id="_x0000_i1255" style="width:0;height:.75pt" o:hralign="center" o:hrstd="t" o:hr="t" fillcolor="#a0a0a0" stroked="f"/>
        </w:pict>
      </w:r>
    </w:p>
    <w:p w14:paraId="43E29A8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4. REPRESENTATIONS AND WARRANTIES</w:t>
      </w:r>
    </w:p>
    <w:p w14:paraId="675048C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4.1 Each Party represents that it has the authority to enter into this Agreement.</w:t>
      </w:r>
    </w:p>
    <w:p w14:paraId="0E04B23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4.2 Provider represents and warrants that:</w:t>
      </w:r>
    </w:p>
    <w:p w14:paraId="6534C89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(a) All Services shall be performed in a professional manner consistent with industry standards for enterprise maintenance services;</w:t>
      </w:r>
    </w:p>
    <w:p w14:paraId="3500D51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(b) Provider shall comply with all applicable laws, including applicable industry regulations;</w:t>
      </w:r>
    </w:p>
    <w:p w14:paraId="7BFC046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(c) Provider's technicians shall hold all required certifications and licenses;</w:t>
      </w:r>
    </w:p>
    <w:p w14:paraId="0E42124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lastRenderedPageBreak/>
        <w:t>(d) Provider shall comply with Contoso's safety policies and facility security requirements.</w:t>
      </w:r>
    </w:p>
    <w:p w14:paraId="17C4EC04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4.3 Warranties shall survive for twelve (12) months following completion of Services.</w:t>
      </w:r>
    </w:p>
    <w:p w14:paraId="789F195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7DD35EEE">
          <v:rect id="_x0000_i1256" style="width:0;height:.75pt" o:hralign="center" o:hrstd="t" o:hr="t" fillcolor="#a0a0a0" stroked="f"/>
        </w:pict>
      </w:r>
    </w:p>
    <w:p w14:paraId="0A9BE7D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5. COMPLIANCE AND CERTIFICATIONS</w:t>
      </w:r>
    </w:p>
    <w:p w14:paraId="1A18DBE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5.1 Provider warrants that it complies with the following standards:</w:t>
      </w:r>
    </w:p>
    <w:p w14:paraId="46B7D48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(a) industry regulatory authority requirements for operational equipment maintenance -- Provider holds Approved Maintenance Organization certificate No. MO-2019-4567;</w:t>
      </w:r>
    </w:p>
    <w:p w14:paraId="156102B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(b) domestic Standards Association (CSA) standards for electrical and facility maintenance;</w:t>
      </w:r>
    </w:p>
    <w:p w14:paraId="45B18E0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(c) Industry Standards Body Safety Audit for Ground Operations (industry safety audit) -- Provider certified as of March 2020;</w:t>
      </w:r>
    </w:p>
    <w:p w14:paraId="47A380A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(d) Occupational Health and Safety Act compliance;</w:t>
      </w:r>
    </w:p>
    <w:p w14:paraId="668C8BF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(e) hazardous materials training standards compliance for hazardous materials handling.</w:t>
      </w:r>
    </w:p>
    <w:p w14:paraId="38E387F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30EDDC5A">
          <v:rect id="_x0000_i1257" style="width:0;height:.75pt" o:hralign="center" o:hrstd="t" o:hr="t" fillcolor="#a0a0a0" stroked="f"/>
        </w:pict>
      </w:r>
    </w:p>
    <w:p w14:paraId="0BE499E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6. INSURANCE</w:t>
      </w:r>
    </w:p>
    <w:p w14:paraId="5BF1E89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6.1 Provider shall maintain:</w:t>
      </w:r>
    </w:p>
    <w:p w14:paraId="6A7504B4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(a) Commercial General Liability: $1,000,000 per occurrence / $2,000,000 aggregate;</w:t>
      </w:r>
    </w:p>
    <w:p w14:paraId="2642666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(b) Workers' Compensation: As required by law;</w:t>
      </w:r>
    </w:p>
    <w:p w14:paraId="5C5F3E4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(c) Automobile Liability: $1,000,000 combined single limit.</w:t>
      </w:r>
    </w:p>
    <w:p w14:paraId="4CE61BB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6.2 No requirement for Contoso to be named as additional insured.</w:t>
      </w:r>
    </w:p>
    <w:p w14:paraId="32C20C1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6.3 No requirement for Professional Liability insurance.</w:t>
      </w:r>
    </w:p>
    <w:p w14:paraId="59572C5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302B4755">
          <v:rect id="_x0000_i1258" style="width:0;height:.75pt" o:hralign="center" o:hrstd="t" o:hr="t" fillcolor="#a0a0a0" stroked="f"/>
        </w:pict>
      </w:r>
    </w:p>
    <w:p w14:paraId="004DF3B6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7. INDEMNIFICATION</w:t>
      </w:r>
    </w:p>
    <w:p w14:paraId="498B2D43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7.1 Provider shall indemnify Contoso from claims arising from Provider's negligence or willful misconduct in performing the Services.</w:t>
      </w:r>
    </w:p>
    <w:p w14:paraId="7B543A4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7.2 Contoso shall indemnify Provider from claims arising from Contoso's negligence.</w:t>
      </w:r>
    </w:p>
    <w:p w14:paraId="694BD2C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lastRenderedPageBreak/>
        <w:t>7.3 Standard indemnification procedures apply.</w:t>
      </w:r>
    </w:p>
    <w:p w14:paraId="1CE3518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[Note: Indemnification is present but basic. Missing specific carve-outs for IP infringement, data breach, and violation of laws per PROC-POL S3.1. Acceptable for this contract type but should be strengthened upon renewal.]</w:t>
      </w:r>
    </w:p>
    <w:p w14:paraId="57BA707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075C4B2B">
          <v:rect id="_x0000_i1259" style="width:0;height:.75pt" o:hralign="center" o:hrstd="t" o:hr="t" fillcolor="#a0a0a0" stroked="f"/>
        </w:pict>
      </w:r>
    </w:p>
    <w:p w14:paraId="267984A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8. LIMITATION OF LIABILITY</w:t>
      </w:r>
    </w:p>
    <w:p w14:paraId="1EE4064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8.1 Neither Party's aggregate liability shall exceed the total annual fees under this Agreement ($95,000).</w:t>
      </w:r>
    </w:p>
    <w:p w14:paraId="2CD2211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8.2 Neither Party shall be liable for indirect, incidental, or consequential damages.</w:t>
      </w:r>
    </w:p>
    <w:p w14:paraId="144D6CB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[Note: No carve-outs for excluded claims. Should include carve-outs per PROC-POL S3.2.]</w:t>
      </w:r>
    </w:p>
    <w:p w14:paraId="79517DA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7ABC6870">
          <v:rect id="_x0000_i1260" style="width:0;height:.75pt" o:hralign="center" o:hrstd="t" o:hr="t" fillcolor="#a0a0a0" stroked="f"/>
        </w:pict>
      </w:r>
    </w:p>
    <w:p w14:paraId="464D63B4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9. INTELLECTUAL PROPERTY</w:t>
      </w:r>
    </w:p>
    <w:p w14:paraId="21F6BE8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9.1 All maintenance records, reports, and documentation created for Contoso under this Agreement shall be the property of Contoso.</w:t>
      </w:r>
    </w:p>
    <w:p w14:paraId="11F89F49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9.2 Provider retains ownership of its proprietary maintenance procedures and methodologies.</w:t>
      </w:r>
    </w:p>
    <w:p w14:paraId="0A035D42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[Note: Acceptable for this contract type. IP provisions are straightforward.]</w:t>
      </w:r>
    </w:p>
    <w:p w14:paraId="3E1D671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28FF9D41">
          <v:rect id="_x0000_i1261" style="width:0;height:.75pt" o:hralign="center" o:hrstd="t" o:hr="t" fillcolor="#a0a0a0" stroked="f"/>
        </w:pict>
      </w:r>
    </w:p>
    <w:p w14:paraId="0909E84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10. CONFIDENTIALITY</w:t>
      </w:r>
    </w:p>
    <w:p w14:paraId="5C21BC3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10.1 Each Party shall maintain the confidentiality of the other Party's proprietary information.</w:t>
      </w:r>
    </w:p>
    <w:p w14:paraId="153E9FE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10.2 Confidentiality obligations survive for three (3) years following termination.</w:t>
      </w:r>
    </w:p>
    <w:p w14:paraId="1E89993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10.3 Return or destruction of confidential information upon termination within sixty (60) days.</w:t>
      </w:r>
    </w:p>
    <w:p w14:paraId="1FC8B312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71409729">
          <v:rect id="_x0000_i1262" style="width:0;height:.75pt" o:hralign="center" o:hrstd="t" o:hr="t" fillcolor="#a0a0a0" stroked="f"/>
        </w:pict>
      </w:r>
    </w:p>
    <w:p w14:paraId="718A815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11. TERMINATION</w:t>
      </w:r>
    </w:p>
    <w:p w14:paraId="69900113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11.1 Termination for Convenience. Either Party may terminate with sixty (60) days' written notice.</w:t>
      </w:r>
    </w:p>
    <w:p w14:paraId="5486317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lastRenderedPageBreak/>
        <w:t>11.2 Termination for Cause. Either Party may terminate upon thirty (30) days' notice for material breach that remains uncured.</w:t>
      </w:r>
    </w:p>
    <w:p w14:paraId="3B244380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11.3 Immediate Termination. Contoso may terminate immediately for safety incidents or regulatory violations.</w:t>
      </w:r>
    </w:p>
    <w:p w14:paraId="793E51D9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[Note: Termination provisions are adequate. Termination for convenience is present.]</w:t>
      </w:r>
    </w:p>
    <w:p w14:paraId="66D6F58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55F3E3D9">
          <v:rect id="_x0000_i1263" style="width:0;height:.75pt" o:hralign="center" o:hrstd="t" o:hr="t" fillcolor="#a0a0a0" stroked="f"/>
        </w:pict>
      </w:r>
    </w:p>
    <w:p w14:paraId="5F972F03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12. SAFETY AND SECURITY</w:t>
      </w:r>
    </w:p>
    <w:p w14:paraId="45F36B8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12.1 Provider shall comply with all applicable regulatory safety requirements and Contoso's safety management system.</w:t>
      </w:r>
    </w:p>
    <w:p w14:paraId="26718B17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12.2 Provider's personnel shall obtain and maintain all required facility security clearances (Secure Area Identity Cards).</w:t>
      </w:r>
    </w:p>
    <w:p w14:paraId="6CF1B1C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12.3 Provider shall report all safety incidents, including near-misses, within four (4) hours.</w:t>
      </w:r>
    </w:p>
    <w:p w14:paraId="0F3E9AA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12.4 Provider shall participate in Contoso's safety audit program.</w:t>
      </w:r>
    </w:p>
    <w:p w14:paraId="6FC0C84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0878E1AA">
          <v:rect id="_x0000_i1264" style="width:0;height:.75pt" o:hralign="center" o:hrstd="t" o:hr="t" fillcolor="#a0a0a0" stroked="f"/>
        </w:pict>
      </w:r>
    </w:p>
    <w:p w14:paraId="51CFEEB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13. GOVERNING LAW</w:t>
      </w:r>
    </w:p>
    <w:p w14:paraId="31058878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13.1 This Agreement is governed by the laws of the State of New York and the federal laws of the domestic jurisdiction.</w:t>
      </w:r>
    </w:p>
    <w:p w14:paraId="3C5140F4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13.2 Disputes shall be resolved through negotiation, then mediation, then the competent state courts.</w:t>
      </w:r>
    </w:p>
    <w:p w14:paraId="1435B6E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2075E477">
          <v:rect id="_x0000_i1265" style="width:0;height:.75pt" o:hralign="center" o:hrstd="t" o:hr="t" fillcolor="#a0a0a0" stroked="f"/>
        </w:pict>
      </w:r>
    </w:p>
    <w:p w14:paraId="6BB72CE3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14. FORCE MAJEURE</w:t>
      </w:r>
    </w:p>
    <w:p w14:paraId="6D41E04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14.1 Neither Party is liable for failures due to events beyond reasonable control, including natural disasters, government actions, war, and strikes.</w:t>
      </w:r>
    </w:p>
    <w:p w14:paraId="1346A9BD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[Note: Basic force majeure clause. Missing enterprise-specific events (regulatory authority directives) per PROC-POL S3.6. Missing mitigation obligation and 90-day termination right.]</w:t>
      </w:r>
    </w:p>
    <w:p w14:paraId="18EA815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65CA7B6D">
          <v:rect id="_x0000_i1266" style="width:0;height:.75pt" o:hralign="center" o:hrstd="t" o:hr="t" fillcolor="#a0a0a0" stroked="f"/>
        </w:pict>
      </w:r>
    </w:p>
    <w:p w14:paraId="776FC91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15. DATA HANDLING</w:t>
      </w:r>
    </w:p>
    <w:p w14:paraId="1682F1F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lastRenderedPageBreak/>
        <w:t>15.1 Provider shall handle Contoso data in accordance with applicable privacy laws.</w:t>
      </w:r>
    </w:p>
    <w:p w14:paraId="388A676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15.2 No specific data breach notification timeline specified.</w:t>
      </w:r>
    </w:p>
    <w:p w14:paraId="30ACC05E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23EDE867">
          <v:rect id="_x0000_i1267" style="width:0;height:.75pt" o:hralign="center" o:hrstd="t" o:hr="t" fillcolor="#a0a0a0" stroked="f"/>
        </w:pict>
      </w:r>
    </w:p>
    <w:p w14:paraId="6E5C9E9A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16. GENERAL PROVISIONS</w:t>
      </w:r>
    </w:p>
    <w:p w14:paraId="723D6C95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16.1 Entire agreement. 16.2 Written amendments only. 16.3 No assignment without consent. 16.4 Independent contractor. 16.5 Severability. 16.6 Counterparts.</w:t>
      </w:r>
    </w:p>
    <w:p w14:paraId="397B8D09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78F98F28">
          <v:rect id="_x0000_i1268" style="width:0;height:.75pt" o:hralign="center" o:hrstd="t" o:hr="t" fillcolor="#a0a0a0" stroked="f"/>
        </w:pict>
      </w:r>
    </w:p>
    <w:p w14:paraId="53DE6451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SIGNATURES</w:t>
      </w:r>
    </w:p>
    <w:p w14:paraId="15BB4D4C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Contoso</w:t>
      </w:r>
    </w:p>
    <w:p w14:paraId="4D91163B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Signature: _________________________ Name: Marc-Andre Bouchard Title: Manager, Facility Operations Date: July 1, 2021</w:t>
      </w:r>
    </w:p>
    <w:p w14:paraId="520EA30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PROMAINTAIN SERVICES INC.</w:t>
      </w:r>
    </w:p>
    <w:p w14:paraId="1692572F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t>Signature: _________________________ Name: Frank Morrison Title: President Date: July 1, 2021</w:t>
      </w:r>
    </w:p>
    <w:p w14:paraId="07276CA9" w14:textId="77777777" w:rsidR="00E53943" w:rsidRPr="00E53943" w:rsidRDefault="00E53943" w:rsidP="00E53943">
      <w:pPr>
        <w:rPr>
          <w:b/>
          <w:bCs/>
        </w:rPr>
      </w:pPr>
      <w:r w:rsidRPr="00E53943">
        <w:rPr>
          <w:b/>
          <w:bCs/>
        </w:rPr>
        <w:pict w14:anchorId="18F5E646">
          <v:rect id="_x0000_i1269" style="width:0;height:.75pt" o:hralign="center" o:hrstd="t" o:hr="t" fillcolor="#a0a0a0" stroked="f"/>
        </w:pict>
      </w:r>
    </w:p>
    <w:p w14:paraId="3F80401A" w14:textId="77777777" w:rsidR="00A67A75" w:rsidRPr="00E53943" w:rsidRDefault="00A67A75" w:rsidP="00E53943"/>
    <w:sectPr w:rsidR="00A67A75" w:rsidRPr="00E539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EF6"/>
    <w:multiLevelType w:val="multilevel"/>
    <w:tmpl w:val="31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B09B3"/>
    <w:multiLevelType w:val="multilevel"/>
    <w:tmpl w:val="A98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3779">
    <w:abstractNumId w:val="0"/>
  </w:num>
  <w:num w:numId="2" w16cid:durableId="163571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93"/>
    <w:rsid w:val="000C39D9"/>
    <w:rsid w:val="0014682C"/>
    <w:rsid w:val="002B4AFD"/>
    <w:rsid w:val="002F19EB"/>
    <w:rsid w:val="00356193"/>
    <w:rsid w:val="004738AD"/>
    <w:rsid w:val="006F52AC"/>
    <w:rsid w:val="00785DC6"/>
    <w:rsid w:val="00921396"/>
    <w:rsid w:val="00A67A75"/>
    <w:rsid w:val="00A7103C"/>
    <w:rsid w:val="00E5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C68D"/>
  <w15:chartTrackingRefBased/>
  <w15:docId w15:val="{DF324760-8C40-4C8E-BD5B-00A46F13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Rocchetti</dc:creator>
  <cp:keywords/>
  <dc:description/>
  <cp:lastModifiedBy>Carlos Rocchetti</cp:lastModifiedBy>
  <cp:revision>4</cp:revision>
  <dcterms:created xsi:type="dcterms:W3CDTF">2026-04-17T17:11:00Z</dcterms:created>
  <dcterms:modified xsi:type="dcterms:W3CDTF">2026-04-17T17:17:00Z</dcterms:modified>
</cp:coreProperties>
</file>