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C97F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STRATEGIC PARTNERSHIP AND SERVICES AGREEMENT</w:t>
      </w:r>
    </w:p>
    <w:p w14:paraId="0D7E6A7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Agreement Reference: SPA-2024-0298 Date: April 15, 2024</w:t>
      </w:r>
    </w:p>
    <w:p w14:paraId="45C8517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74F5A0E3">
          <v:rect id="_x0000_i1240" style="width:0;height:.75pt" o:hralign="center" o:hrstd="t" o:hr="t" fillcolor="#a0a0a0" stroked="f"/>
        </w:pict>
      </w:r>
    </w:p>
    <w:p w14:paraId="30EA3F70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THIS STRATEGIC PARTNERSHIP AND SERVICES AGREEMENT (the "Agreement") is made and entered into by and between:</w:t>
      </w:r>
    </w:p>
    <w:p w14:paraId="2590732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Contoso 100 Enterprise Way Metropolis, ST 10001 ("Contoso" or "Client")</w:t>
      </w:r>
    </w:p>
    <w:p w14:paraId="319F1D6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AND</w:t>
      </w:r>
    </w:p>
    <w:p w14:paraId="4037B7A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SKYBRIDGE ANALYTICS CORP. 150 Commerce Street, Suite 1200 Riverside, ST 20002 Corporation No. 2345678 ("Provider" or "Partner")</w:t>
      </w:r>
    </w:p>
    <w:p w14:paraId="348D8D8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0E2A0A12">
          <v:rect id="_x0000_i1241" style="width:0;height:.75pt" o:hralign="center" o:hrstd="t" o:hr="t" fillcolor="#a0a0a0" stroked="f"/>
        </w:pict>
      </w:r>
    </w:p>
    <w:p w14:paraId="357C858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RECITALS</w:t>
      </w:r>
    </w:p>
    <w:p w14:paraId="051AAEE9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WHEREAS Contoso seeks to enhance its data analytics capabilities for operations optimization, customer experience improvement, and operational efficiency; and</w:t>
      </w:r>
    </w:p>
    <w:p w14:paraId="6BB4DC9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WHEREAS SkyBridge Analytics Corp. is a domestic data analytics and artificial intelligence company specializing in enterprise data analytics;</w:t>
      </w:r>
    </w:p>
    <w:p w14:paraId="147F4C5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NOW, THEREFORE, in consideration of the mutual covenants herein, the Parties agree as follows:</w:t>
      </w:r>
    </w:p>
    <w:p w14:paraId="729FB9E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7DD113B3">
          <v:rect id="_x0000_i1242" style="width:0;height:.75pt" o:hralign="center" o:hrstd="t" o:hr="t" fillcolor="#a0a0a0" stroked="f"/>
        </w:pict>
      </w:r>
    </w:p>
    <w:p w14:paraId="74ACDEF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1. TERM</w:t>
      </w:r>
    </w:p>
    <w:p w14:paraId="26F36FB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1.1 This Agreement shall commence on May 1, 2024 and continue for an initial term of two (2) years, ending on April 30, 2026.</w:t>
      </w:r>
    </w:p>
    <w:p w14:paraId="6412B22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1.2 This Agreement may be renewed by mutual written agreement of both Parties for successive one (1)-year terms, with negotiations to commence no later than ninety (90) days prior to expiration.</w:t>
      </w:r>
    </w:p>
    <w:p w14:paraId="3C494BC0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58EDBEF3">
          <v:rect id="_x0000_i1243" style="width:0;height:.75pt" o:hralign="center" o:hrstd="t" o:hr="t" fillcolor="#a0a0a0" stroked="f"/>
        </w:pict>
      </w:r>
    </w:p>
    <w:p w14:paraId="62EBC67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2. SCOPE OF SERVICES</w:t>
      </w:r>
    </w:p>
    <w:p w14:paraId="0A29822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2.1 Provider shall deliver the following analytics and data science services:</w:t>
      </w:r>
    </w:p>
    <w:p w14:paraId="75739BA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(a) Operations Optimization Analytics: Development and deployment of predictive models for regional profitability analysis, demand forecasting, and resource optimization;</w:t>
      </w:r>
    </w:p>
    <w:p w14:paraId="6F26AB4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(b) Customer Experience Analytics: Customer sentiment analysis, loyalty program optimization, and personalized service recommendation engines;</w:t>
      </w:r>
    </w:p>
    <w:p w14:paraId="3984E44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(c) Operational Analytics: Resource turnaround optimization, workforce scheduling analytics, and predictive maintenance alerting;</w:t>
      </w:r>
    </w:p>
    <w:p w14:paraId="3A3782B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(d) Dashboard and Reporting: Executive dashboards, self-service analytics portals, and automated reporting pipelines;</w:t>
      </w:r>
    </w:p>
    <w:p w14:paraId="7E9F76E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(e) Model Training and Maintenance: Ongoing model retraining, performance monitoring, and accuracy optimization.</w:t>
      </w:r>
    </w:p>
    <w:p w14:paraId="46A191D9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2.2 Detailed specifications are set forth in Schedule A (Statement of Work).</w:t>
      </w:r>
    </w:p>
    <w:p w14:paraId="3F651D8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33C3531C">
          <v:rect id="_x0000_i1244" style="width:0;height:.75pt" o:hralign="center" o:hrstd="t" o:hr="t" fillcolor="#a0a0a0" stroked="f"/>
        </w:pict>
      </w:r>
    </w:p>
    <w:p w14:paraId="2529B86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3. FEES AND PAYMENT</w:t>
      </w:r>
    </w:p>
    <w:p w14:paraId="4C9324E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3.1 Contoso shall pay Provider a total annual fee of One Hundred Eighty Thousand domestic Dollars (USD $180,000), structured as follows: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3"/>
        <w:gridCol w:w="1514"/>
      </w:tblGrid>
      <w:tr w:rsidR="00767472" w:rsidRPr="00767472" w14:paraId="2C7446F9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3FB6638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Component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D43F1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Annual Fee</w:t>
            </w:r>
          </w:p>
        </w:tc>
      </w:tr>
      <w:tr w:rsidR="00767472" w:rsidRPr="00767472" w14:paraId="1799DF7B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D390CF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Operations Optimization Analytics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666FA36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$60,000</w:t>
            </w:r>
          </w:p>
        </w:tc>
      </w:tr>
      <w:tr w:rsidR="00767472" w:rsidRPr="00767472" w14:paraId="53CDA0B8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1F40D0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Customer Experience Analytics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B0617D9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$45,000</w:t>
            </w:r>
          </w:p>
        </w:tc>
      </w:tr>
      <w:tr w:rsidR="00767472" w:rsidRPr="00767472" w14:paraId="00BFE871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29B983A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Operational Analytics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62B9354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$40,000</w:t>
            </w:r>
          </w:p>
        </w:tc>
      </w:tr>
      <w:tr w:rsidR="00767472" w:rsidRPr="00767472" w14:paraId="5C6A6BF6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D44F251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Dashboard and Reporting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110144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$20,000</w:t>
            </w:r>
          </w:p>
        </w:tc>
      </w:tr>
      <w:tr w:rsidR="00767472" w:rsidRPr="00767472" w14:paraId="634D5547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BCA989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Model Training and Maintenance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5C0DF8F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$15,000</w:t>
            </w:r>
          </w:p>
        </w:tc>
      </w:tr>
      <w:tr w:rsidR="00767472" w:rsidRPr="00767472" w14:paraId="13575DF0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8CD66F3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Total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F3502A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$180,000</w:t>
            </w:r>
          </w:p>
        </w:tc>
      </w:tr>
    </w:tbl>
    <w:p w14:paraId="19BB6B4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3.2 Fees are payable in equal monthly instalments of USD $15,000.</w:t>
      </w:r>
    </w:p>
    <w:p w14:paraId="460F20EA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3.3 Contoso shall pay undisputed invoices within Net 45 days of receipt. [Per PROC-POL S5 -- contract value $50K-$499K]</w:t>
      </w:r>
    </w:p>
    <w:p w14:paraId="4D6E8B9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3.4 All fees are exclusive of applicable taxes. Provider shall separately state Sales Tax (Registration No. 834567123RT0001) on all invoices.</w:t>
      </w:r>
    </w:p>
    <w:p w14:paraId="24EE373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3.5 Fees shall remain fixed during the initial term.</w:t>
      </w:r>
    </w:p>
    <w:p w14:paraId="61C8E92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6758230D">
          <v:rect id="_x0000_i1245" style="width:0;height:.75pt" o:hralign="center" o:hrstd="t" o:hr="t" fillcolor="#a0a0a0" stroked="f"/>
        </w:pict>
      </w:r>
    </w:p>
    <w:p w14:paraId="73A59BD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4. SERVICE LEVELS</w:t>
      </w:r>
    </w:p>
    <w:p w14:paraId="3359628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4.1 Provider shall maintain the following service levels: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72"/>
        <w:gridCol w:w="4038"/>
      </w:tblGrid>
      <w:tr w:rsidR="00767472" w:rsidRPr="00767472" w14:paraId="5B3DB354" w14:textId="77777777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726790B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Service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FE48DA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SLA Target</w:t>
            </w:r>
          </w:p>
        </w:tc>
      </w:tr>
      <w:tr w:rsidR="00767472" w:rsidRPr="00767472" w14:paraId="6D05F5CE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157913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Analytics Platform Availability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7D2CCC1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99.5% monthly uptime</w:t>
            </w:r>
          </w:p>
        </w:tc>
      </w:tr>
      <w:tr w:rsidR="00767472" w:rsidRPr="00767472" w14:paraId="25EF2AF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8B3DD0B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Model Refresh Frequency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33B68D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Weekly (or as specified per model)</w:t>
            </w:r>
          </w:p>
        </w:tc>
      </w:tr>
      <w:tr w:rsidR="00767472" w:rsidRPr="00767472" w14:paraId="5BDC195F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3504D93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Dashboard Update Latency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BCE64F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&lt; 4 hours from data availability</w:t>
            </w:r>
          </w:p>
        </w:tc>
      </w:tr>
      <w:tr w:rsidR="00767472" w:rsidRPr="00767472" w14:paraId="5238DFB9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5C645F4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Support Response (Critical)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2765F75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2 hours during business hours</w:t>
            </w:r>
          </w:p>
        </w:tc>
      </w:tr>
      <w:tr w:rsidR="00767472" w:rsidRPr="00767472" w14:paraId="14A2F744" w14:textId="77777777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AEB9C56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Support Response (Standard)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BD9912A" w14:textId="77777777" w:rsidR="00767472" w:rsidRPr="00767472" w:rsidRDefault="00767472" w:rsidP="00767472">
            <w:pPr>
              <w:rPr>
                <w:b/>
                <w:bCs/>
              </w:rPr>
            </w:pPr>
            <w:r w:rsidRPr="00767472">
              <w:rPr>
                <w:b/>
                <w:bCs/>
              </w:rPr>
              <w:t>8 business hours</w:t>
            </w:r>
          </w:p>
        </w:tc>
      </w:tr>
    </w:tbl>
    <w:p w14:paraId="4AF49AA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4.2 Provider shall deliver monthly performance reports within five (5) business days of month-end.</w:t>
      </w:r>
    </w:p>
    <w:p w14:paraId="24DF012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3B45874F">
          <v:rect id="_x0000_i1246" style="width:0;height:.75pt" o:hralign="center" o:hrstd="t" o:hr="t" fillcolor="#a0a0a0" stroked="f"/>
        </w:pict>
      </w:r>
    </w:p>
    <w:p w14:paraId="1A3BAC8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5. REPRESENTATIONS AND WARRANTIES</w:t>
      </w:r>
    </w:p>
    <w:p w14:paraId="7E577B54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5.1 Each Party represents that it is duly organized and has full authority to enter into this Agreement.</w:t>
      </w:r>
    </w:p>
    <w:p w14:paraId="7D234B1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5.2 Provider represents and warrants that:</w:t>
      </w:r>
    </w:p>
    <w:p w14:paraId="4E056C4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(a) The Services shall be performed in a professional manner consistent with industry standards for data analytics providers;</w:t>
      </w:r>
    </w:p>
    <w:p w14:paraId="4117CA6B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(b) All Deliverables shall conform to agreed-upon specifications;</w:t>
      </w:r>
    </w:p>
    <w:p w14:paraId="48BD308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(c) Provider shall comply with all applicable domestic federal and state laws;</w:t>
      </w:r>
    </w:p>
    <w:p w14:paraId="1CFC8E9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(d) The Services shall not infringe any third-party intellectual property rights;</w:t>
      </w:r>
    </w:p>
    <w:p w14:paraId="1FF69930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(e) Provider has all required licenses and certifications;</w:t>
      </w:r>
    </w:p>
    <w:p w14:paraId="525F7C9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(f) Provider shall comply with applicable anti-corruption laws including the applicable anti-corruption laws.</w:t>
      </w:r>
    </w:p>
    <w:p w14:paraId="343C530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5.3 Warranties shall survive for twenty-four (24) months following delivery.</w:t>
      </w:r>
    </w:p>
    <w:p w14:paraId="0949EBAB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7564B684">
          <v:rect id="_x0000_i1247" style="width:0;height:.75pt" o:hralign="center" o:hrstd="t" o:hr="t" fillcolor="#a0a0a0" stroked="f"/>
        </w:pict>
      </w:r>
    </w:p>
    <w:p w14:paraId="73E2B47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6. INDEMNIFICATION</w:t>
      </w:r>
    </w:p>
    <w:p w14:paraId="5B32460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6.1 Provider shall indemnify Contoso from claims arising from:</w:t>
      </w:r>
    </w:p>
    <w:p w14:paraId="32B5135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(a) Provider's breach of this Agreement;</w:t>
      </w:r>
    </w:p>
    <w:p w14:paraId="67B3F58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(b) Provider's negligence or willful misconduct;</w:t>
      </w:r>
    </w:p>
    <w:p w14:paraId="7DDF1EB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(c) Infringement of third-party intellectual property rights by the Services or Deliverables;</w:t>
      </w:r>
    </w:p>
    <w:p w14:paraId="73AA818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(d) Provider's violation of applicable laws.</w:t>
      </w:r>
    </w:p>
    <w:p w14:paraId="6F37646A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6.2 Contoso shall indemnify Provider from claims arising from Contoso's gross negligence or willful misconduct, subject to the limitation of liability.</w:t>
      </w:r>
    </w:p>
    <w:p w14:paraId="3B143104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6.3 Standard indemnification procedures apply (notice, cooperation, control of defense).</w:t>
      </w:r>
    </w:p>
    <w:p w14:paraId="10A93FB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33BAD778">
          <v:rect id="_x0000_i1248" style="width:0;height:.75pt" o:hralign="center" o:hrstd="t" o:hr="t" fillcolor="#a0a0a0" stroked="f"/>
        </w:pict>
      </w:r>
    </w:p>
    <w:p w14:paraId="47FD4FF4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7. LIMITATION OF LIABILITY</w:t>
      </w:r>
    </w:p>
    <w:p w14:paraId="5BF117A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7.1 NEITHER PARTY'S AGGREGATE LIABILITY SHALL EXCEED THE GREATER OF: (A) TWO (2) TIMES THE FEES PAID IN THE TWELVE MONTHS PRECEDING THE CLAIM; OR (B) ONE MILLION DOLLARS (USD $1,000,000).</w:t>
      </w:r>
    </w:p>
    <w:p w14:paraId="4B24937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[At $180K/year, the cap is: max(2 x $180,000, $1,000,000) = $1,000,000 -- compliant with PROC-POL S3.2]</w:t>
      </w:r>
    </w:p>
    <w:p w14:paraId="55393DFA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7.2 NEITHER PARTY SHALL BE LIABLE FOR INDIRECT, INCIDENTAL, SPECIAL, OR CONSEQUENTIAL DAMAGES, EXCEPT FOR: (A) BREACH OF CONFIDENTIALITY; (B) DATA BREACH; (C) GROSS NEGLIGENCE OR WILLFUL MISCONDUCT.</w:t>
      </w:r>
    </w:p>
    <w:p w14:paraId="100B773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21E8F7A1">
          <v:rect id="_x0000_i1249" style="width:0;height:.75pt" o:hralign="center" o:hrstd="t" o:hr="t" fillcolor="#a0a0a0" stroked="f"/>
        </w:pict>
      </w:r>
    </w:p>
    <w:p w14:paraId="22E83E5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8. INTELLECTUAL PROPERTY</w:t>
      </w:r>
    </w:p>
    <w:p w14:paraId="42AC312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8.1 All Contoso data and materials remain Contoso's exclusive property.</w:t>
      </w:r>
    </w:p>
    <w:p w14:paraId="62E74D3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8.2 Deliverables and custom work product:</w:t>
      </w:r>
    </w:p>
    <w:p w14:paraId="5E89DD7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"The ownership of intellectual property in custom models, algorithms, and analytics solutions developed under this Agreement shall be discussed and determined by the Parties on a case-by-case basis, taking into account the relative contributions of each Party."</w:t>
      </w:r>
    </w:p>
    <w:p w14:paraId="6A03128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8.3 Provider retains ownership of its pre-existing analytics platform, tools, and frameworks, and grants Contoso a non-exclusive license to use them as part of the Services during the term of this Agreement.</w:t>
      </w:r>
    </w:p>
    <w:p w14:paraId="12EB74A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01709796">
          <v:rect id="_x0000_i1250" style="width:0;height:.75pt" o:hralign="center" o:hrstd="t" o:hr="t" fillcolor="#a0a0a0" stroked="f"/>
        </w:pict>
      </w:r>
    </w:p>
    <w:p w14:paraId="6DE704C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9. INSURANCE</w:t>
      </w:r>
    </w:p>
    <w:p w14:paraId="52B0406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9.1 Provider shall maintain:</w:t>
      </w:r>
    </w:p>
    <w:p w14:paraId="4EA2B8A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(a) Commercial General Liability: $2,000,000 per occurrence / $5,000,000 aggregate;</w:t>
      </w:r>
    </w:p>
    <w:p w14:paraId="5392E2B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(b) Professional Liability (E&amp;O): $5,000,000 per claim / $10,000,000 aggregate;</w:t>
      </w:r>
    </w:p>
    <w:p w14:paraId="450F7C1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(c) Workers' Compensation: As required by law.</w:t>
      </w:r>
    </w:p>
    <w:p w14:paraId="7E18456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9.2 Contoso shall be named as additional insured on CGL policies.</w:t>
      </w:r>
    </w:p>
    <w:p w14:paraId="042AC84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9.3 Certificates of insurance to be provided annually.</w:t>
      </w:r>
    </w:p>
    <w:p w14:paraId="7852E3A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[Note: Coverage levels are compliant with PROC-POL S6 for Professional/Consulting contract type.]</w:t>
      </w:r>
    </w:p>
    <w:p w14:paraId="1EF4418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5773FC87">
          <v:rect id="_x0000_i1251" style="width:0;height:.75pt" o:hralign="center" o:hrstd="t" o:hr="t" fillcolor="#a0a0a0" stroked="f"/>
        </w:pict>
      </w:r>
    </w:p>
    <w:p w14:paraId="1B83ADF1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10. CONFIDENTIALITY</w:t>
      </w:r>
    </w:p>
    <w:p w14:paraId="25B4C9B9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  <w:i/>
          <w:iCs/>
        </w:rPr>
        <w:t>This Agreement does not contain a confidentiality clause.</w:t>
      </w:r>
    </w:p>
    <w:p w14:paraId="23AB898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17ABB93D">
          <v:rect id="_x0000_i1252" style="width:0;height:.75pt" o:hralign="center" o:hrstd="t" o:hr="t" fillcolor="#a0a0a0" stroked="f"/>
        </w:pict>
      </w:r>
    </w:p>
    <w:p w14:paraId="06C72F20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11. DATA PROTECTION AND PRIVACY</w:t>
      </w:r>
    </w:p>
    <w:p w14:paraId="22678B8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11.1 Provider shall comply with Data Privacy Regulation and applicable state/regional privacy legislation in handling any personal information.</w:t>
      </w:r>
    </w:p>
    <w:p w14:paraId="795FCC7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11.2 Provider acknowledges that certain analytics work may involve customer personal information (booking data, loyalty profiles, travel patterns) and shall implement appropriate safeguards.</w:t>
      </w:r>
    </w:p>
    <w:p w14:paraId="6B350EE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11.3 All data processing shall occur within the domestic jurisdiction at Provider's primary and secondary facilities.</w:t>
      </w:r>
    </w:p>
    <w:p w14:paraId="6D89D45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11.4 Provider shall notify Contoso within twenty-four (24) hours of any data breach.</w:t>
      </w:r>
    </w:p>
    <w:p w14:paraId="5BA3E36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31EE1135">
          <v:rect id="_x0000_i1253" style="width:0;height:.75pt" o:hralign="center" o:hrstd="t" o:hr="t" fillcolor="#a0a0a0" stroked="f"/>
        </w:pict>
      </w:r>
    </w:p>
    <w:p w14:paraId="3957992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12. CYBERSECURITY</w:t>
      </w:r>
    </w:p>
    <w:p w14:paraId="709AF92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12.1 Provider shall maintain:</w:t>
      </w:r>
    </w:p>
    <w:p w14:paraId="04554FC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(a) SOC 2 Type II certification (current report dated June 2023);</w:t>
      </w:r>
    </w:p>
    <w:p w14:paraId="57E2031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(b) Encryption of Contoso data using AES-256 at rest and TLS 1.3 in transit;</w:t>
      </w:r>
    </w:p>
    <w:p w14:paraId="149E8BD7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(c) Multi-factor authentication for all personnel accessing Contoso data;</w:t>
      </w:r>
    </w:p>
    <w:p w14:paraId="216766D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(d) Annual penetration testing;</w:t>
      </w:r>
    </w:p>
    <w:p w14:paraId="16E0EE4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(e) Vulnerability remediation per industry standards.</w:t>
      </w:r>
    </w:p>
    <w:p w14:paraId="4E218E54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12.2 Contoso may conduct security assessments with reasonable notice.</w:t>
      </w:r>
    </w:p>
    <w:p w14:paraId="785E0E5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[Note: Missing ISO 27001 requirement per PROC-POL S7.1, but SOC 2 Type II present. Moderate concern.]</w:t>
      </w:r>
    </w:p>
    <w:p w14:paraId="4B5A34E4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1516F300">
          <v:rect id="_x0000_i1254" style="width:0;height:.75pt" o:hralign="center" o:hrstd="t" o:hr="t" fillcolor="#a0a0a0" stroked="f"/>
        </w:pict>
      </w:r>
    </w:p>
    <w:p w14:paraId="5EABFBB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13. TERMINATION</w:t>
      </w:r>
    </w:p>
    <w:p w14:paraId="06E3D8F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13.1 Termination for Cause. Either Party may terminate upon sixty (60) days' written notice if the other Party materially breaches and fails to cure within such period.</w:t>
      </w:r>
    </w:p>
    <w:p w14:paraId="6E068A5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13.2 Immediate Termination. Contoso may terminate immediately for data breach, insolvency, or violation of applicable law.</w:t>
      </w:r>
    </w:p>
    <w:p w14:paraId="0BF6F27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13.3 Upon termination, Provider shall return all Contoso data within thirty (30) days and certify destruction of copies.</w:t>
      </w:r>
    </w:p>
    <w:p w14:paraId="1BBFBF2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  <w:i/>
          <w:iCs/>
        </w:rPr>
        <w:t>Note: This Agreement does not contain a termination for convenience clause.</w:t>
      </w:r>
    </w:p>
    <w:p w14:paraId="2616114B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2C750B30">
          <v:rect id="_x0000_i1255" style="width:0;height:.75pt" o:hralign="center" o:hrstd="t" o:hr="t" fillcolor="#a0a0a0" stroked="f"/>
        </w:pict>
      </w:r>
    </w:p>
    <w:p w14:paraId="37A22BF6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14. GOVERNING LAW</w:t>
      </w:r>
    </w:p>
    <w:p w14:paraId="637D3B4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14.1 This Agreement is governed by the laws of the State of New York and the federal laws of the domestic jurisdiction.</w:t>
      </w:r>
    </w:p>
    <w:p w14:paraId="56590F5A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14.2 Disputes shall be resolved through negotiation, then AAA mediation, then AAA arbitration in the designated forum.</w:t>
      </w:r>
    </w:p>
    <w:p w14:paraId="31AEDEBE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lastRenderedPageBreak/>
        <w:t>14.3 The Parties acknowledge that this Agreement has been drafted in the English language by mutual consent.</w:t>
      </w:r>
    </w:p>
    <w:p w14:paraId="1CA3D9D8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213AEF28">
          <v:rect id="_x0000_i1256" style="width:0;height:.75pt" o:hralign="center" o:hrstd="t" o:hr="t" fillcolor="#a0a0a0" stroked="f"/>
        </w:pict>
      </w:r>
    </w:p>
    <w:p w14:paraId="54E8FD7F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15. FORCE MAJEURE</w:t>
      </w:r>
    </w:p>
    <w:p w14:paraId="0951DCAA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15.1 Neither Party shall be liable for failures due to events beyond reasonable control, including natural disasters, pandemics, government actions, war, terrorism, strikes, and transportation disruptions.</w:t>
      </w:r>
    </w:p>
    <w:p w14:paraId="248B0BF9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15.2 Affected Party must notify the other within five (5) business days and mitigate.</w:t>
      </w:r>
    </w:p>
    <w:p w14:paraId="05571B5D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15.3 Either Party may terminate without penalty if Force Majeure continues for ninety (90) or more consecutive days.</w:t>
      </w:r>
    </w:p>
    <w:p w14:paraId="79C1725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6CF58647">
          <v:rect id="_x0000_i1257" style="width:0;height:.75pt" o:hralign="center" o:hrstd="t" o:hr="t" fillcolor="#a0a0a0" stroked="f"/>
        </w:pict>
      </w:r>
    </w:p>
    <w:p w14:paraId="0D4C25E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16. GENERAL PROVISIONS</w:t>
      </w:r>
    </w:p>
    <w:p w14:paraId="3D562472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16.1 Entire agreement. 16.2 Written amendments only. 16.3 No assignment without consent (Contoso may assign to Affiliates). 16.4 Independent contractor. 16.5 Severability. 16.6 Counterparts.</w:t>
      </w:r>
    </w:p>
    <w:p w14:paraId="2CC0FEFC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222D4D34">
          <v:rect id="_x0000_i1258" style="width:0;height:.75pt" o:hralign="center" o:hrstd="t" o:hr="t" fillcolor="#a0a0a0" stroked="f"/>
        </w:pict>
      </w:r>
    </w:p>
    <w:p w14:paraId="0302CDA9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SIGNATURES</w:t>
      </w:r>
    </w:p>
    <w:p w14:paraId="1D988425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Contoso</w:t>
      </w:r>
    </w:p>
    <w:p w14:paraId="7F123850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Signature: _________________________ Name: Catherine Levesque Title: Director, Data &amp; Analytics Date: April 15, 2024</w:t>
      </w:r>
    </w:p>
    <w:p w14:paraId="790740BB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SKYBRIDGE ANALYTICS CORP.</w:t>
      </w:r>
    </w:p>
    <w:p w14:paraId="264B46E3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t>Signature: _________________________ Name: Raj Patel Title: Chief Executive Officer Date: April 15, 2024</w:t>
      </w:r>
    </w:p>
    <w:p w14:paraId="30EB3D2B" w14:textId="77777777" w:rsidR="00767472" w:rsidRPr="00767472" w:rsidRDefault="00767472" w:rsidP="00767472">
      <w:pPr>
        <w:rPr>
          <w:b/>
          <w:bCs/>
        </w:rPr>
      </w:pPr>
      <w:r w:rsidRPr="00767472">
        <w:rPr>
          <w:b/>
          <w:bCs/>
        </w:rPr>
        <w:pict w14:anchorId="3EF77DA9">
          <v:rect id="_x0000_i1259" style="width:0;height:.75pt" o:hralign="center" o:hrstd="t" o:hr="t" fillcolor="#a0a0a0" stroked="f"/>
        </w:pict>
      </w:r>
    </w:p>
    <w:p w14:paraId="3F80401A" w14:textId="77777777" w:rsidR="00A67A75" w:rsidRPr="00767472" w:rsidRDefault="00A67A75" w:rsidP="00767472"/>
    <w:sectPr w:rsidR="00A67A75" w:rsidRPr="007674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6EF6"/>
    <w:multiLevelType w:val="multilevel"/>
    <w:tmpl w:val="3100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EB09B3"/>
    <w:multiLevelType w:val="multilevel"/>
    <w:tmpl w:val="A98A9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4303779">
    <w:abstractNumId w:val="0"/>
  </w:num>
  <w:num w:numId="2" w16cid:durableId="1635713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193"/>
    <w:rsid w:val="000A0118"/>
    <w:rsid w:val="000C39D9"/>
    <w:rsid w:val="0014682C"/>
    <w:rsid w:val="002B4AFD"/>
    <w:rsid w:val="002F19EB"/>
    <w:rsid w:val="00356193"/>
    <w:rsid w:val="004738AD"/>
    <w:rsid w:val="006F52AC"/>
    <w:rsid w:val="00767472"/>
    <w:rsid w:val="0078549E"/>
    <w:rsid w:val="00785DC6"/>
    <w:rsid w:val="007D0992"/>
    <w:rsid w:val="00921396"/>
    <w:rsid w:val="00A67A75"/>
    <w:rsid w:val="00A7103C"/>
    <w:rsid w:val="00E53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4C68D"/>
  <w15:chartTrackingRefBased/>
  <w15:docId w15:val="{DF324760-8C40-4C8E-BD5B-00A46F135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1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1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1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1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1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1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1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1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1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1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1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1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1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1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1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1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1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1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1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1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1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1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1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1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1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1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1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1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1366</Words>
  <Characters>7791</Characters>
  <Application>Microsoft Office Word</Application>
  <DocSecurity>0</DocSecurity>
  <Lines>64</Lines>
  <Paragraphs>18</Paragraphs>
  <ScaleCrop>false</ScaleCrop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Rocchetti</dc:creator>
  <cp:keywords/>
  <dc:description/>
  <cp:lastModifiedBy>Carlos Rocchetti</cp:lastModifiedBy>
  <cp:revision>6</cp:revision>
  <dcterms:created xsi:type="dcterms:W3CDTF">2026-04-17T17:11:00Z</dcterms:created>
  <dcterms:modified xsi:type="dcterms:W3CDTF">2026-04-17T17:18:00Z</dcterms:modified>
</cp:coreProperties>
</file>