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This Agreement is entered into between Contoso Inc. and the Vendor. The Vendor shall provide services in accordance with the attached Statement of Work. Payment shall be made within thirty (30) days of invoice receipt.</w:t>
      </w:r>
    </w:p>
    <w:p>
      <w:r>
        <w:t>Either party may terminate this Agreement for convenience upon ninety (90) days written notice. Termination for cause requires a thirty (30) day cure period.</w:t>
      </w:r>
    </w:p>
    <w:p>
      <w:r>
        <w:t>The Vendor's liability under this Agreement shall not exceed the fees paid in the twelve (12) months preceding the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