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ind w:left="567"/>
      </w:pPr>
      <w:r>
        <w:rPr>
          <w:rFonts w:ascii="Segoe UI" w:hAnsi="Segoe UI" w:cs="Segoe UI"/>
          <w:b/>
          <w:i w:val="0"/>
          <w:color w:val="000000"/>
          <w:sz w:val="24"/>
        </w:rPr>
        <w:t>Acco Brands Brasil Ltda   Tilibra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Rua Aymorés, 6-9 – Antárctica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17039-470 – Bauru/SP</w:t>
      </w:r>
    </w:p>
    <w:p>
      <w:pPr>
        <w:spacing w:after="0" w:before="80" w:line="276" w:lineRule="auto"/>
        <w:ind w:left="567"/>
      </w:pPr>
      <w:r>
        <w:rPr>
          <w:rFonts w:ascii="Segoe UI" w:hAnsi="Segoe UI" w:cs="Segoe UI"/>
          <w:b/>
          <w:i w:val="0"/>
          <w:color w:val="000000"/>
          <w:sz w:val="24"/>
        </w:rPr>
        <w:t>A/C.: Sr(a). Rodrigo Teixeira Tavares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/>
          <w:i w:val="0"/>
          <w:color w:val="000000"/>
          <w:sz w:val="24"/>
        </w:rPr>
        <w:t>Engenharia de Manutenção</w:t>
      </w:r>
    </w:p>
    <w:p>
      <w:pPr>
        <w:spacing w:after="160" w:before="160" w:line="276" w:lineRule="auto"/>
        <w:jc w:val="center"/>
        <w:shd w:val="clear" w:color="auto" w:fill="CCCCCC"/>
      </w:pPr>
      <w:r>
        <w:rPr>
          <w:rFonts w:ascii="Segoe UI" w:hAnsi="Segoe UI" w:cs="Segoe UI"/>
          <w:b/>
          <w:i w:val="0"/>
          <w:color w:val="000000"/>
          <w:sz w:val="24"/>
        </w:rPr>
        <w:t>RT-ASSE-2026-08-14-00004</w:t>
      </w:r>
    </w:p>
    <w:p>
      <w:pPr>
        <w:spacing w:after="40" w:before="200" w:line="276" w:lineRule="auto"/>
        <w:ind w:left="567" w:hanging="567"/>
      </w:pPr>
      <w:r>
        <w:rPr>
          <w:rFonts w:ascii="Segoe UI" w:hAnsi="Segoe UI" w:cs="Segoe UI"/>
          <w:b/>
          <w:i w:val="0"/>
          <w:color w:val="000000"/>
          <w:sz w:val="24"/>
        </w:rPr>
        <w:t>1. Objetivo do Relatório</w:t>
      </w:r>
    </w:p>
    <w:p>
      <w:pPr>
        <w:spacing w:after="0" w:before="0" w:line="276" w:lineRule="auto"/>
        <w:ind w:left="567"/>
        <w:jc w:val="both"/>
      </w:pPr>
      <w:r>
        <w:rPr>
          <w:rFonts w:ascii="Segoe UI" w:hAnsi="Segoe UI" w:cs="Segoe UI"/>
          <w:b w:val="0"/>
          <w:i w:val="0"/>
          <w:color w:val="000000"/>
          <w:sz w:val="24"/>
        </w:rPr>
        <w:t>Este relatório técnico tem como objetivo apresentar os resultados das análises técnicas de:</w:t>
      </w:r>
    </w:p>
    <w:p>
      <w:pPr>
        <w:spacing w:after="40" w:before="0" w:line="276" w:lineRule="auto"/>
        <w:ind w:left="567"/>
        <w:jc w:val="both"/>
      </w:pPr>
      <w:r>
        <w:rPr>
          <w:rFonts w:ascii="Segoe UI" w:hAnsi="Segoe UI" w:cs="Segoe UI"/>
          <w:b w:val="0"/>
          <w:i w:val="0"/>
          <w:color w:val="000000"/>
          <w:sz w:val="24"/>
        </w:rPr>
        <w:t>Análise Sensitiva Sensorial</w:t>
      </w:r>
    </w:p>
    <w:p>
      <w:pPr>
        <w:spacing w:after="40" w:before="200" w:line="276" w:lineRule="auto"/>
        <w:ind w:left="567" w:hanging="567"/>
      </w:pPr>
      <w:r>
        <w:rPr>
          <w:rFonts w:ascii="Segoe UI" w:hAnsi="Segoe UI" w:cs="Segoe UI"/>
          <w:b/>
          <w:i w:val="0"/>
          <w:color w:val="000000"/>
          <w:sz w:val="24"/>
        </w:rPr>
        <w:t>2. Data(s) da(s) Execução(ões) da(s) Atividade(s)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Finalização das medições em campo – 14/08/2026</w:t>
      </w:r>
    </w:p>
    <w:p>
      <w:pPr>
        <w:spacing w:after="4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Finalização das análises – —</w:t>
      </w:r>
    </w:p>
    <w:p>
      <w:pPr>
        <w:spacing w:after="40" w:before="200" w:line="276" w:lineRule="auto"/>
        <w:ind w:left="567" w:hanging="567"/>
      </w:pPr>
      <w:r>
        <w:rPr>
          <w:rFonts w:ascii="Segoe UI" w:hAnsi="Segoe UI" w:cs="Segoe UI"/>
          <w:b/>
          <w:i w:val="0"/>
          <w:color w:val="000000"/>
          <w:sz w:val="24"/>
        </w:rPr>
        <w:t>3. Conteúdo do Relatório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Seção A – Carta ao Cliente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Seção B – KPI’s Dashboard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Seção C – Relação de Equipamentos Contemplados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Seção D – Ordens de Serviços Preditivos [corretiva orientada pela preditiva]</w:t>
      </w:r>
    </w:p>
    <w:p>
      <w:pPr>
        <w:spacing w:after="40" w:before="200" w:line="276" w:lineRule="auto"/>
        <w:ind w:left="567" w:hanging="567"/>
      </w:pPr>
      <w:r>
        <w:rPr>
          <w:rFonts w:ascii="Segoe UI" w:hAnsi="Segoe UI" w:cs="Segoe UI"/>
          <w:b/>
          <w:i w:val="0"/>
          <w:color w:val="000000"/>
          <w:sz w:val="24"/>
        </w:rPr>
        <w:t>4. Instrumentação Utilizada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tester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Marca: tst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Modelo: tst01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Serial #: 01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Data da última calibração: 06/08/2026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Validade: Semestral</w:t>
      </w:r>
    </w:p>
    <w:p>
      <w:pPr>
        <w:spacing w:after="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Entidade Calibração: tst</w:t>
      </w:r>
    </w:p>
    <w:p>
      <w:pPr>
        <w:spacing w:after="0" w:before="4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Softwares de Análises</w:t>
      </w:r>
    </w:p>
    <w:p>
      <w:pPr>
        <w:spacing w:after="40" w:before="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tstr</w:t>
      </w:r>
    </w:p>
    <w:p>
      <w:pPr>
        <w:spacing w:after="40" w:before="200" w:line="276" w:lineRule="auto"/>
        <w:ind w:left="567" w:hanging="567"/>
      </w:pPr>
      <w:r>
        <w:rPr>
          <w:rFonts w:ascii="Segoe UI" w:hAnsi="Segoe UI" w:cs="Segoe UI"/>
          <w:b/>
          <w:i w:val="0"/>
          <w:color w:val="000000"/>
          <w:sz w:val="24"/>
        </w:rPr>
        <w:t>5. Normatização</w:t>
      </w:r>
    </w:p>
    <w:p>
      <w:pPr>
        <w:spacing w:after="0" w:before="0" w:line="276" w:lineRule="auto"/>
        <w:ind w:left="567"/>
        <w:jc w:val="both"/>
      </w:pPr>
      <w:r>
        <w:rPr>
          <w:rFonts w:ascii="Segoe UI" w:hAnsi="Segoe UI" w:cs="Segoe UI"/>
          <w:b w:val="0"/>
          <w:i w:val="0"/>
          <w:color w:val="000000"/>
          <w:sz w:val="24"/>
        </w:rPr>
        <w:t>ISO-9712:2021 - Qualificação e certificação de pessoal END</w:t>
      </w:r>
    </w:p>
    <w:p>
      <w:pPr>
        <w:spacing w:after="0" w:before="0" w:line="276" w:lineRule="auto"/>
        <w:ind w:left="567"/>
        <w:jc w:val="both"/>
      </w:pPr>
      <w:r>
        <w:rPr>
          <w:rFonts w:ascii="Segoe UI" w:hAnsi="Segoe UI" w:cs="Segoe UI"/>
          <w:b w:val="0"/>
          <w:i w:val="0"/>
          <w:color w:val="000000"/>
          <w:sz w:val="24"/>
        </w:rPr>
        <w:t>NBR-15801:2023 - Certificação de pessoas – Terminologia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9636"/>
            <w:gridSpan w:val="6"/>
          </w:tcPr>
          <w:p>
            <w:pPr>
              <w:spacing w:after="0"/>
              <w:jc w:val="center"/>
              <w:keepNext/>
              <w:keepNext/>
              <w:keepNext/>
              <w:keepNext/>
              <w:keepNext/>
              <w:keepNext/>
            </w:pPr>
            <w:r>
              <w:rPr>
                <w:rFonts w:ascii="Segoe UI" w:hAnsi="Segoe UI" w:cs="Segoe UI"/>
                <w:b/>
                <w:i w:val="0"/>
                <w:color w:val="CC0000"/>
                <w:sz w:val="20"/>
              </w:rPr>
              <w:t>Norma ISO-20816-3 — Severidade · Faixas de Velocidade e Classes de Máquina</w:t>
            </w:r>
          </w:p>
        </w:tc>
      </w:tr>
      <w:tr>
        <w:trPr>
          <w:cantSplit/>
        </w:trPr>
        <w:tc>
          <w:tcPr>
            <w:tcW w:type="dxa" w:w="1606"/>
            <w:shd w:val="clear" w:fill="F1F5F9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V [mm/s] RMS</w:t>
            </w:r>
          </w:p>
        </w:tc>
        <w:tc>
          <w:tcPr>
            <w:tcW w:type="dxa" w:w="1606"/>
            <w:shd w:val="clear" w:fill="F1F5F9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V [in/s] Pico</w:t>
            </w:r>
          </w:p>
        </w:tc>
        <w:tc>
          <w:tcPr>
            <w:tcW w:type="dxa" w:w="1606"/>
            <w:shd w:val="clear" w:fill="F1F5F9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Classe I</w:t>
              <w:br/>
              <w:t>&lt; 15 kW</w:t>
            </w:r>
          </w:p>
        </w:tc>
        <w:tc>
          <w:tcPr>
            <w:tcW w:type="dxa" w:w="1606"/>
            <w:shd w:val="clear" w:fill="F1F5F9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Classe II</w:t>
              <w:br/>
              <w:t>15 a 75 kW</w:t>
            </w:r>
          </w:p>
        </w:tc>
        <w:tc>
          <w:tcPr>
            <w:tcW w:type="dxa" w:w="1606"/>
            <w:shd w:val="clear" w:fill="F1F5F9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Classe III</w:t>
              <w:br/>
              <w:t>Rígida · &gt; 75 kW</w:t>
            </w:r>
          </w:p>
        </w:tc>
        <w:tc>
          <w:tcPr>
            <w:tcW w:type="dxa" w:w="1606"/>
            <w:shd w:val="clear" w:fill="F1F5F9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Classe IV</w:t>
              <w:br/>
              <w:t>Flexível · &gt; 75 kW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0.28</w:t>
            </w:r>
          </w:p>
        </w:tc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0.02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0.45</w:t>
            </w:r>
          </w:p>
        </w:tc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0.03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0.71</w:t>
            </w:r>
          </w:p>
        </w:tc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0.04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1.12</w:t>
            </w:r>
          </w:p>
        </w:tc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0.06</w:t>
            </w:r>
          </w:p>
        </w:tc>
        <w:tc>
          <w:tcPr>
            <w:tcW w:type="dxa" w:w="1606"/>
            <w:shd w:val="clear" w:fill="A3E635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Satisfatório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1.80</w:t>
            </w:r>
          </w:p>
        </w:tc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0.10</w:t>
            </w:r>
          </w:p>
        </w:tc>
        <w:tc>
          <w:tcPr>
            <w:tcW w:type="dxa" w:w="1606"/>
            <w:shd w:val="clear" w:fill="A3E635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Satisfatório</w:t>
            </w:r>
          </w:p>
        </w:tc>
        <w:tc>
          <w:tcPr>
            <w:tcW w:type="dxa" w:w="1606"/>
            <w:shd w:val="clear" w:fill="A3E635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Satisfatório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2.80</w:t>
            </w:r>
          </w:p>
        </w:tc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0.16</w:t>
            </w:r>
          </w:p>
        </w:tc>
        <w:tc>
          <w:tcPr>
            <w:tcW w:type="dxa" w:w="1606"/>
            <w:shd w:val="clear" w:fill="F59E0B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Alerta</w:t>
            </w:r>
          </w:p>
        </w:tc>
        <w:tc>
          <w:tcPr>
            <w:tcW w:type="dxa" w:w="1606"/>
            <w:shd w:val="clear" w:fill="A3E635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Satisfatório</w:t>
            </w:r>
          </w:p>
        </w:tc>
        <w:tc>
          <w:tcPr>
            <w:tcW w:type="dxa" w:w="1606"/>
            <w:shd w:val="clear" w:fill="A3E635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Satisfatório</w:t>
            </w:r>
          </w:p>
        </w:tc>
        <w:tc>
          <w:tcPr>
            <w:tcW w:type="dxa" w:w="1606"/>
            <w:shd w:val="clear" w:fill="22C55E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Bom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4.50</w:t>
            </w:r>
          </w:p>
        </w:tc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0.25</w:t>
            </w:r>
          </w:p>
        </w:tc>
        <w:tc>
          <w:tcPr>
            <w:tcW w:type="dxa" w:w="1606"/>
            <w:shd w:val="clear" w:fill="F59E0B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Alerta</w:t>
            </w:r>
          </w:p>
        </w:tc>
        <w:tc>
          <w:tcPr>
            <w:tcW w:type="dxa" w:w="1606"/>
            <w:shd w:val="clear" w:fill="F59E0B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Alerta</w:t>
            </w:r>
          </w:p>
        </w:tc>
        <w:tc>
          <w:tcPr>
            <w:tcW w:type="dxa" w:w="1606"/>
            <w:shd w:val="clear" w:fill="A3E635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Satisfatório</w:t>
            </w:r>
          </w:p>
        </w:tc>
        <w:tc>
          <w:tcPr>
            <w:tcW w:type="dxa" w:w="1606"/>
            <w:shd w:val="clear" w:fill="A3E635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Satisfatório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7.10</w:t>
            </w:r>
          </w:p>
        </w:tc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0.40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  <w:tc>
          <w:tcPr>
            <w:tcW w:type="dxa" w:w="1606"/>
            <w:shd w:val="clear" w:fill="F59E0B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Alerta</w:t>
            </w:r>
          </w:p>
        </w:tc>
        <w:tc>
          <w:tcPr>
            <w:tcW w:type="dxa" w:w="1606"/>
            <w:shd w:val="clear" w:fill="F59E0B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Alerta</w:t>
            </w:r>
          </w:p>
        </w:tc>
        <w:tc>
          <w:tcPr>
            <w:tcW w:type="dxa" w:w="1606"/>
            <w:shd w:val="clear" w:fill="A3E635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Satisfatório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11.20</w:t>
            </w:r>
          </w:p>
        </w:tc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0.62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  <w:tc>
          <w:tcPr>
            <w:tcW w:type="dxa" w:w="1606"/>
            <w:shd w:val="clear" w:fill="F59E0B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Alerta</w:t>
            </w:r>
          </w:p>
        </w:tc>
        <w:tc>
          <w:tcPr>
            <w:tcW w:type="dxa" w:w="1606"/>
            <w:shd w:val="clear" w:fill="F59E0B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Alerta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18.00</w:t>
            </w:r>
          </w:p>
        </w:tc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1.00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  <w:tc>
          <w:tcPr>
            <w:tcW w:type="dxa" w:w="1606"/>
            <w:shd w:val="clear" w:fill="F59E0B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Alerta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28.00</w:t>
            </w:r>
          </w:p>
        </w:tc>
        <w:tc>
          <w:tcPr>
            <w:tcW w:type="dxa" w:w="1606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1.56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  <w:keepNext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0"/>
              <w:jc w:val="center"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45.00</w:t>
            </w:r>
          </w:p>
        </w:tc>
        <w:tc>
          <w:tcPr>
            <w:tcW w:type="dxa" w:w="1606"/>
          </w:tcPr>
          <w:p>
            <w:pPr>
              <w:spacing w:after="0"/>
              <w:jc w:val="center"/>
            </w:pPr>
            <w:r>
              <w:rPr>
                <w:rFonts w:ascii="Segoe UI" w:hAnsi="Segoe UI" w:cs="Segoe UI"/>
                <w:b/>
                <w:i w:val="0"/>
                <w:color w:val="000000"/>
                <w:sz w:val="17"/>
              </w:rPr>
              <w:t>2.51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  <w:tc>
          <w:tcPr>
            <w:tcW w:type="dxa" w:w="1606"/>
            <w:shd w:val="clear" w:fill="EF4444"/>
          </w:tcPr>
          <w:p>
            <w:pPr>
              <w:spacing w:after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7"/>
              </w:rPr>
              <w:t>Perigo</w:t>
            </w:r>
          </w:p>
        </w:tc>
      </w:tr>
    </w:tbl>
    <w:p>
      <w:pPr>
        <w:spacing w:after="40" w:before="200" w:line="276" w:lineRule="auto"/>
        <w:ind w:left="567" w:hanging="567"/>
      </w:pPr>
      <w:r>
        <w:rPr>
          <w:rFonts w:ascii="Segoe UI" w:hAnsi="Segoe UI" w:cs="Segoe UI"/>
          <w:b/>
          <w:i w:val="0"/>
          <w:color w:val="000000"/>
          <w:sz w:val="24"/>
        </w:rPr>
        <w:t>6. Glossário Técnico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6.1. O.S.P.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Ordem de Serviço Preditivo gerada para correção de cada anomalia detectada.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6.2. G.R.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Grau de Risco: Determinam o prazo de correção das anomalias detectadas.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6.2.1. GR-1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Grau de Risco N°.01: Risco eminente – Recomenda-se intervenção imediata pela equipe de manutenção em prazo máximo de 03 dias. Em casos extremos o inspetor poderá solicitar o reparo em caráter de urgência.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6.2.2. GR-2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Grau de Risco N°.02: Risco elevado – Recomenda-se intervenção pela equipe de manutenção em prazo máximo de 10 dias.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6.2.3. GR-3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Grau de Risco N°.03: Risco moderado – Recomenda-se intervenção pela equipe de manutenção em prazo máximo de 20 dias.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6.2.4. GR-4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Grau de Risco N°.04: Risco baixo – Recomenda-se intervenção pela equipe de manutenção em parada programada prazo máximo de 30 dias.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6.3. MP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Monitoramento Prejudicado: Ocorre em casos em que há existência de obstrução parcial aos equipamentos a serem monitorados. É interessante avaliar o nível de obstrução juntamente com o departamento de segurança do trabalho, sendo possível programar a desobstrução temporária.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6.4. NM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Não Monitorado: Ocorre em casos em que há existência de obstrução total aos equipamentos a serem monitorados; e/ou que coloque em risco a integridade física dos trabalhadores. É interessante avaliar a possibilidade de desobstrução do equipamento juntamente com o departamento de segurança do trabalho e/ou criar condição segura aos trabalhadores.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6.5. OK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Normalidade Operacional: Carga ≥ 70,0%. Os circuitos carregados não apresentam anomalias térmicas.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6.6. PDM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Parado Devido Manutenção: Equipamento encontra-se parado devido algum tipo de intervenção da equipe de manutenção;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6.7. PDP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Parado Devido Processo: Equipamento encontra-se parado devido anormalidades do processo produtivo;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6.8. LA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Lado Acoplado;</w:t>
      </w:r>
    </w:p>
    <w:p>
      <w:pPr>
        <w:spacing w:after="40" w:line="276" w:lineRule="auto"/>
        <w:ind w:left="567"/>
        <w:jc w:val="both"/>
      </w:pPr>
      <w:r>
        <w:rPr>
          <w:rFonts w:ascii="Segoe UI" w:hAnsi="Segoe UI" w:cs="Segoe UI"/>
          <w:b/>
          <w:i w:val="0"/>
          <w:color w:val="000000"/>
          <w:sz w:val="24"/>
        </w:rPr>
        <w:t>6.9. LOA</w:t>
      </w:r>
      <w:r>
        <w:rPr>
          <w:rFonts w:ascii="Segoe UI" w:hAnsi="Segoe UI" w:cs="Segoe UI"/>
          <w:b w:val="0"/>
          <w:i w:val="0"/>
          <w:color w:val="000000"/>
          <w:sz w:val="24"/>
        </w:rPr>
        <w:t xml:space="preserve"> – Lado Oposto ao Acoplamento.</w:t>
      </w:r>
    </w:p>
    <w:p>
      <w:pPr>
        <w:spacing w:after="40" w:before="200" w:line="276" w:lineRule="auto"/>
        <w:ind w:left="567" w:hanging="567"/>
      </w:pPr>
      <w:r>
        <w:rPr>
          <w:rFonts w:ascii="Segoe UI" w:hAnsi="Segoe UI" w:cs="Segoe UI"/>
          <w:b/>
          <w:i w:val="0"/>
          <w:color w:val="000000"/>
          <w:sz w:val="24"/>
        </w:rPr>
        <w:t>7. Definição da Técnica</w:t>
      </w:r>
    </w:p>
    <w:p>
      <w:pPr>
        <w:spacing w:after="40" w:before="0" w:line="276" w:lineRule="auto"/>
        <w:ind w:left="567"/>
        <w:jc w:val="both"/>
      </w:pPr>
      <w:r>
        <w:rPr>
          <w:rFonts w:ascii="Segoe UI" w:hAnsi="Segoe UI" w:cs="Segoe UI"/>
          <w:b w:val="0"/>
          <w:i w:val="0"/>
          <w:color w:val="000000"/>
          <w:sz w:val="24"/>
        </w:rPr>
        <w:t>teste definição da técnica...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200" w:line="276" w:lineRule="auto"/>
        <w:ind w:left="567" w:hanging="567"/>
      </w:pPr>
      <w:r>
        <w:rPr>
          <w:rFonts w:ascii="Segoe UI" w:hAnsi="Segoe UI" w:cs="Segoe UI"/>
          <w:b/>
          <w:i w:val="0"/>
          <w:color w:val="000000"/>
          <w:sz w:val="24"/>
        </w:rPr>
        <w:t>8. Considerações Importantes</w:t>
      </w:r>
    </w:p>
    <w:p>
      <w:pPr>
        <w:spacing w:after="40" w:before="0" w:line="276" w:lineRule="auto"/>
        <w:ind w:left="567"/>
        <w:jc w:val="both"/>
      </w:pPr>
      <w:r>
        <w:rPr>
          <w:rFonts w:ascii="Segoe UI" w:hAnsi="Segoe UI" w:cs="Segoe UI"/>
          <w:b w:val="0"/>
          <w:i w:val="0"/>
          <w:color w:val="000000"/>
          <w:sz w:val="24"/>
        </w:rPr>
        <w:t>Os critérios considerados nas análises das anomalias detectadas são técnicos, associados com a vasta experiência do analista que dará diagnóstico preciso referente à condição dinâmica na qual o objeto avaliado está submetido, porém vale lembrar que cada equipamento tem seu nível de criticidade para a planta onde está instalado, e deverá ser levado em consideração pelo controle e planejamento da manutenção durante a elaboração do plano de manutenções corretivas baseadas pela manutenção preditiva.</w:t>
      </w:r>
    </w:p>
    <w:p>
      <w:pPr>
        <w:spacing w:after="40" w:before="0" w:line="276" w:lineRule="auto"/>
        <w:ind w:left="567"/>
        <w:jc w:val="both"/>
      </w:pPr>
      <w:r>
        <w:rPr>
          <w:rFonts w:ascii="Segoe UI" w:hAnsi="Segoe UI" w:cs="Segoe UI"/>
          <w:b w:val="0"/>
          <w:i w:val="0"/>
          <w:color w:val="000000"/>
          <w:sz w:val="24"/>
        </w:rPr>
        <w:t>As OSP´s emergenciais (GR-1) foram apresentadas, discutidas e tratadas com o planejamento e controle de manutenção ao término das medições.</w:t>
      </w:r>
    </w:p>
    <w:p>
      <w:pPr>
        <w:spacing w:after="40" w:before="0" w:line="276" w:lineRule="auto"/>
        <w:ind w:left="567"/>
        <w:jc w:val="both"/>
      </w:pPr>
      <w:r>
        <w:rPr>
          <w:rFonts w:ascii="Segoe UI" w:hAnsi="Segoe UI" w:cs="Segoe UI"/>
          <w:b w:val="0"/>
          <w:i w:val="0"/>
          <w:color w:val="000000"/>
          <w:sz w:val="24"/>
        </w:rPr>
        <w:t>Toda anomalia detectada deverá ser corrigida o mais rápido possível, pois o prazo sugerido serve apenas como referência, haja vista que a avaliação contratada não é executada em periodicidade mensal (caso sua planta realize avaliação mensal, desconsiderar este parágrafo).</w:t>
      </w:r>
    </w:p>
    <w:p>
      <w:pPr>
        <w:spacing w:after="40" w:before="160" w:line="276" w:lineRule="auto"/>
        <w:ind w:left="567"/>
      </w:pPr>
      <w:r>
        <w:rPr>
          <w:rFonts w:ascii="Segoe UI" w:hAnsi="Segoe UI" w:cs="Segoe UI"/>
          <w:b w:val="0"/>
          <w:i w:val="0"/>
          <w:color w:val="000000"/>
          <w:sz w:val="24"/>
        </w:rPr>
        <w:t>Atenciosamente,</w:t>
      </w:r>
    </w:p>
    <w:p>
      <w:pPr>
        <w:spacing w:after="40" w:before="200" w:line="276" w:lineRule="auto"/>
      </w:pPr>
    </w:p>
    <w:p>
      <w:pPr>
        <w:spacing w:after="0" w:before="0" w:line="276" w:lineRule="auto"/>
        <w:jc w:val="right"/>
      </w:pPr>
      <w:r>
        <w:rPr>
          <w:rFonts w:ascii="Segoe UI" w:hAnsi="Segoe UI" w:cs="Segoe UI"/>
          <w:b/>
          <w:i w:val="0"/>
          <w:color w:val="000000"/>
          <w:sz w:val="24"/>
        </w:rPr>
        <w:t>Administrador Demo</w:t>
      </w:r>
    </w:p>
    <w:p>
      <w:pPr>
        <w:spacing w:after="40" w:before="0" w:line="276" w:lineRule="auto"/>
        <w:jc w:val="right"/>
      </w:pPr>
      <w:r>
        <w:rPr>
          <w:rFonts w:ascii="Segoe UI" w:hAnsi="Segoe UI" w:cs="Segoe UI"/>
          <w:b w:val="0"/>
          <w:i w:val="0"/>
          <w:color w:val="000000"/>
          <w:sz w:val="16"/>
        </w:rPr>
        <w:t>Analista em Manutenção Preditiva</w:t>
      </w:r>
    </w:p>
    <w:sectPr w:rsidR="00FC693F" w:rsidRPr="0006063C" w:rsidSect="00034616">
      <w:headerReference w:type="default" r:id="rId9"/>
      <w:pgSz w:w="11906" w:h="16838"/>
      <w:pgMar w:top="1984" w:right="850" w:bottom="567" w:left="141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515"/>
      <w:gridCol w:w="6123"/>
    </w:tblGrid>
    <w:tr>
      <w:tc>
        <w:tcPr>
          <w:tcW w:type="dxa" w:w="351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800000" cy="34795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hermoProactive_1076x208_fundo_transparen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0" cy="34795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23"/>
        </w:tcPr>
        <w:p>
          <w:pPr>
            <w:spacing w:after="0" w:line="264" w:lineRule="auto"/>
            <w:jc w:val="right"/>
          </w:pPr>
          <w:r>
            <w:rPr>
              <w:rFonts w:ascii="Segoe UI" w:hAnsi="Segoe UI" w:cs="Segoe UI"/>
              <w:b/>
              <w:i w:val="0"/>
              <w:color w:val="808080"/>
              <w:sz w:val="24"/>
            </w:rPr>
            <w:t>Thermoproactive Serviços Ltda</w:t>
          </w:r>
        </w:p>
        <w:p>
          <w:pPr>
            <w:spacing w:after="0" w:line="264" w:lineRule="auto"/>
            <w:jc w:val="right"/>
          </w:pPr>
          <w:r>
            <w:rPr>
              <w:rFonts w:ascii="Segoe UI" w:hAnsi="Segoe UI" w:cs="Segoe UI"/>
              <w:b w:val="0"/>
              <w:i w:val="0"/>
              <w:color w:val="9A9A9A"/>
              <w:sz w:val="18"/>
            </w:rPr>
            <w:t>CNPJ 39.923.567/0001-75 | IE Isenta</w:t>
          </w:r>
        </w:p>
        <w:p>
          <w:pPr>
            <w:spacing w:after="0" w:line="264" w:lineRule="auto"/>
            <w:jc w:val="right"/>
          </w:pPr>
          <w:r>
            <w:rPr>
              <w:rFonts w:ascii="Segoe UI" w:hAnsi="Segoe UI" w:cs="Segoe UI"/>
              <w:b w:val="0"/>
              <w:i w:val="0"/>
              <w:color w:val="9A9A9A"/>
              <w:sz w:val="16"/>
            </w:rPr>
            <w:t>Rua Benedicto de Souza, 87 – São Luiz</w:t>
          </w:r>
        </w:p>
        <w:p>
          <w:pPr>
            <w:spacing w:after="0" w:line="264" w:lineRule="auto"/>
            <w:jc w:val="right"/>
          </w:pPr>
          <w:r>
            <w:rPr>
              <w:rFonts w:ascii="Segoe UI" w:hAnsi="Segoe UI" w:cs="Segoe UI"/>
              <w:b w:val="0"/>
              <w:i w:val="0"/>
              <w:color w:val="9A9A9A"/>
              <w:sz w:val="16"/>
            </w:rPr>
            <w:t>13145-076 – Paulínia/SP</w:t>
          </w:r>
        </w:p>
        <w:p>
          <w:pPr>
            <w:spacing w:after="0" w:line="264" w:lineRule="auto"/>
            <w:jc w:val="right"/>
          </w:pPr>
          <w:r>
            <w:rPr>
              <w:rFonts w:ascii="Segoe UI" w:hAnsi="Segoe UI" w:cs="Segoe UI"/>
              <w:b w:val="0"/>
              <w:i w:val="0"/>
              <w:color w:val="9A9A9A"/>
              <w:sz w:val="16"/>
            </w:rPr>
            <w:t>+55 11-97067-7559</w:t>
          </w:r>
        </w:p>
        <w:p>
          <w:pPr>
            <w:spacing w:after="0" w:line="264" w:lineRule="auto"/>
            <w:jc w:val="right"/>
          </w:pPr>
          <w:r>
            <w:rPr>
              <w:rFonts w:ascii="Segoe UI" w:hAnsi="Segoe UI" w:cs="Segoe UI"/>
              <w:b w:val="0"/>
              <w:i w:val="0"/>
              <w:color w:val="9A9A9A"/>
              <w:sz w:val="16"/>
            </w:rPr>
            <w:t>adm@thermoproactive.com.br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