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Rúbrica de Evaluación — Documento Único de Miniproyectos</w:t>
      </w:r>
    </w:p>
    <w:p>
      <w:pPr>
        <w:pStyle w:val="Heading2"/>
        <w:spacing w:after="60"/>
      </w:pPr>
      <w:r>
        <w:t xml:space="preserve">Introducción a Python para Ciencia de Datos — Propuesta para el docente</w:t>
      </w:r>
    </w:p>
    <w:p>
      <w:pPr>
        <w:spacing w:after="110"/>
      </w:pPr>
      <w:r>
        <w:rPr>
          <w:i/>
          <w:iCs/>
        </w:rPr>
        <w:t xml:space="preserve">Documento relacionado: Instructivo de presentación para estudiantes. Propuesta sujeta a ajuste por la cátedra.</w:t>
      </w:r>
    </w:p>
    <w:p>
      <w:pPr>
        <w:pStyle w:val="Heading1"/>
        <w:spacing w:after="140" w:before="280"/>
      </w:pPr>
      <w:r>
        <w:t xml:space="preserve">1. Marco de la evaluación</w:t>
      </w:r>
    </w:p>
    <w:p>
      <w:pPr>
        <w:spacing w:after="110"/>
      </w:pPr>
      <w:r>
        <w:t xml:space="preserve">La evaluación del curso consiste en la presentación, por parte de cada estudiante, de un único documento que reúne los cuatro miniproyectos concluidos (uno por semana). Los ejercicios de cada clase son práctica guiada y no se entregan ni se califican. Esta rúbrica toma como base los criterios de la Sección 9 del Plan Consolidado (comprensión del código, uso responsable de IA, depuración, uso de conceptos vistos, capacidad de modificar el código, claridad y reflexión final) y los complementa con el cumplimiento de las etapas obligatorias de cada miniproyecto.</w:t>
      </w:r>
    </w:p>
    <w:p>
      <w:pPr>
        <w:spacing w:after="110"/>
      </w:pPr>
      <w:r>
        <w:rPr>
          <w:b/>
          <w:bCs/>
        </w:rPr>
        <w:t xml:space="preserve">Qué se evalúa: </w:t>
      </w:r>
      <w:r>
        <w:t xml:space="preserve">el proceso y el producto. No alcanza con que el código funcione: el estudiante debe poder explicarlo, probarlo, modificarlo y declarar cómo utilizó IA.</w:t>
      </w:r>
    </w:p>
    <w:p>
      <w:pPr>
        <w:pStyle w:val="Heading1"/>
        <w:spacing w:after="140" w:before="280"/>
      </w:pPr>
      <w:r>
        <w:t xml:space="preserve">2. Estructura del puntaje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Componente</w:t>
            </w:r>
          </w:p>
        </w:tc>
        <w:tc>
          <w:tcPr>
            <w:tcW w:type="dxa" w:w="15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Puntos</w:t>
            </w:r>
          </w:p>
        </w:tc>
        <w:tc>
          <w:tcPr>
            <w:tcW w:type="dxa" w:w="366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Qué se observa</w:t>
            </w:r>
          </w:p>
        </w:tc>
      </w:tr>
      <w:tr>
        <w:trPr>
          <w:cantSplit/>
        </w:trPr>
        <w:tc>
          <w:tcPr>
            <w:tcW w:type="dxa" w:w="4200"/>
            <w:shd w:fill="DEEAF6" w:color="auto" w:val="clear"/>
            <w:tcMar>
              <w:top w:type="dxa" w:w="70"/>
              <w:left w:type="dxa" w:w="100"/>
              <w:bottom w:type="dxa" w:w="70"/>
              <w:right w:type="dxa" w:w="100"/>
            </w:tcMar>
            <w:vAlign w:val="center"/>
          </w:tcPr>
          <w:p>
            <w:pPr>
              <w:spacing w:after="40"/>
              <w:jc w:val="left"/>
            </w:pPr>
            <w:r>
              <w:rPr>
                <w:b/>
                <w:bCs/>
                <w:sz w:val="20"/>
                <w:szCs w:val="20"/>
              </w:rPr>
              <w:t xml:space="preserve">A. Cumplimiento de etapas obligatorias (4 miniproyectos × 10 puntos)</w:t>
            </w:r>
          </w:p>
        </w:tc>
        <w:tc>
          <w:tcPr>
            <w:tcW w:type="dxa" w:w="1500"/>
            <w:tcMar>
              <w:top w:type="dxa" w:w="70"/>
              <w:left w:type="dxa" w:w="100"/>
              <w:bottom w:type="dxa" w:w="70"/>
              <w:right w:type="dxa" w:w="100"/>
            </w:tcMar>
            <w:vAlign w:val="center"/>
          </w:tcPr>
          <w:p>
            <w:pPr>
              <w:spacing w:after="40"/>
              <w:jc w:val="left"/>
            </w:pPr>
            <w:r>
              <w:rPr>
                <w:b w:val="false"/>
                <w:bCs w:val="false"/>
                <w:sz w:val="20"/>
                <w:szCs w:val="20"/>
              </w:rPr>
              <w:t xml:space="preserve">40</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Cada miniproyecto con sus etapas obligatorias completas y ejecutables.</w:t>
            </w:r>
          </w:p>
        </w:tc>
      </w:tr>
      <w:tr>
        <w:trPr>
          <w:cantSplit/>
        </w:trPr>
        <w:tc>
          <w:tcPr>
            <w:tcW w:type="dxa" w:w="4200"/>
            <w:shd w:fill="DEEAF6" w:color="auto" w:val="clear"/>
            <w:tcMar>
              <w:top w:type="dxa" w:w="70"/>
              <w:left w:type="dxa" w:w="100"/>
              <w:bottom w:type="dxa" w:w="70"/>
              <w:right w:type="dxa" w:w="100"/>
            </w:tcMar>
            <w:vAlign w:val="center"/>
          </w:tcPr>
          <w:p>
            <w:pPr>
              <w:spacing w:after="40"/>
              <w:jc w:val="left"/>
            </w:pPr>
            <w:r>
              <w:rPr>
                <w:b/>
                <w:bCs/>
                <w:sz w:val="20"/>
                <w:szCs w:val="20"/>
              </w:rPr>
              <w:t xml:space="preserve">B. Criterios transversales (7 criterios)</w:t>
            </w:r>
          </w:p>
        </w:tc>
        <w:tc>
          <w:tcPr>
            <w:tcW w:type="dxa" w:w="1500"/>
            <w:tcMar>
              <w:top w:type="dxa" w:w="70"/>
              <w:left w:type="dxa" w:w="100"/>
              <w:bottom w:type="dxa" w:w="70"/>
              <w:right w:type="dxa" w:w="100"/>
            </w:tcMar>
            <w:vAlign w:val="center"/>
          </w:tcPr>
          <w:p>
            <w:pPr>
              <w:spacing w:after="40"/>
              <w:jc w:val="left"/>
            </w:pPr>
            <w:r>
              <w:rPr>
                <w:b w:val="false"/>
                <w:bCs w:val="false"/>
                <w:sz w:val="20"/>
                <w:szCs w:val="20"/>
              </w:rPr>
              <w:t xml:space="preserve">60</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Calidad del proceso: comprensión, IA, depuración, conceptos, modificación, claridad y reflexión.</w:t>
            </w:r>
          </w:p>
        </w:tc>
      </w:tr>
      <w:tr>
        <w:trPr>
          <w:cantSplit/>
        </w:trPr>
        <w:tc>
          <w:tcPr>
            <w:tcW w:type="dxa" w:w="4200"/>
            <w:shd w:fill="DEEAF6" w:color="auto" w:val="clear"/>
            <w:tcMar>
              <w:top w:type="dxa" w:w="70"/>
              <w:left w:type="dxa" w:w="100"/>
              <w:bottom w:type="dxa" w:w="70"/>
              <w:right w:type="dxa" w:w="100"/>
            </w:tcMar>
            <w:vAlign w:val="center"/>
          </w:tcPr>
          <w:p>
            <w:pPr>
              <w:spacing w:after="40"/>
              <w:jc w:val="left"/>
            </w:pPr>
            <w:r>
              <w:rPr>
                <w:b/>
                <w:bCs/>
                <w:sz w:val="20"/>
                <w:szCs w:val="20"/>
              </w:rPr>
              <w:t xml:space="preserve">Total</w:t>
            </w:r>
          </w:p>
        </w:tc>
        <w:tc>
          <w:tcPr>
            <w:tcW w:type="dxa" w:w="1500"/>
            <w:tcMar>
              <w:top w:type="dxa" w:w="70"/>
              <w:left w:type="dxa" w:w="100"/>
              <w:bottom w:type="dxa" w:w="70"/>
              <w:right w:type="dxa" w:w="100"/>
            </w:tcMar>
            <w:vAlign w:val="center"/>
          </w:tcPr>
          <w:p>
            <w:pPr>
              <w:spacing w:after="40"/>
              <w:jc w:val="left"/>
            </w:pPr>
            <w:r>
              <w:rPr>
                <w:b w:val="false"/>
                <w:bCs w:val="false"/>
                <w:sz w:val="20"/>
                <w:szCs w:val="20"/>
              </w:rPr>
              <w:t xml:space="preserve">100</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Aprobación sugerida: 60 puntos o más, con los 4 miniproyectos presentados.</w:t>
            </w:r>
          </w:p>
        </w:tc>
      </w:tr>
    </w:tbl>
    <w:p>
      <w:pPr>
        <w:spacing w:after="80"/>
      </w:pPr>
    </w:p>
    <w:p>
      <w:pPr>
        <w:pStyle w:val="Heading1"/>
        <w:spacing w:after="140" w:before="280"/>
      </w:pPr>
      <w:r>
        <w:t xml:space="preserve">3. Componente A — Cumplimiento de etapas por miniproyecto (40 puntos)</w:t>
      </w:r>
    </w:p>
    <w:p>
      <w:pPr>
        <w:spacing w:after="110"/>
      </w:pPr>
      <w:r>
        <w:t xml:space="preserve">Se asignan hasta 10 puntos por miniproyecto, según el siguiente cuadro. Las etapas opcionales y los desafíos no suman puntaje obligatorio; pueden usarse como criterio de desempate o reconocimiento.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Miniproyecto</w:t>
            </w:r>
          </w:p>
        </w:tc>
        <w:tc>
          <w:tcPr>
            <w:tcW w:type="dxa" w:w="33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Etapas obligatorias</w:t>
            </w:r>
          </w:p>
        </w:tc>
        <w:tc>
          <w:tcPr>
            <w:tcW w:type="dxa" w:w="366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Evidencia específica que debe figurar</w:t>
            </w:r>
          </w:p>
        </w:tc>
      </w:tr>
      <w:tr>
        <w:trPr>
          <w:cantSplit/>
        </w:trPr>
        <w:tc>
          <w:tcPr>
            <w:tcW w:type="dxa" w:w="2400"/>
            <w:shd w:fill="DEEAF6" w:color="auto" w:val="clear"/>
            <w:tcMar>
              <w:top w:type="dxa" w:w="70"/>
              <w:left w:type="dxa" w:w="100"/>
              <w:bottom w:type="dxa" w:w="70"/>
              <w:right w:type="dxa" w:w="100"/>
            </w:tcMar>
            <w:vAlign w:val="center"/>
          </w:tcPr>
          <w:p>
            <w:pPr>
              <w:spacing w:after="40"/>
              <w:jc w:val="left"/>
            </w:pPr>
            <w:r>
              <w:rPr>
                <w:b/>
                <w:bCs/>
                <w:sz w:val="20"/>
                <w:szCs w:val="20"/>
              </w:rPr>
              <w:t xml:space="preserve">1 — Cálculo de salario (Semana 1)</w:t>
            </w:r>
          </w:p>
        </w:tc>
        <w:tc>
          <w:tcPr>
            <w:tcW w:type="dxa" w:w="3300"/>
            <w:tcMar>
              <w:top w:type="dxa" w:w="70"/>
              <w:left w:type="dxa" w:w="100"/>
              <w:bottom w:type="dxa" w:w="70"/>
              <w:right w:type="dxa" w:w="100"/>
            </w:tcMar>
            <w:vAlign w:val="center"/>
          </w:tcPr>
          <w:p>
            <w:pPr>
              <w:spacing w:after="40"/>
              <w:jc w:val="left"/>
            </w:pPr>
            <w:r>
              <w:rPr>
                <w:b w:val="false"/>
                <w:bCs w:val="false"/>
                <w:sz w:val="20"/>
                <w:szCs w:val="20"/>
              </w:rPr>
              <w:t xml:space="preserve">Etapa 1: programa con entrada y cálculo. Etapa 2: comentarios y pruebas con distintos valores.</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Código comentado y ejecución visible; declaración de IA.</w:t>
            </w:r>
          </w:p>
        </w:tc>
      </w:tr>
      <w:tr>
        <w:trPr>
          <w:cantSplit/>
        </w:trPr>
        <w:tc>
          <w:tcPr>
            <w:tcW w:type="dxa" w:w="2400"/>
            <w:shd w:fill="DEEAF6" w:color="auto" w:val="clear"/>
            <w:tcMar>
              <w:top w:type="dxa" w:w="70"/>
              <w:left w:type="dxa" w:w="100"/>
              <w:bottom w:type="dxa" w:w="70"/>
              <w:right w:type="dxa" w:w="100"/>
            </w:tcMar>
            <w:vAlign w:val="center"/>
          </w:tcPr>
          <w:p>
            <w:pPr>
              <w:spacing w:after="40"/>
              <w:jc w:val="left"/>
            </w:pPr>
            <w:r>
              <w:rPr>
                <w:b/>
                <w:bCs/>
                <w:sz w:val="20"/>
                <w:szCs w:val="20"/>
              </w:rPr>
              <w:t xml:space="preserve">2 — Gestión de estudiantes (Semana 2)</w:t>
            </w:r>
          </w:p>
        </w:tc>
        <w:tc>
          <w:tcPr>
            <w:tcW w:type="dxa" w:w="3300"/>
            <w:tcMar>
              <w:top w:type="dxa" w:w="70"/>
              <w:left w:type="dxa" w:w="100"/>
              <w:bottom w:type="dxa" w:w="70"/>
              <w:right w:type="dxa" w:w="100"/>
            </w:tcMar>
            <w:vAlign w:val="center"/>
          </w:tcPr>
          <w:p>
            <w:pPr>
              <w:spacing w:after="40"/>
              <w:jc w:val="left"/>
            </w:pPr>
            <w:r>
              <w:rPr>
                <w:b w:val="false"/>
                <w:bCs w:val="false"/>
                <w:sz w:val="20"/>
                <w:szCs w:val="20"/>
              </w:rPr>
              <w:t xml:space="preserve">Etapa 1: datos. Etapa 2: funciones con parámetros. Etapa 3: resumen final.</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Intento propio, prompts usados, explicación de cada función, declaración de IA y reflexión.</w:t>
            </w:r>
          </w:p>
        </w:tc>
      </w:tr>
      <w:tr>
        <w:trPr>
          <w:cantSplit/>
        </w:trPr>
        <w:tc>
          <w:tcPr>
            <w:tcW w:type="dxa" w:w="2400"/>
            <w:shd w:fill="DEEAF6" w:color="auto" w:val="clear"/>
            <w:tcMar>
              <w:top w:type="dxa" w:w="70"/>
              <w:left w:type="dxa" w:w="100"/>
              <w:bottom w:type="dxa" w:w="70"/>
              <w:right w:type="dxa" w:w="100"/>
            </w:tcMar>
            <w:vAlign w:val="center"/>
          </w:tcPr>
          <w:p>
            <w:pPr>
              <w:spacing w:after="40"/>
              <w:jc w:val="left"/>
            </w:pPr>
            <w:r>
              <w:rPr>
                <w:b/>
                <w:bCs/>
                <w:sz w:val="20"/>
                <w:szCs w:val="20"/>
              </w:rPr>
              <w:t xml:space="preserve">3 — Cajero automático (Semana 3)</w:t>
            </w:r>
          </w:p>
        </w:tc>
        <w:tc>
          <w:tcPr>
            <w:tcW w:type="dxa" w:w="3300"/>
            <w:tcMar>
              <w:top w:type="dxa" w:w="70"/>
              <w:left w:type="dxa" w:w="100"/>
              <w:bottom w:type="dxa" w:w="70"/>
              <w:right w:type="dxa" w:w="100"/>
            </w:tcMar>
            <w:vAlign w:val="center"/>
          </w:tcPr>
          <w:p>
            <w:pPr>
              <w:spacing w:after="40"/>
              <w:jc w:val="left"/>
            </w:pPr>
            <w:r>
              <w:rPr>
                <w:b w:val="false"/>
                <w:bCs w:val="false"/>
                <w:sz w:val="20"/>
                <w:szCs w:val="20"/>
              </w:rPr>
              <w:t xml:space="preserve">Etapas 1 a 4: sesión, menú con while, funcionalidades y validaciones básicas.</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Captura o copia de un error y su resolución, explicación del bucle, justificación de break/continue, declaración de IA y reflexión.</w:t>
            </w:r>
          </w:p>
        </w:tc>
      </w:tr>
      <w:tr>
        <w:trPr>
          <w:cantSplit/>
        </w:trPr>
        <w:tc>
          <w:tcPr>
            <w:tcW w:type="dxa" w:w="2400"/>
            <w:shd w:fill="DEEAF6" w:color="auto" w:val="clear"/>
            <w:tcMar>
              <w:top w:type="dxa" w:w="70"/>
              <w:left w:type="dxa" w:w="100"/>
              <w:bottom w:type="dxa" w:w="70"/>
              <w:right w:type="dxa" w:w="100"/>
            </w:tcMar>
            <w:vAlign w:val="center"/>
          </w:tcPr>
          <w:p>
            <w:pPr>
              <w:spacing w:after="40"/>
              <w:jc w:val="left"/>
            </w:pPr>
            <w:r>
              <w:rPr>
                <w:b/>
                <w:bCs/>
                <w:sz w:val="20"/>
                <w:szCs w:val="20"/>
              </w:rPr>
              <w:t xml:space="preserve">4 — Análisis de ventas con pandas (Semana 4)</w:t>
            </w:r>
          </w:p>
        </w:tc>
        <w:tc>
          <w:tcPr>
            <w:tcW w:type="dxa" w:w="3300"/>
            <w:tcMar>
              <w:top w:type="dxa" w:w="70"/>
              <w:left w:type="dxa" w:w="100"/>
              <w:bottom w:type="dxa" w:w="70"/>
              <w:right w:type="dxa" w:w="100"/>
            </w:tcMar>
            <w:vAlign w:val="center"/>
          </w:tcPr>
          <w:p>
            <w:pPr>
              <w:spacing w:after="40"/>
              <w:jc w:val="left"/>
            </w:pPr>
            <w:r>
              <w:rPr>
                <w:b w:val="false"/>
                <w:bCs w:val="false"/>
                <w:sz w:val="20"/>
                <w:szCs w:val="20"/>
              </w:rPr>
              <w:t xml:space="preserve">Etapas 1 a 4: DataFrame y exploración, filtros, limpieza y total_venta, groupby.</w:t>
            </w:r>
          </w:p>
        </w:tc>
        <w:tc>
          <w:tcPr>
            <w:tcW w:type="dxa" w:w="3660"/>
            <w:tcMar>
              <w:top w:type="dxa" w:w="70"/>
              <w:left w:type="dxa" w:w="100"/>
              <w:bottom w:type="dxa" w:w="70"/>
              <w:right w:type="dxa" w:w="100"/>
            </w:tcMar>
            <w:vAlign w:val="center"/>
          </w:tcPr>
          <w:p>
            <w:pPr>
              <w:spacing w:after="40"/>
              <w:jc w:val="left"/>
            </w:pPr>
            <w:r>
              <w:rPr>
                <w:b w:val="false"/>
                <w:bCs w:val="false"/>
                <w:sz w:val="20"/>
                <w:szCs w:val="20"/>
              </w:rPr>
              <w:t xml:space="preserve">Notebook con pasos comentados y resultados visibles, declaración de IA y defensa breve.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Nivel</w:t>
            </w:r>
          </w:p>
        </w:tc>
        <w:tc>
          <w:tcPr>
            <w:tcW w:type="dxa" w:w="706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Puntaje por miniproyecto y descripción</w:t>
            </w:r>
          </w:p>
        </w:tc>
      </w:tr>
      <w:tr>
        <w:trPr>
          <w:cantSplit/>
        </w:trPr>
        <w:tc>
          <w:tcPr>
            <w:tcW w:type="dxa" w:w="2300"/>
            <w:shd w:fill="DEEAF6" w:color="auto" w:val="clear"/>
            <w:tcMar>
              <w:top w:type="dxa" w:w="70"/>
              <w:left w:type="dxa" w:w="100"/>
              <w:bottom w:type="dxa" w:w="70"/>
              <w:right w:type="dxa" w:w="100"/>
            </w:tcMar>
            <w:vAlign w:val="center"/>
          </w:tcPr>
          <w:p>
            <w:pPr>
              <w:spacing w:after="40"/>
              <w:jc w:val="left"/>
            </w:pPr>
            <w:r>
              <w:rPr>
                <w:b/>
                <w:bCs/>
                <w:sz w:val="20"/>
                <w:szCs w:val="20"/>
              </w:rPr>
              <w:t xml:space="preserve">Completo (10)</w:t>
            </w:r>
          </w:p>
        </w:tc>
        <w:tc>
          <w:tcPr>
            <w:tcW w:type="dxa" w:w="7060"/>
            <w:tcMar>
              <w:top w:type="dxa" w:w="70"/>
              <w:left w:type="dxa" w:w="100"/>
              <w:bottom w:type="dxa" w:w="70"/>
              <w:right w:type="dxa" w:w="100"/>
            </w:tcMar>
            <w:vAlign w:val="center"/>
          </w:tcPr>
          <w:p>
            <w:pPr>
              <w:spacing w:after="40"/>
              <w:jc w:val="left"/>
            </w:pPr>
            <w:r>
              <w:rPr>
                <w:b w:val="false"/>
                <w:bCs w:val="false"/>
                <w:sz w:val="20"/>
                <w:szCs w:val="20"/>
              </w:rPr>
              <w:t xml:space="preserve">Todas las etapas obligatorias están presentes, funcionan y se pueden ejecutar sin errores.</w:t>
            </w:r>
          </w:p>
        </w:tc>
      </w:tr>
      <w:tr>
        <w:trPr>
          <w:cantSplit/>
        </w:trPr>
        <w:tc>
          <w:tcPr>
            <w:tcW w:type="dxa" w:w="2300"/>
            <w:shd w:fill="DEEAF6" w:color="auto" w:val="clear"/>
            <w:tcMar>
              <w:top w:type="dxa" w:w="70"/>
              <w:left w:type="dxa" w:w="100"/>
              <w:bottom w:type="dxa" w:w="70"/>
              <w:right w:type="dxa" w:w="100"/>
            </w:tcMar>
            <w:vAlign w:val="center"/>
          </w:tcPr>
          <w:p>
            <w:pPr>
              <w:spacing w:after="40"/>
              <w:jc w:val="left"/>
            </w:pPr>
            <w:r>
              <w:rPr>
                <w:b/>
                <w:bCs/>
                <w:sz w:val="20"/>
                <w:szCs w:val="20"/>
              </w:rPr>
              <w:t xml:space="preserve">Casi completo (7)</w:t>
            </w:r>
          </w:p>
        </w:tc>
        <w:tc>
          <w:tcPr>
            <w:tcW w:type="dxa" w:w="7060"/>
            <w:tcMar>
              <w:top w:type="dxa" w:w="70"/>
              <w:left w:type="dxa" w:w="100"/>
              <w:bottom w:type="dxa" w:w="70"/>
              <w:right w:type="dxa" w:w="100"/>
            </w:tcMar>
            <w:vAlign w:val="center"/>
          </w:tcPr>
          <w:p>
            <w:pPr>
              <w:spacing w:after="40"/>
              <w:jc w:val="left"/>
            </w:pPr>
            <w:r>
              <w:rPr>
                <w:b w:val="false"/>
                <w:bCs w:val="false"/>
                <w:sz w:val="20"/>
                <w:szCs w:val="20"/>
              </w:rPr>
              <w:t xml:space="preserve">Falta una etapa o hay errores menores que no impiden ejecutar la mayor parte del programa.</w:t>
            </w:r>
          </w:p>
        </w:tc>
      </w:tr>
      <w:tr>
        <w:trPr>
          <w:cantSplit/>
        </w:trPr>
        <w:tc>
          <w:tcPr>
            <w:tcW w:type="dxa" w:w="2300"/>
            <w:shd w:fill="DEEAF6" w:color="auto" w:val="clear"/>
            <w:tcMar>
              <w:top w:type="dxa" w:w="70"/>
              <w:left w:type="dxa" w:w="100"/>
              <w:bottom w:type="dxa" w:w="70"/>
              <w:right w:type="dxa" w:w="100"/>
            </w:tcMar>
            <w:vAlign w:val="center"/>
          </w:tcPr>
          <w:p>
            <w:pPr>
              <w:spacing w:after="40"/>
              <w:jc w:val="left"/>
            </w:pPr>
            <w:r>
              <w:rPr>
                <w:b/>
                <w:bCs/>
                <w:sz w:val="20"/>
                <w:szCs w:val="20"/>
              </w:rPr>
              <w:t xml:space="preserve">Parcial (4)</w:t>
            </w:r>
          </w:p>
        </w:tc>
        <w:tc>
          <w:tcPr>
            <w:tcW w:type="dxa" w:w="7060"/>
            <w:tcMar>
              <w:top w:type="dxa" w:w="70"/>
              <w:left w:type="dxa" w:w="100"/>
              <w:bottom w:type="dxa" w:w="70"/>
              <w:right w:type="dxa" w:w="100"/>
            </w:tcMar>
            <w:vAlign w:val="center"/>
          </w:tcPr>
          <w:p>
            <w:pPr>
              <w:spacing w:after="40"/>
              <w:jc w:val="left"/>
            </w:pPr>
            <w:r>
              <w:rPr>
                <w:b w:val="false"/>
                <w:bCs w:val="false"/>
                <w:sz w:val="20"/>
                <w:szCs w:val="20"/>
              </w:rPr>
              <w:t xml:space="preserve">Hay avances en más de una etapa, pero el programa no funciona de forma integral.</w:t>
            </w:r>
          </w:p>
        </w:tc>
      </w:tr>
      <w:tr>
        <w:trPr>
          <w:cantSplit/>
        </w:trPr>
        <w:tc>
          <w:tcPr>
            <w:tcW w:type="dxa" w:w="2300"/>
            <w:shd w:fill="DEEAF6" w:color="auto" w:val="clear"/>
            <w:tcMar>
              <w:top w:type="dxa" w:w="70"/>
              <w:left w:type="dxa" w:w="100"/>
              <w:bottom w:type="dxa" w:w="70"/>
              <w:right w:type="dxa" w:w="100"/>
            </w:tcMar>
            <w:vAlign w:val="center"/>
          </w:tcPr>
          <w:p>
            <w:pPr>
              <w:spacing w:after="40"/>
              <w:jc w:val="left"/>
            </w:pPr>
            <w:r>
              <w:rPr>
                <w:b/>
                <w:bCs/>
                <w:sz w:val="20"/>
                <w:szCs w:val="20"/>
              </w:rPr>
              <w:t xml:space="preserve">Mínimo (1)</w:t>
            </w:r>
          </w:p>
        </w:tc>
        <w:tc>
          <w:tcPr>
            <w:tcW w:type="dxa" w:w="7060"/>
            <w:tcMar>
              <w:top w:type="dxa" w:w="70"/>
              <w:left w:type="dxa" w:w="100"/>
              <w:bottom w:type="dxa" w:w="70"/>
              <w:right w:type="dxa" w:w="100"/>
            </w:tcMar>
            <w:vAlign w:val="center"/>
          </w:tcPr>
          <w:p>
            <w:pPr>
              <w:spacing w:after="40"/>
              <w:jc w:val="left"/>
            </w:pPr>
            <w:r>
              <w:rPr>
                <w:b w:val="false"/>
                <w:bCs w:val="false"/>
                <w:sz w:val="20"/>
                <w:szCs w:val="20"/>
              </w:rPr>
              <w:t xml:space="preserve">Solo se presenta el enunciado resuelto de forma incompleta o sin ejecutar.</w:t>
            </w:r>
          </w:p>
        </w:tc>
      </w:tr>
      <w:tr>
        <w:trPr>
          <w:cantSplit/>
        </w:trPr>
        <w:tc>
          <w:tcPr>
            <w:tcW w:type="dxa" w:w="2300"/>
            <w:shd w:fill="DEEAF6" w:color="auto" w:val="clear"/>
            <w:tcMar>
              <w:top w:type="dxa" w:w="70"/>
              <w:left w:type="dxa" w:w="100"/>
              <w:bottom w:type="dxa" w:w="70"/>
              <w:right w:type="dxa" w:w="100"/>
            </w:tcMar>
            <w:vAlign w:val="center"/>
          </w:tcPr>
          <w:p>
            <w:pPr>
              <w:spacing w:after="40"/>
              <w:jc w:val="left"/>
            </w:pPr>
            <w:r>
              <w:rPr>
                <w:b/>
                <w:bCs/>
                <w:sz w:val="20"/>
                <w:szCs w:val="20"/>
              </w:rPr>
              <w:t xml:space="preserve">No presentado (0)</w:t>
            </w:r>
          </w:p>
        </w:tc>
        <w:tc>
          <w:tcPr>
            <w:tcW w:type="dxa" w:w="7060"/>
            <w:tcMar>
              <w:top w:type="dxa" w:w="70"/>
              <w:left w:type="dxa" w:w="100"/>
              <w:bottom w:type="dxa" w:w="70"/>
              <w:right w:type="dxa" w:w="100"/>
            </w:tcMar>
            <w:vAlign w:val="center"/>
          </w:tcPr>
          <w:p>
            <w:pPr>
              <w:spacing w:after="40"/>
              <w:jc w:val="left"/>
            </w:pPr>
            <w:r>
              <w:rPr>
                <w:b w:val="false"/>
                <w:bCs w:val="false"/>
                <w:sz w:val="20"/>
                <w:szCs w:val="20"/>
              </w:rPr>
              <w:t xml:space="preserve">El miniproyecto no figura en el documento.</w:t>
            </w:r>
          </w:p>
        </w:tc>
      </w:tr>
    </w:tbl>
    <w:p>
      <w:pPr>
        <w:spacing w:after="80"/>
      </w:pPr>
    </w:p>
    <w:p>
      <w:pPr>
        <w:pStyle w:val="Heading1"/>
        <w:spacing w:after="140" w:before="280"/>
      </w:pPr>
      <w:r>
        <w:t xml:space="preserve">4. Componente B — Criterios transversales (60 puntos)</w:t>
      </w:r>
    </w:p>
    <w:p>
      <w:pPr>
        <w:spacing w:after="110"/>
      </w:pPr>
      <w:r>
        <w:t xml:space="preserve">Se evalúan sobre el documento completo y sobre la defensa breve. Los puntos de cada nivel se muestran entre paréntesis.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60"/>
        <w:gridCol w:w="2540"/>
      </w:tblGrid>
      <w:tr>
        <w:trPr>
          <w:tblHeader/>
        </w:trPr>
        <w:tc>
          <w:tcPr>
            <w:tcW w:type="dxa" w:w="170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Criterio (puntos)</w:t>
            </w:r>
          </w:p>
        </w:tc>
        <w:tc>
          <w:tcPr>
            <w:tcW w:type="dxa" w:w="256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Excelente</w:t>
            </w:r>
          </w:p>
        </w:tc>
        <w:tc>
          <w:tcPr>
            <w:tcW w:type="dxa" w:w="256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Adecuado</w:t>
            </w:r>
          </w:p>
        </w:tc>
        <w:tc>
          <w:tcPr>
            <w:tcW w:type="dxa" w:w="2540"/>
            <w:shd w:fill="2F5496" w:color="auto" w:val="clear"/>
            <w:tcMar>
              <w:top w:type="dxa" w:w="70"/>
              <w:left w:type="dxa" w:w="100"/>
              <w:bottom w:type="dxa" w:w="70"/>
              <w:right w:type="dxa" w:w="100"/>
            </w:tcMar>
            <w:vAlign w:val="center"/>
          </w:tcPr>
          <w:p>
            <w:pPr>
              <w:spacing w:after="40"/>
              <w:jc w:val="left"/>
            </w:pPr>
            <w:r>
              <w:rPr>
                <w:b/>
                <w:bCs/>
                <w:color w:val="FFFFFF"/>
                <w:sz w:val="20"/>
                <w:szCs w:val="20"/>
              </w:rPr>
              <w:t xml:space="preserve">En proceso</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Comprensión del código (12)</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(12) Explica claramente cada bloque de sus miniproyectos y puede justificar sus decisiones.</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(8) Explica la mayor parte con algunas dudas.</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(3) No puede explicar partes centrales de su propio código.</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Uso responsable de IA (10)</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(10) Usa IA para pistas, depuración o revisión, y declara el proceso en cada miniproyecto.</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(7) Declara el uso, pero con reflexión limitada o prompts incompletos.</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(2) Copia soluciones o no declara el uso de IA.</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Depuración (8)</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(8) Identifica errores, interpreta los mensajes y corrige justificando.</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(5) Corrige errores con ayuda parcial.</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(2) No comprende el origen de los errores.</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Uso de conceptos vistos (8)</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(8) Resuelve con las herramientas trabajadas en clase.</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(5) Incluye algún recurso nuevo, pero lo justifica.</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(2) Usa recursos avanzados sin comprenderlos.</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Capacidad de modificar el código (10)</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(10) Adapta la solución ante un cambio pequeño solicitado en la defensa.</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(6) Adapta parcialmente, con ayuda.</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(2) No puede modificar el código entregado.</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Claridad del documento (6)</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(6) Documento ordenado, celdas comentadas, resultados visibles y estructura respetada.</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(4) Orden aceptable con algunos detalles por mejorar.</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(1) Documento desordenado o difícil de seguir.</w:t>
            </w:r>
          </w:p>
        </w:tc>
      </w:tr>
      <w:tr>
        <w:trPr>
          <w:cantSplit/>
        </w:trPr>
        <w:tc>
          <w:tcPr>
            <w:tcW w:type="dxa" w:w="1700"/>
            <w:shd w:fill="DEEAF6" w:color="auto" w:val="clear"/>
            <w:tcMar>
              <w:top w:type="dxa" w:w="70"/>
              <w:left w:type="dxa" w:w="100"/>
              <w:bottom w:type="dxa" w:w="70"/>
              <w:right w:type="dxa" w:w="100"/>
            </w:tcMar>
            <w:vAlign w:val="center"/>
          </w:tcPr>
          <w:p>
            <w:pPr>
              <w:spacing w:after="40"/>
              <w:jc w:val="left"/>
            </w:pPr>
            <w:r>
              <w:rPr>
                <w:b/>
                <w:bCs/>
                <w:sz w:val="20"/>
                <w:szCs w:val="20"/>
              </w:rPr>
              <w:t xml:space="preserve">Reflexión final (6)</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(6) Describe qué aprendió, qué cambió y qué descartó de las sugerencias de IA.</w:t>
            </w:r>
          </w:p>
        </w:tc>
        <w:tc>
          <w:tcPr>
            <w:tcW w:type="dxa" w:w="2560"/>
            <w:tcMar>
              <w:top w:type="dxa" w:w="70"/>
              <w:left w:type="dxa" w:w="100"/>
              <w:bottom w:type="dxa" w:w="70"/>
              <w:right w:type="dxa" w:w="100"/>
            </w:tcMar>
            <w:vAlign w:val="center"/>
          </w:tcPr>
          <w:p>
            <w:pPr>
              <w:spacing w:after="40"/>
              <w:jc w:val="left"/>
            </w:pPr>
            <w:r>
              <w:rPr>
                <w:b w:val="false"/>
                <w:bCs w:val="false"/>
                <w:sz w:val="20"/>
                <w:szCs w:val="20"/>
              </w:rPr>
              <w:t xml:space="preserve">(4) Reflexión breve pero pertinente.</w:t>
            </w:r>
          </w:p>
        </w:tc>
        <w:tc>
          <w:tcPr>
            <w:tcW w:type="dxa" w:w="2540"/>
            <w:tcMar>
              <w:top w:type="dxa" w:w="70"/>
              <w:left w:type="dxa" w:w="100"/>
              <w:bottom w:type="dxa" w:w="70"/>
              <w:right w:type="dxa" w:w="100"/>
            </w:tcMar>
            <w:vAlign w:val="center"/>
          </w:tcPr>
          <w:p>
            <w:pPr>
              <w:spacing w:after="40"/>
              <w:jc w:val="left"/>
            </w:pPr>
            <w:r>
              <w:rPr>
                <w:b w:val="false"/>
                <w:bCs w:val="false"/>
                <w:sz w:val="20"/>
                <w:szCs w:val="20"/>
              </w:rPr>
              <w:t xml:space="preserve">(1) No presenta reflexión o es superficial.</w:t>
            </w:r>
          </w:p>
        </w:tc>
      </w:tr>
    </w:tbl>
    <w:p>
      <w:pPr>
        <w:spacing w:after="80"/>
      </w:pPr>
    </w:p>
    <w:p>
      <w:pPr>
        <w:pStyle w:val="Heading1"/>
        <w:spacing w:after="140" w:before="280"/>
      </w:pPr>
      <w:r>
        <w:t xml:space="preserve">5. Defensa breve</w:t>
      </w:r>
    </w:p>
    <w:p>
      <w:pPr>
        <w:spacing w:after="110"/>
      </w:pPr>
      <w:r>
        <w:t xml:space="preserve">Se propone una instancia breve (5 a 10 minutos por estudiante, presencial o virtual) en la que el estudiante:</w:t>
      </w:r>
    </w:p>
    <w:p>
      <w:pPr>
        <w:pStyle w:val="ListParagraph"/>
        <w:numPr>
          <w:ilvl w:val="0"/>
          <w:numId w:val="2"/>
        </w:numPr>
        <w:spacing w:after="50"/>
      </w:pPr>
      <w:r>
        <w:t xml:space="preserve">explica una parte de uno de sus miniproyectos (elegida por el docente); y</w:t>
      </w:r>
    </w:p>
    <w:p>
      <w:pPr>
        <w:pStyle w:val="ListParagraph"/>
        <w:numPr>
          <w:ilvl w:val="0"/>
          <w:numId w:val="2"/>
        </w:numPr>
        <w:spacing w:after="50"/>
      </w:pPr>
      <w:r>
        <w:t xml:space="preserve">realiza una modificación pequeña del código (por ejemplo, cambiar una condición, agregar un filtro o ajustar un cálculo) y comenta el resultado.</w:t>
      </w:r>
    </w:p>
    <w:p>
      <w:pPr>
        <w:spacing w:after="110"/>
      </w:pPr>
      <w:r>
        <w:t xml:space="preserve">La defensa alimenta principalmente los criterios de comprensión del código y de capacidad de modificar el código. La modalidad y las fechas quedan a criterio de la cátedra.</w:t>
      </w:r>
    </w:p>
    <w:p>
      <w:pPr>
        <w:pStyle w:val="Heading1"/>
        <w:spacing w:after="140" w:before="280"/>
      </w:pPr>
      <w:r>
        <w:t xml:space="preserve">6. Diagnóstico inicial (no evaluable)</w:t>
      </w:r>
    </w:p>
    <w:p>
      <w:pPr>
        <w:spacing w:after="110"/>
      </w:pPr>
      <w:r>
        <w:t xml:space="preserve">Se sugiere que cada estudiante complete al comenzar el curso un autodiagnóstico breve (ver anexo del Instructivo de presentación) sobre sus conocimientos previos y expectativas. No tiene puntaje: sirve al docente para ajustar el ritmo y al estudiante para comparar su punto de partida con su reflexión final.</w:t>
      </w:r>
    </w:p>
    <w:p>
      <w:pPr>
        <w:pStyle w:val="Heading1"/>
        <w:spacing w:after="140" w:before="280"/>
      </w:pPr>
      <w:r>
        <w:t xml:space="preserve">7. Orientaciones para la corrección</w:t>
      </w:r>
    </w:p>
    <w:p>
      <w:pPr>
        <w:pStyle w:val="ListParagraph"/>
        <w:numPr>
          <w:ilvl w:val="0"/>
          <w:numId w:val="2"/>
        </w:numPr>
        <w:spacing w:after="50"/>
      </w:pPr>
      <w:r>
        <w:t xml:space="preserve">Verificar primero que el documento respete la estructura pedida en el Instructivo y que cada miniproyecto incluya su declaración de uso de IA.</w:t>
      </w:r>
    </w:p>
    <w:p>
      <w:pPr>
        <w:pStyle w:val="ListParagraph"/>
        <w:numPr>
          <w:ilvl w:val="0"/>
          <w:numId w:val="2"/>
        </w:numPr>
        <w:spacing w:after="50"/>
      </w:pPr>
      <w:r>
        <w:t xml:space="preserve">Ante código que excede lo trabajado en clase, solicitar justificación en la defensa antes de penalizar.</w:t>
      </w:r>
    </w:p>
    <w:p>
      <w:pPr>
        <w:pStyle w:val="ListParagraph"/>
        <w:numPr>
          <w:ilvl w:val="0"/>
          <w:numId w:val="2"/>
        </w:numPr>
        <w:spacing w:after="50"/>
      </w:pPr>
      <w:r>
        <w:t xml:space="preserve">Si falta la declaración de uso de IA, el criterio de uso responsable de IA se ubica en el nivel «En proceso» hasta que se subsane.</w:t>
      </w:r>
    </w:p>
    <w:p>
      <w:pPr>
        <w:pStyle w:val="ListParagraph"/>
        <w:numPr>
          <w:ilvl w:val="0"/>
          <w:numId w:val="2"/>
        </w:numPr>
        <w:spacing w:after="50"/>
      </w:pPr>
      <w:r>
        <w:t xml:space="preserve">Registrar la devolución en dos partes: qué se logró y qué conviene reforzar, para favorecer la mejora del proceso.</w:t>
      </w:r>
    </w:p>
    <w:p>
      <w:pPr>
        <w:spacing w:after="110"/>
      </w:pPr>
      <w:r>
        <w:rPr>
          <w:b/>
          <w:bCs/>
        </w:rPr>
        <w:t xml:space="preserve">Aprobación sugerida: </w:t>
      </w:r>
      <w:r>
        <w:t xml:space="preserve">60 puntos o más sobre 100, con los cuatro miniproyectos presentados y las etapas obligatorias del miniproyecto 4 completas. Estos umbrales son una propuesta y pueden ajustarse.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2026-10-12T19:19:26.268Z</dcterms:created>
  <dcterms:modified xsi:type="dcterms:W3CDTF">2026-10-12T19:19:26.268Z</dcterms:modified>
</cp:coreProperties>
</file>

<file path=docProps/custom.xml><?xml version="1.0" encoding="utf-8"?>
<Properties xmlns="http://schemas.openxmlformats.org/officeDocument/2006/custom-properties" xmlns:vt="http://schemas.openxmlformats.org/officeDocument/2006/docPropsVTypes"/>
</file>