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Informe de Modificaciones a los Notebooks del Curso</w:t>
      </w:r>
    </w:p>
    <w:p>
      <w:pPr>
        <w:pStyle w:val="Heading2"/>
        <w:spacing w:after="60"/>
      </w:pPr>
      <w:r>
        <w:t xml:space="preserve">Introducción a Python para Ciencia de Datos — Versión 2 (10 encuentros)</w:t>
      </w:r>
    </w:p>
    <w:p>
      <w:pPr>
        <w:spacing w:after="120"/>
      </w:pPr>
      <w:r>
        <w:rPr>
          <w:i/>
          <w:iCs/>
        </w:rPr>
        <w:t xml:space="preserve">Basado en: Plan_Consolidado_Modificaciones_Curso_Python_IA-10 encuentros.docx</w:t>
      </w:r>
    </w:p>
    <w:p>
      <w:pPr>
        <w:spacing w:after="120"/>
      </w:pPr>
      <w:r>
        <w:rPr>
          <w:i/>
          <w:iCs/>
        </w:rPr>
        <w:t xml:space="preserve">Fecha del informe: 20 de septiembre de 2026</w:t>
      </w:r>
    </w:p>
    <w:p>
      <w:pPr>
        <w:pStyle w:val="Heading1"/>
        <w:spacing w:after="150" w:before="300"/>
      </w:pPr>
      <w:r>
        <w:t xml:space="preserve">1. Resumen ejecutivo</w:t>
      </w:r>
    </w:p>
    <w:p>
      <w:pPr>
        <w:spacing w:after="120"/>
      </w:pPr>
      <w:r>
        <w:t xml:space="preserve">Se generó una nueva versión ("_v2") de cada notebook del curso, incorporando las modificaciones descritas en la Sección 5 ("Modificaciones específicas por notebook") y las secciones 2, 6, 7, 8 y 9 del Plan Consolidado (política de uso de IA, bloques Markdown, banco de prompts, ajustes a miniproyectos y estrategia de evaluación). Los archivos originales no fueron modificados: cada notebook nuevo se guardó con el mismo nombre y el sufijo "_v2", en la misma carpeta que el original.</w:t>
      </w:r>
    </w:p>
    <w:p>
      <w:pPr>
        <w:spacing w:after="120"/>
      </w:pPr>
      <w:r>
        <w:t xml:space="preserve">Se procesaron los 5 notebooks que la Sección 5 del Plan identifica explícitamente por nombre:</w:t>
      </w:r>
    </w:p>
    <w:p>
      <w:pPr>
        <w:pStyle w:val="ListParagraph"/>
        <w:numPr>
          <w:ilvl w:val="0"/>
          <w:numId w:val="1"/>
        </w:numPr>
        <w:spacing w:after="60"/>
      </w:pPr>
      <w:r>
        <w:t xml:space="preserve">Semana 1 — Introducción a Python (Clase 1)</w:t>
      </w:r>
    </w:p>
    <w:p>
      <w:pPr>
        <w:pStyle w:val="ListParagraph"/>
        <w:numPr>
          <w:ilvl w:val="0"/>
          <w:numId w:val="1"/>
        </w:numPr>
        <w:spacing w:after="60"/>
      </w:pPr>
      <w:r>
        <w:t xml:space="preserve">Semana 2 — Tipos de datos, listas, diccionarios, funciones y paquetes (Clase 2)</w:t>
      </w:r>
    </w:p>
    <w:p>
      <w:pPr>
        <w:pStyle w:val="ListParagraph"/>
        <w:numPr>
          <w:ilvl w:val="0"/>
          <w:numId w:val="1"/>
        </w:numPr>
        <w:spacing w:after="60"/>
      </w:pPr>
      <w:r>
        <w:t xml:space="preserve">Semana 3 — Estructuras de control de flujo (Clase 3)</w:t>
      </w:r>
    </w:p>
    <w:p>
      <w:pPr>
        <w:pStyle w:val="ListParagraph"/>
        <w:numPr>
          <w:ilvl w:val="0"/>
          <w:numId w:val="1"/>
        </w:numPr>
        <w:spacing w:after="60"/>
      </w:pPr>
      <w:r>
        <w:t xml:space="preserve">Semana 4 — Introducción a pandas, primera parte (Clase 4)</w:t>
      </w:r>
    </w:p>
    <w:p>
      <w:pPr>
        <w:pStyle w:val="ListParagraph"/>
        <w:numPr>
          <w:ilvl w:val="0"/>
          <w:numId w:val="1"/>
        </w:numPr>
        <w:spacing w:after="60"/>
      </w:pPr>
      <w:r>
        <w:t xml:space="preserve">Semana 4 — Introducción a pandas, segunda parte (Clase 4)</w:t>
      </w:r>
    </w:p>
    <w:p>
      <w:pPr>
        <w:spacing w:after="120"/>
      </w:pPr>
      <w:r>
        <w:t xml:space="preserve"/>
      </w:r>
    </w:p>
    <w:p>
      <w:pPr>
        <w:spacing w:after="120"/>
      </w:pPr>
      <w:r>
        <w:rPr>
          <w:b/>
          <w:bCs/>
        </w:rPr>
        <w:t xml:space="preserve">Nota sobre el alcance: </w:t>
      </w:r>
      <w:r>
        <w:t xml:space="preserve">en la carpeta "Clase 4" también existe el notebook join_merge_concat_pandas.ipynb, y en la carpeta "Bibliografía - Introducción a Python para Ciencia de Datos" hay varios notebooks de cursos externos (DataCamp) y prácticas personales. Ninguno de ellos aparece en la Sección 5 del Plan Consolidado, por lo que se los consideró fuera del alcance de esta tarea y no se generaron versiones _v2 para ellos. Si se desea, puedo aplicarles ajustes equivalentes en una siguiente iteración.</w:t>
      </w:r>
    </w:p>
    <w:p>
      <w:pPr>
        <w:pStyle w:val="Heading1"/>
        <w:spacing w:after="150" w:before="300"/>
      </w:pPr>
      <w:r>
        <w:t xml:space="preserve">2. Metodología aplicada</w:t>
      </w:r>
    </w:p>
    <w:p>
      <w:pPr>
        <w:spacing w:after="120"/>
      </w:pPr>
      <w:r>
        <w:t xml:space="preserve">Para mantener trazabilidad y evitar que las modificaciones "se pierdan" en párrafos largos, se usaron convenciones visuales consistentes en los cinco notebooks:</w:t>
      </w:r>
    </w:p>
    <w:p>
      <w:pPr>
        <w:pStyle w:val="ListParagraph"/>
        <w:numPr>
          <w:ilvl w:val="0"/>
          <w:numId w:val="1"/>
        </w:numPr>
        <w:spacing w:after="60"/>
      </w:pPr>
      <w:r>
        <w:rPr>
          <w:b/>
          <w:bCs/>
        </w:rPr>
        <w:t xml:space="preserve">Contenido optativo: </w:t>
      </w:r>
      <w:r>
        <w:t xml:space="preserve">los temas que el Plan pide "reducir" o "convertir en optativo" no se borraron; se dejaron intactos pero delimitados entre un aviso de inicio ("📎 Inicio de contenido optativo / lectura autónoma") y uno de fin, con una breve justificación.</w:t>
      </w:r>
    </w:p>
    <w:p>
      <w:pPr>
        <w:pStyle w:val="ListParagraph"/>
        <w:numPr>
          <w:ilvl w:val="0"/>
          <w:numId w:val="1"/>
        </w:numPr>
        <w:spacing w:after="60"/>
      </w:pPr>
      <w:r>
        <w:rPr>
          <w:b/>
          <w:bCs/>
        </w:rPr>
        <w:t xml:space="preserve">Práctica guiada: </w:t>
      </w:r>
      <w:r>
        <w:t xml:space="preserve">se agregaron celdas nuevas de checkpoint ("### Práctica guiada — …") en los puntos indicados por el Plan, casi siempre pidiendo predecir una salida, contar filas, identificar un error o completar un fragmento de código antes de continuar.</w:t>
      </w:r>
    </w:p>
    <w:p>
      <w:pPr>
        <w:pStyle w:val="ListParagraph"/>
        <w:numPr>
          <w:ilvl w:val="0"/>
          <w:numId w:val="1"/>
        </w:numPr>
        <w:spacing w:after="60"/>
      </w:pPr>
      <w:r>
        <w:rPr>
          <w:b/>
          <w:bCs/>
        </w:rPr>
        <w:t xml:space="preserve">Actividades con IA: </w:t>
      </w:r>
      <w:r>
        <w:t xml:space="preserve">se insertaron usando literalmente las plantillas de la Sección 6 del Plan (pedir pista, interpretar error, explicar código propio, generar casos de prueba, comparar soluciones), adaptando solo la línea de "contexto sugerido" a cada ejercicio puntual.</w:t>
      </w:r>
    </w:p>
    <w:p>
      <w:pPr>
        <w:pStyle w:val="ListParagraph"/>
        <w:numPr>
          <w:ilvl w:val="0"/>
          <w:numId w:val="1"/>
        </w:numPr>
        <w:spacing w:after="60"/>
      </w:pPr>
      <w:r>
        <w:rPr>
          <w:b/>
          <w:bCs/>
        </w:rPr>
        <w:t xml:space="preserve">Miniproyectos: </w:t>
      </w:r>
      <w:r>
        <w:t xml:space="preserve">cada uno quedó precedido por el resumen de la política de IA y una nota de etapas obligatorias, y seguido por la plantilla de "Declaración de uso de IA" y, cuando corresponde, la "Reflexión final".</w:t>
      </w:r>
    </w:p>
    <w:p>
      <w:pPr>
        <w:pStyle w:val="ListParagraph"/>
        <w:numPr>
          <w:ilvl w:val="0"/>
          <w:numId w:val="1"/>
        </w:numPr>
        <w:spacing w:after="60"/>
      </w:pPr>
      <w:r>
        <w:rPr>
          <w:b/>
          <w:bCs/>
        </w:rPr>
        <w:t xml:space="preserve">Cierre de clase: </w:t>
      </w:r>
      <w:r>
        <w:t xml:space="preserve">los cinco notebooks terminan con un checklist breve de cierre, acorde a la "observación didáctica" de cada encuentro en la Sección 4 del Plan.</w:t>
      </w:r>
    </w:p>
    <w:p>
      <w:pPr>
        <w:spacing w:after="120"/>
      </w:pPr>
      <w:r>
        <w:t xml:space="preserve">Ningún notebook original fue alterado: todo el trabajo se hizo sobre copias, y los archivos .ipynb resultantes fueron validados como JSON/nbformat 4 válido antes de entregarlos.</w:t>
      </w:r>
    </w:p>
    <w:p>
      <w:pPr>
        <w:pStyle w:val="Heading2"/>
        <w:spacing w:after="120" w:before="260"/>
      </w:pPr>
      <w:r>
        <w:t xml:space="preserve">Mapa de archivos generados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shd w:fill="2F5496" w:color="auto" w:val="clear"/>
            <w:tcMar>
              <w:top w:type="dxa" w:w="80"/>
              <w:left w:type="dxa" w:w="100"/>
              <w:bottom w:type="dxa" w:w="80"/>
              <w:right w:type="dxa" w:w="100"/>
            </w:tcMar>
            <w:vAlign w:val="center"/>
          </w:tcPr>
          <w:p>
            <w:pPr>
              <w:jc w:val="left"/>
            </w:pPr>
            <w:r>
              <w:rPr>
                <w:b/>
                <w:bCs/>
              </w:rPr>
              <w:t xml:space="preserve">Notebook (original → _v2)</w:t>
            </w:r>
          </w:p>
        </w:tc>
        <w:tc>
          <w:tcPr>
            <w:tcW w:type="dxa" w:w="1500"/>
            <w:shd w:fill="2F5496" w:color="auto" w:val="clear"/>
            <w:tcMar>
              <w:top w:type="dxa" w:w="80"/>
              <w:left w:type="dxa" w:w="100"/>
              <w:bottom w:type="dxa" w:w="80"/>
              <w:right w:type="dxa" w:w="100"/>
            </w:tcMar>
            <w:vAlign w:val="center"/>
          </w:tcPr>
          <w:p>
            <w:pPr>
              <w:jc w:val="left"/>
            </w:pPr>
            <w:r>
              <w:rPr>
                <w:b/>
                <w:bCs/>
              </w:rPr>
              <w:t xml:space="preserve">Celdas originales</w:t>
            </w:r>
          </w:p>
        </w:tc>
        <w:tc>
          <w:tcPr>
            <w:tcW w:type="dxa" w:w="1500"/>
            <w:shd w:fill="2F5496" w:color="auto" w:val="clear"/>
            <w:tcMar>
              <w:top w:type="dxa" w:w="80"/>
              <w:left w:type="dxa" w:w="100"/>
              <w:bottom w:type="dxa" w:w="80"/>
              <w:right w:type="dxa" w:w="100"/>
            </w:tcMar>
            <w:vAlign w:val="center"/>
          </w:tcPr>
          <w:p>
            <w:pPr>
              <w:jc w:val="left"/>
            </w:pPr>
            <w:r>
              <w:rPr>
                <w:b/>
                <w:bCs/>
              </w:rPr>
              <w:t xml:space="preserve">Celdas en v2</w:t>
            </w:r>
          </w:p>
        </w:tc>
        <w:tc>
          <w:tcPr>
            <w:tcW w:type="dxa" w:w="3150"/>
            <w:shd w:fill="2F5496" w:color="auto" w:val="clear"/>
            <w:tcMar>
              <w:top w:type="dxa" w:w="80"/>
              <w:left w:type="dxa" w:w="100"/>
              <w:bottom w:type="dxa" w:w="80"/>
              <w:right w:type="dxa" w:w="100"/>
            </w:tcMar>
            <w:vAlign w:val="center"/>
          </w:tcPr>
          <w:p>
            <w:pPr>
              <w:jc w:val="left"/>
            </w:pPr>
            <w:r>
              <w:rPr>
                <w:b/>
                <w:bCs/>
              </w:rPr>
              <w:t xml:space="preserve">Carpeta</w:t>
            </w:r>
          </w:p>
        </w:tc>
      </w:tr>
      <w:tr>
        <w:tc>
          <w:tcPr>
            <w:tcW w:type="dxa" w:w="3200"/>
            <w:tcMar>
              <w:top w:type="dxa" w:w="80"/>
              <w:left w:type="dxa" w:w="100"/>
              <w:bottom w:type="dxa" w:w="80"/>
              <w:right w:type="dxa" w:w="100"/>
            </w:tcMar>
            <w:vAlign w:val="center"/>
          </w:tcPr>
          <w:p>
            <w:pPr>
              <w:jc w:val="left"/>
            </w:pPr>
            <w:r>
              <w:rPr>
                <w:b w:val="false"/>
                <w:bCs w:val="false"/>
              </w:rPr>
              <w:t xml:space="preserve">Semana1_Intro_Python.ipynb → _v2</w:t>
            </w:r>
          </w:p>
        </w:tc>
        <w:tc>
          <w:tcPr>
            <w:tcW w:type="dxa" w:w="1500"/>
            <w:tcMar>
              <w:top w:type="dxa" w:w="80"/>
              <w:left w:type="dxa" w:w="100"/>
              <w:bottom w:type="dxa" w:w="80"/>
              <w:right w:type="dxa" w:w="100"/>
            </w:tcMar>
            <w:vAlign w:val="center"/>
          </w:tcPr>
          <w:p>
            <w:pPr>
              <w:jc w:val="center"/>
            </w:pPr>
            <w:r>
              <w:rPr>
                <w:b w:val="false"/>
                <w:bCs w:val="false"/>
              </w:rPr>
              <w:t xml:space="preserve">28</w:t>
            </w:r>
          </w:p>
        </w:tc>
        <w:tc>
          <w:tcPr>
            <w:tcW w:type="dxa" w:w="1500"/>
            <w:tcMar>
              <w:top w:type="dxa" w:w="80"/>
              <w:left w:type="dxa" w:w="100"/>
              <w:bottom w:type="dxa" w:w="80"/>
              <w:right w:type="dxa" w:w="100"/>
            </w:tcMar>
            <w:vAlign w:val="center"/>
          </w:tcPr>
          <w:p>
            <w:pPr>
              <w:jc w:val="center"/>
            </w:pPr>
            <w:r>
              <w:rPr>
                <w:b w:val="false"/>
                <w:bCs w:val="false"/>
              </w:rPr>
              <w:t xml:space="preserve">41</w:t>
            </w:r>
          </w:p>
        </w:tc>
        <w:tc>
          <w:tcPr>
            <w:tcW w:type="dxa" w:w="3150"/>
            <w:tcMar>
              <w:top w:type="dxa" w:w="80"/>
              <w:left w:type="dxa" w:w="100"/>
              <w:bottom w:type="dxa" w:w="80"/>
              <w:right w:type="dxa" w:w="100"/>
            </w:tcMar>
            <w:vAlign w:val="center"/>
          </w:tcPr>
          <w:p>
            <w:pPr>
              <w:jc w:val="left"/>
            </w:pPr>
            <w:r>
              <w:rPr>
                <w:b w:val="false"/>
                <w:bCs w:val="false"/>
              </w:rPr>
              <w:t xml:space="preserve">Clase 1</w:t>
            </w:r>
          </w:p>
        </w:tc>
      </w:tr>
      <w:tr>
        <w:tc>
          <w:tcPr>
            <w:tcW w:type="dxa" w:w="3200"/>
            <w:tcMar>
              <w:top w:type="dxa" w:w="80"/>
              <w:left w:type="dxa" w:w="100"/>
              <w:bottom w:type="dxa" w:w="80"/>
              <w:right w:type="dxa" w:w="100"/>
            </w:tcMar>
            <w:vAlign w:val="center"/>
          </w:tcPr>
          <w:p>
            <w:pPr>
              <w:jc w:val="left"/>
            </w:pPr>
            <w:r>
              <w:rPr>
                <w:b w:val="false"/>
                <w:bCs w:val="false"/>
              </w:rPr>
              <w:t xml:space="preserve">Semana_2_tipos_de_datos_..._paquetes.ipynb → _v2</w:t>
            </w:r>
          </w:p>
        </w:tc>
        <w:tc>
          <w:tcPr>
            <w:tcW w:type="dxa" w:w="1500"/>
            <w:tcMar>
              <w:top w:type="dxa" w:w="80"/>
              <w:left w:type="dxa" w:w="100"/>
              <w:bottom w:type="dxa" w:w="80"/>
              <w:right w:type="dxa" w:w="100"/>
            </w:tcMar>
            <w:vAlign w:val="center"/>
          </w:tcPr>
          <w:p>
            <w:pPr>
              <w:jc w:val="center"/>
            </w:pPr>
            <w:r>
              <w:rPr>
                <w:b w:val="false"/>
                <w:bCs w:val="false"/>
              </w:rPr>
              <w:t xml:space="preserve">105</w:t>
            </w:r>
          </w:p>
        </w:tc>
        <w:tc>
          <w:tcPr>
            <w:tcW w:type="dxa" w:w="1500"/>
            <w:tcMar>
              <w:top w:type="dxa" w:w="80"/>
              <w:left w:type="dxa" w:w="100"/>
              <w:bottom w:type="dxa" w:w="80"/>
              <w:right w:type="dxa" w:w="100"/>
            </w:tcMar>
            <w:vAlign w:val="center"/>
          </w:tcPr>
          <w:p>
            <w:pPr>
              <w:jc w:val="center"/>
            </w:pPr>
            <w:r>
              <w:rPr>
                <w:b w:val="false"/>
                <w:bCs w:val="false"/>
              </w:rPr>
              <w:t xml:space="preserve">122</w:t>
            </w:r>
          </w:p>
        </w:tc>
        <w:tc>
          <w:tcPr>
            <w:tcW w:type="dxa" w:w="3150"/>
            <w:tcMar>
              <w:top w:type="dxa" w:w="80"/>
              <w:left w:type="dxa" w:w="100"/>
              <w:bottom w:type="dxa" w:w="80"/>
              <w:right w:type="dxa" w:w="100"/>
            </w:tcMar>
            <w:vAlign w:val="center"/>
          </w:tcPr>
          <w:p>
            <w:pPr>
              <w:jc w:val="left"/>
            </w:pPr>
            <w:r>
              <w:rPr>
                <w:b w:val="false"/>
                <w:bCs w:val="false"/>
              </w:rPr>
              <w:t xml:space="preserve">Clase 2</w:t>
            </w:r>
          </w:p>
        </w:tc>
      </w:tr>
      <w:tr>
        <w:tc>
          <w:tcPr>
            <w:tcW w:type="dxa" w:w="3200"/>
            <w:tcMar>
              <w:top w:type="dxa" w:w="80"/>
              <w:left w:type="dxa" w:w="100"/>
              <w:bottom w:type="dxa" w:w="80"/>
              <w:right w:type="dxa" w:w="100"/>
            </w:tcMar>
            <w:vAlign w:val="center"/>
          </w:tcPr>
          <w:p>
            <w:pPr>
              <w:jc w:val="left"/>
            </w:pPr>
            <w:r>
              <w:rPr>
                <w:b w:val="false"/>
                <w:bCs w:val="false"/>
              </w:rPr>
              <w:t xml:space="preserve">Semana_3_Estructuras_de_control_de_flujo_de_datos.ipynb → _v2</w:t>
            </w:r>
          </w:p>
        </w:tc>
        <w:tc>
          <w:tcPr>
            <w:tcW w:type="dxa" w:w="1500"/>
            <w:tcMar>
              <w:top w:type="dxa" w:w="80"/>
              <w:left w:type="dxa" w:w="100"/>
              <w:bottom w:type="dxa" w:w="80"/>
              <w:right w:type="dxa" w:w="100"/>
            </w:tcMar>
            <w:vAlign w:val="center"/>
          </w:tcPr>
          <w:p>
            <w:pPr>
              <w:jc w:val="center"/>
            </w:pPr>
            <w:r>
              <w:rPr>
                <w:b w:val="false"/>
                <w:bCs w:val="false"/>
              </w:rPr>
              <w:t xml:space="preserve">53</w:t>
            </w:r>
          </w:p>
        </w:tc>
        <w:tc>
          <w:tcPr>
            <w:tcW w:type="dxa" w:w="1500"/>
            <w:tcMar>
              <w:top w:type="dxa" w:w="80"/>
              <w:left w:type="dxa" w:w="100"/>
              <w:bottom w:type="dxa" w:w="80"/>
              <w:right w:type="dxa" w:w="100"/>
            </w:tcMar>
            <w:vAlign w:val="center"/>
          </w:tcPr>
          <w:p>
            <w:pPr>
              <w:jc w:val="center"/>
            </w:pPr>
            <w:r>
              <w:rPr>
                <w:b w:val="false"/>
                <w:bCs w:val="false"/>
              </w:rPr>
              <w:t xml:space="preserve">69</w:t>
            </w:r>
          </w:p>
        </w:tc>
        <w:tc>
          <w:tcPr>
            <w:tcW w:type="dxa" w:w="3150"/>
            <w:tcMar>
              <w:top w:type="dxa" w:w="80"/>
              <w:left w:type="dxa" w:w="100"/>
              <w:bottom w:type="dxa" w:w="80"/>
              <w:right w:type="dxa" w:w="100"/>
            </w:tcMar>
            <w:vAlign w:val="center"/>
          </w:tcPr>
          <w:p>
            <w:pPr>
              <w:jc w:val="left"/>
            </w:pPr>
            <w:r>
              <w:rPr>
                <w:b w:val="false"/>
                <w:bCs w:val="false"/>
              </w:rPr>
              <w:t xml:space="preserve">Clase 3</w:t>
            </w:r>
          </w:p>
        </w:tc>
      </w:tr>
      <w:tr>
        <w:tc>
          <w:tcPr>
            <w:tcW w:type="dxa" w:w="3200"/>
            <w:tcMar>
              <w:top w:type="dxa" w:w="80"/>
              <w:left w:type="dxa" w:w="100"/>
              <w:bottom w:type="dxa" w:w="80"/>
              <w:right w:type="dxa" w:w="100"/>
            </w:tcMar>
            <w:vAlign w:val="center"/>
          </w:tcPr>
          <w:p>
            <w:pPr>
              <w:jc w:val="left"/>
            </w:pPr>
            <w:r>
              <w:rPr>
                <w:b w:val="false"/>
                <w:bCs w:val="false"/>
              </w:rPr>
              <w:t xml:space="preserve">Semana_4_Introduccion_a_pandas.ipynb → _v2</w:t>
            </w:r>
          </w:p>
        </w:tc>
        <w:tc>
          <w:tcPr>
            <w:tcW w:type="dxa" w:w="1500"/>
            <w:tcMar>
              <w:top w:type="dxa" w:w="80"/>
              <w:left w:type="dxa" w:w="100"/>
              <w:bottom w:type="dxa" w:w="80"/>
              <w:right w:type="dxa" w:w="100"/>
            </w:tcMar>
            <w:vAlign w:val="center"/>
          </w:tcPr>
          <w:p>
            <w:pPr>
              <w:jc w:val="center"/>
            </w:pPr>
            <w:r>
              <w:rPr>
                <w:b w:val="false"/>
                <w:bCs w:val="false"/>
              </w:rPr>
              <w:t xml:space="preserve">70</w:t>
            </w:r>
          </w:p>
        </w:tc>
        <w:tc>
          <w:tcPr>
            <w:tcW w:type="dxa" w:w="1500"/>
            <w:tcMar>
              <w:top w:type="dxa" w:w="80"/>
              <w:left w:type="dxa" w:w="100"/>
              <w:bottom w:type="dxa" w:w="80"/>
              <w:right w:type="dxa" w:w="100"/>
            </w:tcMar>
            <w:vAlign w:val="center"/>
          </w:tcPr>
          <w:p>
            <w:pPr>
              <w:jc w:val="center"/>
            </w:pPr>
            <w:r>
              <w:rPr>
                <w:b w:val="false"/>
                <w:bCs w:val="false"/>
              </w:rPr>
              <w:t xml:space="preserve">80</w:t>
            </w:r>
          </w:p>
        </w:tc>
        <w:tc>
          <w:tcPr>
            <w:tcW w:type="dxa" w:w="3150"/>
            <w:tcMar>
              <w:top w:type="dxa" w:w="80"/>
              <w:left w:type="dxa" w:w="100"/>
              <w:bottom w:type="dxa" w:w="80"/>
              <w:right w:type="dxa" w:w="100"/>
            </w:tcMar>
            <w:vAlign w:val="center"/>
          </w:tcPr>
          <w:p>
            <w:pPr>
              <w:jc w:val="left"/>
            </w:pPr>
            <w:r>
              <w:rPr>
                <w:b w:val="false"/>
                <w:bCs w:val="false"/>
              </w:rPr>
              <w:t xml:space="preserve">Clase 4</w:t>
            </w:r>
          </w:p>
        </w:tc>
      </w:tr>
      <w:tr>
        <w:tc>
          <w:tcPr>
            <w:tcW w:type="dxa" w:w="3200"/>
            <w:tcMar>
              <w:top w:type="dxa" w:w="80"/>
              <w:left w:type="dxa" w:w="100"/>
              <w:bottom w:type="dxa" w:w="80"/>
              <w:right w:type="dxa" w:w="100"/>
            </w:tcMar>
            <w:vAlign w:val="center"/>
          </w:tcPr>
          <w:p>
            <w:pPr>
              <w:jc w:val="left"/>
            </w:pPr>
            <w:r>
              <w:rPr>
                <w:b w:val="false"/>
                <w:bCs w:val="false"/>
              </w:rPr>
              <w:t xml:space="preserve">Semana_4_Introduccion_a_pandas_segunda_parte.ipynb → _v2</w:t>
            </w:r>
          </w:p>
        </w:tc>
        <w:tc>
          <w:tcPr>
            <w:tcW w:type="dxa" w:w="1500"/>
            <w:tcMar>
              <w:top w:type="dxa" w:w="80"/>
              <w:left w:type="dxa" w:w="100"/>
              <w:bottom w:type="dxa" w:w="80"/>
              <w:right w:type="dxa" w:w="100"/>
            </w:tcMar>
            <w:vAlign w:val="center"/>
          </w:tcPr>
          <w:p>
            <w:pPr>
              <w:jc w:val="center"/>
            </w:pPr>
            <w:r>
              <w:rPr>
                <w:b w:val="false"/>
                <w:bCs w:val="false"/>
              </w:rPr>
              <w:t xml:space="preserve">63</w:t>
            </w:r>
          </w:p>
        </w:tc>
        <w:tc>
          <w:tcPr>
            <w:tcW w:type="dxa" w:w="1500"/>
            <w:tcMar>
              <w:top w:type="dxa" w:w="80"/>
              <w:left w:type="dxa" w:w="100"/>
              <w:bottom w:type="dxa" w:w="80"/>
              <w:right w:type="dxa" w:w="100"/>
            </w:tcMar>
            <w:vAlign w:val="center"/>
          </w:tcPr>
          <w:p>
            <w:pPr>
              <w:jc w:val="center"/>
            </w:pPr>
            <w:r>
              <w:rPr>
                <w:b w:val="false"/>
                <w:bCs w:val="false"/>
              </w:rPr>
              <w:t xml:space="preserve">79</w:t>
            </w:r>
          </w:p>
        </w:tc>
        <w:tc>
          <w:tcPr>
            <w:tcW w:type="dxa" w:w="3150"/>
            <w:tcMar>
              <w:top w:type="dxa" w:w="80"/>
              <w:left w:type="dxa" w:w="100"/>
              <w:bottom w:type="dxa" w:w="80"/>
              <w:right w:type="dxa" w:w="100"/>
            </w:tcMar>
            <w:vAlign w:val="center"/>
          </w:tcPr>
          <w:p>
            <w:pPr>
              <w:jc w:val="left"/>
            </w:pPr>
            <w:r>
              <w:rPr>
                <w:b w:val="false"/>
                <w:bCs w:val="false"/>
              </w:rPr>
              <w:t xml:space="preserve">Clase 4</w:t>
            </w:r>
          </w:p>
        </w:tc>
      </w:tr>
    </w:tbl>
    <w:p>
      <w:pPr>
        <w:pStyle w:val="Heading1"/>
        <w:spacing w:after="150" w:before="300"/>
      </w:pPr>
      <w:r>
        <w:t xml:space="preserve">3. Cambios realizados por notebook</w:t>
      </w:r>
    </w:p>
    <w:p>
      <w:pPr>
        <w:pStyle w:val="Heading2"/>
        <w:spacing w:after="120" w:before="260"/>
      </w:pPr>
      <w:r>
        <w:t xml:space="preserve">3.1 Semana 1 — Introducción a Python (Semana1_Intro_Python_v2.ipynb)</w:t>
      </w:r>
    </w:p>
    <w:p>
      <w:pPr>
        <w:pStyle w:val="ListParagraph"/>
        <w:numPr>
          <w:ilvl w:val="0"/>
          <w:numId w:val="1"/>
        </w:numPr>
        <w:spacing w:after="60"/>
      </w:pPr>
      <w:r>
        <w:rPr>
          <w:b/>
          <w:bCs/>
        </w:rPr>
        <w:t xml:space="preserve">Mantener: </w:t>
      </w:r>
      <w:r>
        <w:t xml:space="preserve">se conservó todo el contenido sobre entorno, ejecución en notebooks, variables, print/input y comandos básicos.</w:t>
      </w:r>
    </w:p>
    <w:p>
      <w:pPr>
        <w:pStyle w:val="ListParagraph"/>
        <w:numPr>
          <w:ilvl w:val="0"/>
          <w:numId w:val="1"/>
        </w:numPr>
        <w:spacing w:after="60"/>
      </w:pPr>
      <w:r>
        <w:rPr>
          <w:b/>
          <w:bCs/>
        </w:rPr>
        <w:t xml:space="preserve">Reorganizar: </w:t>
      </w:r>
      <w:r>
        <w:t xml:space="preserve">justo después del título se agregó (1) la política completa de uso responsable de IA, (2) un bloque nuevo de "Errores frecuentes para principiantes" (SyntaxError, IndentationError, NameError, TypeError) y (3) el banco de prompts completo como anexo, para que estén disponibles desde el primer día del curso.</w:t>
      </w:r>
    </w:p>
    <w:p>
      <w:pPr>
        <w:pStyle w:val="ListParagraph"/>
        <w:numPr>
          <w:ilvl w:val="0"/>
          <w:numId w:val="1"/>
        </w:numPr>
        <w:spacing w:after="60"/>
      </w:pPr>
      <w:r>
        <w:rPr>
          <w:b/>
          <w:bCs/>
        </w:rPr>
        <w:t xml:space="preserve">Convertir en optativo: </w:t>
      </w:r>
      <w:r>
        <w:t xml:space="preserve">la sección de gestión de paquetes con pip y manejo de entornos virtuales (1b y 1c) quedó marcada como contenido optativo; los comandos básicos de terminal (sección 1) se mantuvieron pero con una nota de "guía de consulta" (no es necesario memorizarlos).</w:t>
      </w:r>
    </w:p>
    <w:p>
      <w:pPr>
        <w:pStyle w:val="ListParagraph"/>
        <w:numPr>
          <w:ilvl w:val="0"/>
          <w:numId w:val="1"/>
        </w:numPr>
        <w:spacing w:after="60"/>
      </w:pPr>
      <w:r>
        <w:rPr>
          <w:b/>
          <w:bCs/>
        </w:rPr>
        <w:t xml:space="preserve">Agregar práctica guiada: </w:t>
      </w:r>
      <w:r>
        <w:t xml:space="preserve">después del Ejercicio 2.3 (variables y print) se agregaron dos checkpoints de código: uno para modificar una variable y predecir la salida, y otro con un error de indentación intencional para "corregir un error".</w:t>
      </w:r>
    </w:p>
    <w:p>
      <w:pPr>
        <w:pStyle w:val="ListParagraph"/>
        <w:numPr>
          <w:ilvl w:val="0"/>
          <w:numId w:val="1"/>
        </w:numPr>
        <w:spacing w:after="60"/>
      </w:pPr>
      <w:r>
        <w:rPr>
          <w:b/>
          <w:bCs/>
        </w:rPr>
        <w:t xml:space="preserve">Agregar uso de IA: </w:t>
      </w:r>
      <w:r>
        <w:t xml:space="preserve">se insertó la actividad "interpretar un error" inmediatamente después de esos checkpoints.</w:t>
      </w:r>
    </w:p>
    <w:p>
      <w:pPr>
        <w:pStyle w:val="ListParagraph"/>
        <w:numPr>
          <w:ilvl w:val="0"/>
          <w:numId w:val="1"/>
        </w:numPr>
        <w:spacing w:after="60"/>
      </w:pPr>
      <w:r>
        <w:rPr>
          <w:b/>
          <w:bCs/>
        </w:rPr>
        <w:t xml:space="preserve">Miniproyecto 1: </w:t>
      </w:r>
      <w:r>
        <w:t xml:space="preserve">se agregó el resumen de la política de IA antes y la plantilla de declaración de uso de IA después.</w:t>
      </w:r>
    </w:p>
    <w:p>
      <w:pPr>
        <w:pStyle w:val="ListParagraph"/>
        <w:numPr>
          <w:ilvl w:val="0"/>
          <w:numId w:val="1"/>
        </w:numPr>
        <w:spacing w:after="60"/>
      </w:pPr>
      <w:r>
        <w:rPr>
          <w:b/>
          <w:bCs/>
        </w:rPr>
        <w:t xml:space="preserve">Cierre: </w:t>
      </w:r>
      <w:r>
        <w:t xml:space="preserve">se agregó el checklist de cierre de clase (ejecutar, modificar, guardar, explicar) al final del notebook.</w:t>
      </w:r>
    </w:p>
    <w:p>
      <w:pPr>
        <w:pStyle w:val="Heading2"/>
        <w:spacing w:after="120" w:before="260"/>
      </w:pPr>
      <w:r>
        <w:t xml:space="preserve">3.2 Semana 2 — Tipos de datos, listas, diccionarios, funciones y paquetes</w:t>
      </w:r>
    </w:p>
    <w:p>
      <w:pPr>
        <w:pStyle w:val="ListParagraph"/>
        <w:numPr>
          <w:ilvl w:val="0"/>
          <w:numId w:val="1"/>
        </w:numPr>
        <w:spacing w:after="60"/>
      </w:pPr>
      <w:r>
        <w:rPr>
          <w:b/>
          <w:bCs/>
        </w:rPr>
        <w:t xml:space="preserve">Mantener: </w:t>
      </w:r>
      <w:r>
        <w:t xml:space="preserve">tipos básicos, conversiones, listas, diccionarios, funciones simples y métodos esenciales quedaron sin cambios.</w:t>
      </w:r>
    </w:p>
    <w:p>
      <w:pPr>
        <w:pStyle w:val="ListParagraph"/>
        <w:numPr>
          <w:ilvl w:val="0"/>
          <w:numId w:val="1"/>
        </w:numPr>
        <w:spacing w:after="60"/>
      </w:pPr>
      <w:r>
        <w:rPr>
          <w:b/>
          <w:bCs/>
        </w:rPr>
        <w:t xml:space="preserve">Agregar uso de IA: </w:t>
      </w:r>
      <w:r>
        <w:t xml:space="preserve">se insertó (a) una actividad de autoevaluación con 3 preguntas sobre tipos de datos después del Ejercicio 1.4 (conversión/casteo), y (b) las actividades "explicar código propio" y "generar casos de prueba" después del Ejercicio 3.3, para que el estudiante las use sobre sus propias funciones.</w:t>
      </w:r>
    </w:p>
    <w:p>
      <w:pPr>
        <w:pStyle w:val="ListParagraph"/>
        <w:numPr>
          <w:ilvl w:val="0"/>
          <w:numId w:val="1"/>
        </w:numPr>
        <w:spacing w:after="60"/>
      </w:pPr>
      <w:r>
        <w:rPr>
          <w:b/>
          <w:bCs/>
        </w:rPr>
        <w:t xml:space="preserve">Agregar práctica guiada: </w:t>
      </w:r>
      <w:r>
        <w:t xml:space="preserve">se agregó un checkpoint de lectura de código (predecir el resultado de combinar una lista y un diccionario) después del Ejercicio 1.9.</w:t>
      </w:r>
    </w:p>
    <w:p>
      <w:pPr>
        <w:pStyle w:val="ListParagraph"/>
        <w:numPr>
          <w:ilvl w:val="0"/>
          <w:numId w:val="1"/>
        </w:numPr>
        <w:spacing w:after="60"/>
      </w:pPr>
      <w:r>
        <w:rPr>
          <w:b/>
          <w:bCs/>
        </w:rPr>
        <w:t xml:space="preserve">Reducir / Convertir en optativo: </w:t>
      </w:r>
      <w:r>
        <w:t xml:space="preserve">se marcaron como contenido optativo los bloques de argumentos arbitrarios *args y **kwargs (dejando como contenido central los argumentos fijos y por nombre), y la sección 3c) "Funciones incluidas en librerías", que adelanta el uso de paquetes externos.</w:t>
      </w:r>
    </w:p>
    <w:p>
      <w:pPr>
        <w:pStyle w:val="ListParagraph"/>
        <w:numPr>
          <w:ilvl w:val="0"/>
          <w:numId w:val="1"/>
        </w:numPr>
        <w:spacing w:after="60"/>
      </w:pPr>
      <w:r>
        <w:rPr>
          <w:b/>
          <w:bCs/>
        </w:rPr>
        <w:t xml:space="preserve">Miniproyecto 2 (Gestión de estudiantes): </w:t>
      </w:r>
      <w:r>
        <w:t xml:space="preserve">ya estaba dividido en 3 etapas (datos, funciones, resumen final); se agregó una nota explícita marcándolas como obligatorias y aclarando el límite del uso de IA, más el resumen de política, la declaración de uso de IA y una reflexión final al cierre.</w:t>
      </w:r>
    </w:p>
    <w:p>
      <w:pPr>
        <w:pStyle w:val="ListParagraph"/>
        <w:numPr>
          <w:ilvl w:val="0"/>
          <w:numId w:val="1"/>
        </w:numPr>
        <w:spacing w:after="60"/>
      </w:pPr>
      <w:r>
        <w:rPr>
          <w:b/>
          <w:bCs/>
        </w:rPr>
        <w:t xml:space="preserve">Cierre: </w:t>
      </w:r>
      <w:r>
        <w:t xml:space="preserve">checklist de cierre centrado en explicar tipos de datos, leer estructuras y probar funciones propias.</w:t>
      </w:r>
    </w:p>
    <w:p>
      <w:pPr>
        <w:pStyle w:val="Heading2"/>
        <w:spacing w:after="120" w:before="260"/>
      </w:pPr>
      <w:r>
        <w:t xml:space="preserve">3.3 Semana 3 — Estructuras de control de flujo</w:t>
      </w:r>
    </w:p>
    <w:p>
      <w:pPr>
        <w:pStyle w:val="ListParagraph"/>
        <w:numPr>
          <w:ilvl w:val="0"/>
          <w:numId w:val="1"/>
        </w:numPr>
        <w:spacing w:after="60"/>
      </w:pPr>
      <w:r>
        <w:rPr>
          <w:b/>
          <w:bCs/>
        </w:rPr>
        <w:t xml:space="preserve">Reorganizar (cambio estructural): </w:t>
      </w:r>
      <w:r>
        <w:t xml:space="preserve">se reordenó el notebook para que el bloque de "control de flujo dentro del bucle" (continue, break, pass) y los ejemplos de bloques anidados pasen a ubicarse después del bucle while y antes de "Buenas prácticas". El orden resultante es: condicionales → bucle for → bucle while → control de flujo (break/continue/pass) → buenas prácticas → miniproyecto, tal como pide el Plan.</w:t>
      </w:r>
    </w:p>
    <w:p>
      <w:pPr>
        <w:pStyle w:val="ListParagraph"/>
        <w:numPr>
          <w:ilvl w:val="0"/>
          <w:numId w:val="1"/>
        </w:numPr>
        <w:spacing w:after="60"/>
      </w:pPr>
      <w:r>
        <w:rPr>
          <w:b/>
          <w:bCs/>
        </w:rPr>
        <w:t xml:space="preserve">Convertir en optativo: </w:t>
      </w:r>
      <w:r>
        <w:t xml:space="preserve">los tres ejemplos que comparan listas nativas contra arrays de numpy (duplicar, filtrar, elevar al cuadrado) junto con la explicación de NumPy y sus ventajas quedaron marcados como lectura optativa, dejando solo una mención introductoria antes y la importación de la librería después.</w:t>
      </w:r>
    </w:p>
    <w:p>
      <w:pPr>
        <w:pStyle w:val="ListParagraph"/>
        <w:numPr>
          <w:ilvl w:val="0"/>
          <w:numId w:val="1"/>
        </w:numPr>
        <w:spacing w:after="60"/>
      </w:pPr>
      <w:r>
        <w:rPr>
          <w:b/>
          <w:bCs/>
        </w:rPr>
        <w:t xml:space="preserve">Agregar uso de IA: </w:t>
      </w:r>
      <w:r>
        <w:t xml:space="preserve">se agregó la actividad "pedir una pista" después del Ejercicio 1 (condicionales), y la actividad "interpretar un error" después del nuevo checkpoint de depuración de bucles.</w:t>
      </w:r>
    </w:p>
    <w:p>
      <w:pPr>
        <w:pStyle w:val="ListParagraph"/>
        <w:numPr>
          <w:ilvl w:val="0"/>
          <w:numId w:val="1"/>
        </w:numPr>
        <w:spacing w:after="60"/>
      </w:pPr>
      <w:r>
        <w:rPr>
          <w:b/>
          <w:bCs/>
        </w:rPr>
        <w:t xml:space="preserve">Agregar práctica guiada: </w:t>
      </w:r>
      <w:r>
        <w:t xml:space="preserve">se sumaron tres checkpoints nuevos: (1) corregir una condición mal planteada que no contempla números negativos, después del Ejercicio 1; (2) predecir la salida de un for con range() y paso distinto de 1, después del Ejercicio 3; (3) depurar un while con bucle infinito (falta actualizar el contador), ubicado al final del bloque de control de flujo ya reordenado.</w:t>
      </w:r>
    </w:p>
    <w:p>
      <w:pPr>
        <w:pStyle w:val="ListParagraph"/>
        <w:numPr>
          <w:ilvl w:val="0"/>
          <w:numId w:val="1"/>
        </w:numPr>
        <w:spacing w:after="60"/>
      </w:pPr>
      <w:r>
        <w:rPr>
          <w:b/>
          <w:bCs/>
        </w:rPr>
        <w:t xml:space="preserve">Miniproyecto 3 (Cajero automático): </w:t>
      </w:r>
      <w:r>
        <w:t xml:space="preserve">se agregó una nota pidiendo simplificar primero el inicio de sesión y el menú, dejando validaciones adicionales como opcionales; más el resumen de política, declaración de IA y reflexión final.</w:t>
      </w:r>
    </w:p>
    <w:p>
      <w:pPr>
        <w:pStyle w:val="ListParagraph"/>
        <w:numPr>
          <w:ilvl w:val="0"/>
          <w:numId w:val="1"/>
        </w:numPr>
        <w:spacing w:after="60"/>
      </w:pPr>
      <w:r>
        <w:rPr>
          <w:b/>
          <w:bCs/>
        </w:rPr>
        <w:t xml:space="preserve">Cierre: </w:t>
      </w:r>
      <w:r>
        <w:t xml:space="preserve">checklist centrado en condicionales, predicción de bucles y detección de bucles infinitos / errores de indentación.</w:t>
      </w:r>
    </w:p>
    <w:p>
      <w:pPr>
        <w:pStyle w:val="Heading2"/>
        <w:spacing w:after="120" w:before="260"/>
      </w:pPr>
      <w:r>
        <w:t xml:space="preserve">3.4 Semana 4 — Introducción a pandas (primera parte)</w:t>
      </w:r>
    </w:p>
    <w:p>
      <w:pPr>
        <w:pStyle w:val="ListParagraph"/>
        <w:numPr>
          <w:ilvl w:val="0"/>
          <w:numId w:val="1"/>
        </w:numPr>
        <w:spacing w:after="60"/>
      </w:pPr>
      <w:r>
        <w:rPr>
          <w:b/>
          <w:bCs/>
        </w:rPr>
        <w:t xml:space="preserve">Ajuste de estructura: </w:t>
      </w:r>
      <w:r>
        <w:t xml:space="preserve">los cuatro títulos vacíos al final del notebook original ("5) Limpieza", "6) GroupBy", "7) Combinación", "8) Tipado" — sin ningún contenido debajo, ya que ese material está desarrollado en el notebook de la segunda parte) se reemplazaron por una única nota "Próximos temas" que señala explícitamente que esos temas continúan en el notebook de la Segunda Parte, evitando encabezados colgantes sin contenido.</w:t>
      </w:r>
    </w:p>
    <w:p>
      <w:pPr>
        <w:pStyle w:val="ListParagraph"/>
        <w:numPr>
          <w:ilvl w:val="0"/>
          <w:numId w:val="1"/>
        </w:numPr>
        <w:spacing w:after="60"/>
      </w:pPr>
      <w:r>
        <w:rPr>
          <w:b/>
          <w:bCs/>
        </w:rPr>
        <w:t xml:space="preserve">Convertir en optativo: </w:t>
      </w:r>
      <w:r>
        <w:t xml:space="preserve">se marcaron como lectura optativa (a) los ejemplos de lectura/escritura en JSON y Excel, dejando CSV como formato principal de trabajo, y (b) los Ejercicios 8 y 9, que abordan lectura de archivos por fragmentos (chunking) y conversión a formato Parquet.</w:t>
      </w:r>
    </w:p>
    <w:p>
      <w:pPr>
        <w:pStyle w:val="ListParagraph"/>
        <w:numPr>
          <w:ilvl w:val="0"/>
          <w:numId w:val="1"/>
        </w:numPr>
        <w:spacing w:after="60"/>
      </w:pPr>
      <w:r>
        <w:rPr>
          <w:b/>
          <w:bCs/>
        </w:rPr>
        <w:t xml:space="preserve">Agregar práctica guiada: </w:t>
      </w:r>
      <w:r>
        <w:t xml:space="preserve">se agregaron tres checkpoints de predicción, ubicados después de los Ejercicios 15, 18 y 21: cuántas filas quedan tras fijar un índice, qué columnas selecciona una instrucción con .iloc, y qué devuelve un filtro con .query().</w:t>
      </w:r>
    </w:p>
    <w:p>
      <w:pPr>
        <w:pStyle w:val="ListParagraph"/>
        <w:numPr>
          <w:ilvl w:val="0"/>
          <w:numId w:val="1"/>
        </w:numPr>
        <w:spacing w:after="60"/>
      </w:pPr>
      <w:r>
        <w:rPr>
          <w:b/>
          <w:bCs/>
        </w:rPr>
        <w:t xml:space="preserve">Agregar uso de IA: </w:t>
      </w:r>
      <w:r>
        <w:t xml:space="preserve">se agregó la actividad "explicar código propio" (adaptada a pandas, con referencia al prompt "Revisar pandas" del banco de la Semana 1) después del último checkpoint de filtrado.</w:t>
      </w:r>
    </w:p>
    <w:p>
      <w:pPr>
        <w:pStyle w:val="ListParagraph"/>
        <w:numPr>
          <w:ilvl w:val="0"/>
          <w:numId w:val="1"/>
        </w:numPr>
        <w:spacing w:after="60"/>
      </w:pPr>
      <w:r>
        <w:rPr>
          <w:b/>
          <w:bCs/>
        </w:rPr>
        <w:t xml:space="preserve">Cierre: </w:t>
      </w:r>
      <w:r>
        <w:t xml:space="preserve">checklist centrado en crear Series/DataFrames, leer CSV, diferenciar .loc de .iloc y predecir filtros.</w:t>
      </w:r>
    </w:p>
    <w:p>
      <w:pPr>
        <w:pStyle w:val="Heading2"/>
        <w:spacing w:after="120" w:before="260"/>
      </w:pPr>
      <w:r>
        <w:t xml:space="preserve">3.5 Semana 4 — Introducción a pandas (segunda parte, cierre del curso)</w:t>
      </w:r>
    </w:p>
    <w:p>
      <w:pPr>
        <w:pStyle w:val="ListParagraph"/>
        <w:numPr>
          <w:ilvl w:val="0"/>
          <w:numId w:val="1"/>
        </w:numPr>
        <w:spacing w:after="60"/>
      </w:pPr>
      <w:r>
        <w:rPr>
          <w:b/>
          <w:bCs/>
        </w:rPr>
        <w:t xml:space="preserve">Mantener: </w:t>
      </w:r>
      <w:r>
        <w:t xml:space="preserve">el orden ya existente (limpieza → groupby → combinación → miniproyecto) coincide con lo que pide el Plan, por lo que no fue necesario reordenar.</w:t>
      </w:r>
    </w:p>
    <w:p>
      <w:pPr>
        <w:pStyle w:val="ListParagraph"/>
        <w:numPr>
          <w:ilvl w:val="0"/>
          <w:numId w:val="1"/>
        </w:numPr>
        <w:spacing w:after="60"/>
      </w:pPr>
      <w:r>
        <w:rPr>
          <w:b/>
          <w:bCs/>
        </w:rPr>
        <w:t xml:space="preserve">Convertir en optativo: </w:t>
      </w:r>
      <w:r>
        <w:t xml:space="preserve">se marcaron como lectura optativa la sección de discretización (binning) y la de creación de variables dummy.</w:t>
      </w:r>
    </w:p>
    <w:p>
      <w:pPr>
        <w:pStyle w:val="ListParagraph"/>
        <w:numPr>
          <w:ilvl w:val="0"/>
          <w:numId w:val="1"/>
        </w:numPr>
        <w:spacing w:after="60"/>
      </w:pPr>
      <w:r>
        <w:rPr>
          <w:b/>
          <w:bCs/>
        </w:rPr>
        <w:t xml:space="preserve">Agregar práctica guiada: </w:t>
      </w:r>
      <w:r>
        <w:t xml:space="preserve">se agregó un checkpoint para detectar nulos/duplicados después del Ejercicio 6, y otro para crear la columna total_venta y agruparla por categoría, después del Ejercicio 21 (usando literalmente el ejemplo que menciona el Plan).</w:t>
      </w:r>
    </w:p>
    <w:p>
      <w:pPr>
        <w:pStyle w:val="ListParagraph"/>
        <w:numPr>
          <w:ilvl w:val="0"/>
          <w:numId w:val="1"/>
        </w:numPr>
        <w:spacing w:after="60"/>
      </w:pPr>
      <w:r>
        <w:rPr>
          <w:b/>
          <w:bCs/>
        </w:rPr>
        <w:t xml:space="preserve">Agregar uso de IA: </w:t>
      </w:r>
      <w:r>
        <w:t xml:space="preserve">se insertó la actividad "generar casos de prueba" después del Ejercicio 9 (transformación con map/apply), y la actividad "comparar soluciones" antes del Ejercicio 22, para que el estudiante compare dos formas de combinar los mismos DataFrames.</w:t>
      </w:r>
    </w:p>
    <w:p>
      <w:pPr>
        <w:pStyle w:val="ListParagraph"/>
        <w:numPr>
          <w:ilvl w:val="0"/>
          <w:numId w:val="1"/>
        </w:numPr>
        <w:spacing w:after="60"/>
      </w:pPr>
      <w:r>
        <w:rPr>
          <w:b/>
          <w:bCs/>
        </w:rPr>
        <w:t xml:space="preserve">Miniproyecto 4 (Análisis de ventas): </w:t>
      </w:r>
      <w:r>
        <w:t xml:space="preserve">se agregó nota de etapas, resumen de política de IA, declaración de uso de IA y — por ser la última clase del curso — la reflexión final completa más una nota de "Cierre del curso" que remite al checklist de control del Plan Consolidado.</w:t>
      </w:r>
    </w:p>
    <w:p>
      <w:pPr>
        <w:pStyle w:val="Heading1"/>
        <w:spacing w:after="150" w:before="300"/>
      </w:pPr>
      <w:r>
        <w:t xml:space="preserve">4. Revisión del checklist final de control (Sección 11 del Plan)</w:t>
      </w:r>
    </w:p>
    <w:p>
      <w:pPr>
        <w:spacing w:after="120"/>
      </w:pPr>
      <w:r>
        <w:t xml:space="preserve">Evaluación honesta de los 15 ítems, considerando únicamente lo que puede resolverse dentro de los notebooks. Los ítems marcados como "pendiente" o "parcial" dependen de decisiones o instrumentos que exceden el contenido de un notebook (por ejemplo, una rúbrica de evaluación o la prueba real de tiempos en el dictado de la clase).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2F5496" w:color="auto" w:val="clear"/>
            <w:tcMar>
              <w:top w:type="dxa" w:w="80"/>
              <w:left w:type="dxa" w:w="100"/>
              <w:bottom w:type="dxa" w:w="80"/>
              <w:right w:type="dxa" w:w="100"/>
            </w:tcMar>
            <w:vAlign w:val="center"/>
          </w:tcPr>
          <w:p>
            <w:pPr>
              <w:jc w:val="left"/>
            </w:pPr>
            <w:r>
              <w:rPr>
                <w:b/>
                <w:bCs/>
              </w:rPr>
              <w:t xml:space="preserve">#</w:t>
            </w:r>
          </w:p>
        </w:tc>
        <w:tc>
          <w:tcPr>
            <w:tcW w:type="dxa" w:w="5200"/>
            <w:shd w:fill="2F5496" w:color="auto" w:val="clear"/>
            <w:tcMar>
              <w:top w:type="dxa" w:w="80"/>
              <w:left w:type="dxa" w:w="100"/>
              <w:bottom w:type="dxa" w:w="80"/>
              <w:right w:type="dxa" w:w="100"/>
            </w:tcMar>
            <w:vAlign w:val="center"/>
          </w:tcPr>
          <w:p>
            <w:pPr>
              <w:jc w:val="left"/>
            </w:pPr>
            <w:r>
              <w:rPr>
                <w:b/>
                <w:bCs/>
              </w:rPr>
              <w:t xml:space="preserve">Ítem del checklist (Sección 11 del Plan)</w:t>
            </w:r>
          </w:p>
        </w:tc>
        <w:tc>
          <w:tcPr>
            <w:tcW w:type="dxa" w:w="1600"/>
            <w:shd w:fill="2F5496" w:color="auto" w:val="clear"/>
            <w:tcMar>
              <w:top w:type="dxa" w:w="80"/>
              <w:left w:type="dxa" w:w="100"/>
              <w:bottom w:type="dxa" w:w="80"/>
              <w:right w:type="dxa" w:w="100"/>
            </w:tcMar>
            <w:vAlign w:val="center"/>
          </w:tcPr>
          <w:p>
            <w:pPr>
              <w:jc w:val="left"/>
            </w:pPr>
            <w:r>
              <w:rPr>
                <w:b/>
                <w:bCs/>
              </w:rPr>
              <w:t xml:space="preserve">Estado</w:t>
            </w:r>
          </w:p>
        </w:tc>
        <w:tc>
          <w:tcPr>
            <w:tcW w:type="dxa" w:w="2050"/>
            <w:shd w:fill="2F5496" w:color="auto" w:val="clear"/>
            <w:tcMar>
              <w:top w:type="dxa" w:w="80"/>
              <w:left w:type="dxa" w:w="100"/>
              <w:bottom w:type="dxa" w:w="80"/>
              <w:right w:type="dxa" w:w="100"/>
            </w:tcMar>
            <w:vAlign w:val="center"/>
          </w:tcPr>
          <w:p>
            <w:pPr>
              <w:jc w:val="left"/>
            </w:pPr>
            <w:r>
              <w:rPr>
                <w:b/>
                <w:bCs/>
              </w:rPr>
              <w:t xml:space="preserve">Comentario</w:t>
            </w:r>
          </w:p>
        </w:tc>
      </w:tr>
      <w:tr>
        <w:tc>
          <w:tcPr>
            <w:tcW w:type="dxa" w:w="500"/>
            <w:tcMar>
              <w:top w:type="dxa" w:w="80"/>
              <w:left w:type="dxa" w:w="100"/>
              <w:bottom w:type="dxa" w:w="80"/>
              <w:right w:type="dxa" w:w="100"/>
            </w:tcMar>
            <w:vAlign w:val="center"/>
          </w:tcPr>
          <w:p>
            <w:pPr>
              <w:jc w:val="left"/>
            </w:pPr>
            <w:r>
              <w:rPr>
                <w:b w:val="false"/>
                <w:bCs w:val="false"/>
              </w:rPr>
              <w:t xml:space="preserve">1</w:t>
            </w:r>
          </w:p>
        </w:tc>
        <w:tc>
          <w:tcPr>
            <w:tcW w:type="dxa" w:w="5200"/>
            <w:tcMar>
              <w:top w:type="dxa" w:w="80"/>
              <w:left w:type="dxa" w:w="100"/>
              <w:bottom w:type="dxa" w:w="80"/>
              <w:right w:type="dxa" w:w="100"/>
            </w:tcMar>
            <w:vAlign w:val="center"/>
          </w:tcPr>
          <w:p>
            <w:pPr>
              <w:jc w:val="left"/>
            </w:pPr>
            <w:r>
              <w:rPr>
                <w:b w:val="false"/>
                <w:bCs w:val="false"/>
              </w:rPr>
              <w:t xml:space="preserve">El curso mantiene una carga realista para 10 encuentros de 2 horas.</w:t>
            </w:r>
          </w:p>
        </w:tc>
        <w:tc>
          <w:tcPr>
            <w:tcW w:type="dxa" w:w="1600"/>
            <w:shd w:fill="FFF2CC" w:color="auto" w:val="clear"/>
            <w:tcMar>
              <w:top w:type="dxa" w:w="80"/>
              <w:left w:type="dxa" w:w="100"/>
              <w:bottom w:type="dxa" w:w="80"/>
              <w:right w:type="dxa" w:w="100"/>
            </w:tcMar>
            <w:vAlign w:val="center"/>
          </w:tcPr>
          <w:p>
            <w:pPr>
              <w:jc w:val="left"/>
            </w:pPr>
            <w:r>
              <w:rPr>
                <w:b w:val="false"/>
                <w:bCs w:val="false"/>
              </w:rPr>
              <w:t xml:space="preserve">Parcial</w:t>
            </w:r>
          </w:p>
        </w:tc>
        <w:tc>
          <w:tcPr>
            <w:tcW w:type="dxa" w:w="2050"/>
            <w:tcMar>
              <w:top w:type="dxa" w:w="80"/>
              <w:left w:type="dxa" w:w="100"/>
              <w:bottom w:type="dxa" w:w="80"/>
              <w:right w:type="dxa" w:w="100"/>
            </w:tcMar>
            <w:vAlign w:val="center"/>
          </w:tcPr>
          <w:p>
            <w:pPr>
              <w:jc w:val="left"/>
            </w:pPr>
            <w:r>
              <w:rPr>
                <w:b w:val="false"/>
                <w:bCs w:val="false"/>
              </w:rPr>
              <w:t xml:space="preserve">Se redujo contenido denso a optativo y se agregaron checkpoints breves; falta validar tiempos dictando la clase (Fase 4 del Plan).</w:t>
            </w:r>
          </w:p>
        </w:tc>
      </w:tr>
      <w:tr>
        <w:tc>
          <w:tcPr>
            <w:tcW w:type="dxa" w:w="500"/>
            <w:tcMar>
              <w:top w:type="dxa" w:w="80"/>
              <w:left w:type="dxa" w:w="100"/>
              <w:bottom w:type="dxa" w:w="80"/>
              <w:right w:type="dxa" w:w="100"/>
            </w:tcMar>
            <w:vAlign w:val="center"/>
          </w:tcPr>
          <w:p>
            <w:pPr>
              <w:jc w:val="left"/>
            </w:pPr>
            <w:r>
              <w:rPr>
                <w:b w:val="false"/>
                <w:bCs w:val="false"/>
              </w:rPr>
              <w:t xml:space="preserve">2</w:t>
            </w:r>
          </w:p>
        </w:tc>
        <w:tc>
          <w:tcPr>
            <w:tcW w:type="dxa" w:w="5200"/>
            <w:tcMar>
              <w:top w:type="dxa" w:w="80"/>
              <w:left w:type="dxa" w:w="100"/>
              <w:bottom w:type="dxa" w:w="80"/>
              <w:right w:type="dxa" w:w="100"/>
            </w:tcMar>
            <w:vAlign w:val="center"/>
          </w:tcPr>
          <w:p>
            <w:pPr>
              <w:jc w:val="left"/>
            </w:pPr>
            <w:r>
              <w:rPr>
                <w:b w:val="false"/>
                <w:bCs w:val="false"/>
              </w:rPr>
              <w:t xml:space="preserve">Cada notebook tiene objetivos, práctica guiada y cierre breve.</w:t>
            </w:r>
          </w:p>
        </w:tc>
        <w:tc>
          <w:tcPr>
            <w:tcW w:type="dxa" w:w="1600"/>
            <w:shd w:fill="E2EFDA" w:color="auto" w:val="clear"/>
            <w:tcMar>
              <w:top w:type="dxa" w:w="80"/>
              <w:left w:type="dxa" w:w="100"/>
              <w:bottom w:type="dxa" w:w="80"/>
              <w:right w:type="dxa" w:w="100"/>
            </w:tcMar>
            <w:vAlign w:val="center"/>
          </w:tcPr>
          <w:p>
            <w:pPr>
              <w:jc w:val="left"/>
            </w:pPr>
            <w:r>
              <w:rPr>
                <w:b w:val="false"/>
                <w:bCs w:val="false"/>
              </w:rPr>
              <w:t xml:space="preserve">Cumplido</w:t>
            </w:r>
          </w:p>
        </w:tc>
        <w:tc>
          <w:tcPr>
            <w:tcW w:type="dxa" w:w="2050"/>
            <w:tcMar>
              <w:top w:type="dxa" w:w="80"/>
              <w:left w:type="dxa" w:w="100"/>
              <w:bottom w:type="dxa" w:w="80"/>
              <w:right w:type="dxa" w:w="100"/>
            </w:tcMar>
            <w:vAlign w:val="center"/>
          </w:tcPr>
          <w:p>
            <w:pPr>
              <w:jc w:val="left"/>
            </w:pPr>
            <w:r>
              <w:rPr>
                <w:b w:val="false"/>
                <w:bCs w:val="false"/>
              </w:rPr>
              <w:t xml:space="preserve">Los 5 notebooks tienen checkpoints nuevos y checklist de cierre.</w:t>
            </w:r>
          </w:p>
        </w:tc>
      </w:tr>
      <w:tr>
        <w:tc>
          <w:tcPr>
            <w:tcW w:type="dxa" w:w="500"/>
            <w:tcMar>
              <w:top w:type="dxa" w:w="80"/>
              <w:left w:type="dxa" w:w="100"/>
              <w:bottom w:type="dxa" w:w="80"/>
              <w:right w:type="dxa" w:w="100"/>
            </w:tcMar>
            <w:vAlign w:val="center"/>
          </w:tcPr>
          <w:p>
            <w:pPr>
              <w:jc w:val="left"/>
            </w:pPr>
            <w:r>
              <w:rPr>
                <w:b w:val="false"/>
                <w:bCs w:val="false"/>
              </w:rPr>
              <w:t xml:space="preserve">3</w:t>
            </w:r>
          </w:p>
        </w:tc>
        <w:tc>
          <w:tcPr>
            <w:tcW w:type="dxa" w:w="5200"/>
            <w:tcMar>
              <w:top w:type="dxa" w:w="80"/>
              <w:left w:type="dxa" w:w="100"/>
              <w:bottom w:type="dxa" w:w="80"/>
              <w:right w:type="dxa" w:w="100"/>
            </w:tcMar>
            <w:vAlign w:val="center"/>
          </w:tcPr>
          <w:p>
            <w:pPr>
              <w:jc w:val="left"/>
            </w:pPr>
            <w:r>
              <w:rPr>
                <w:b w:val="false"/>
                <w:bCs w:val="false"/>
              </w:rPr>
              <w:t xml:space="preserve">Los contenidos densos aparecen como optativos o lectura autónoma.</w:t>
            </w:r>
          </w:p>
        </w:tc>
        <w:tc>
          <w:tcPr>
            <w:tcW w:type="dxa" w:w="1600"/>
            <w:shd w:fill="E2EFDA" w:color="auto" w:val="clear"/>
            <w:tcMar>
              <w:top w:type="dxa" w:w="80"/>
              <w:left w:type="dxa" w:w="100"/>
              <w:bottom w:type="dxa" w:w="80"/>
              <w:right w:type="dxa" w:w="100"/>
            </w:tcMar>
            <w:vAlign w:val="center"/>
          </w:tcPr>
          <w:p>
            <w:pPr>
              <w:jc w:val="left"/>
            </w:pPr>
            <w:r>
              <w:rPr>
                <w:b w:val="false"/>
                <w:bCs w:val="false"/>
              </w:rPr>
              <w:t xml:space="preserve">Cumplido</w:t>
            </w:r>
          </w:p>
        </w:tc>
        <w:tc>
          <w:tcPr>
            <w:tcW w:type="dxa" w:w="2050"/>
            <w:tcMar>
              <w:top w:type="dxa" w:w="80"/>
              <w:left w:type="dxa" w:w="100"/>
              <w:bottom w:type="dxa" w:w="80"/>
              <w:right w:type="dxa" w:w="100"/>
            </w:tcMar>
            <w:vAlign w:val="center"/>
          </w:tcPr>
          <w:p>
            <w:pPr>
              <w:jc w:val="left"/>
            </w:pPr>
            <w:r>
              <w:rPr>
                <w:b w:val="false"/>
                <w:bCs w:val="false"/>
              </w:rPr>
              <w:t xml:space="preserve">Terminal/pip/entornos, *args/**kwargs, numpy comparativo, JSON/Excel/chunking/Parquet, binning y dummies.</w:t>
            </w:r>
          </w:p>
        </w:tc>
      </w:tr>
      <w:tr>
        <w:tc>
          <w:tcPr>
            <w:tcW w:type="dxa" w:w="500"/>
            <w:tcMar>
              <w:top w:type="dxa" w:w="80"/>
              <w:left w:type="dxa" w:w="100"/>
              <w:bottom w:type="dxa" w:w="80"/>
              <w:right w:type="dxa" w:w="100"/>
            </w:tcMar>
            <w:vAlign w:val="center"/>
          </w:tcPr>
          <w:p>
            <w:pPr>
              <w:jc w:val="left"/>
            </w:pPr>
            <w:r>
              <w:rPr>
                <w:b w:val="false"/>
                <w:bCs w:val="false"/>
              </w:rPr>
              <w:t xml:space="preserve">4</w:t>
            </w:r>
          </w:p>
        </w:tc>
        <w:tc>
          <w:tcPr>
            <w:tcW w:type="dxa" w:w="5200"/>
            <w:tcMar>
              <w:top w:type="dxa" w:w="80"/>
              <w:left w:type="dxa" w:w="100"/>
              <w:bottom w:type="dxa" w:w="80"/>
              <w:right w:type="dxa" w:w="100"/>
            </w:tcMar>
            <w:vAlign w:val="center"/>
          </w:tcPr>
          <w:p>
            <w:pPr>
              <w:jc w:val="left"/>
            </w:pPr>
            <w:r>
              <w:rPr>
                <w:b w:val="false"/>
                <w:bCs w:val="false"/>
              </w:rPr>
              <w:t xml:space="preserve">La IA se presenta como tutor, no como autor de soluciones.</w:t>
            </w:r>
          </w:p>
        </w:tc>
        <w:tc>
          <w:tcPr>
            <w:tcW w:type="dxa" w:w="1600"/>
            <w:shd w:fill="E2EFDA" w:color="auto" w:val="clear"/>
            <w:tcMar>
              <w:top w:type="dxa" w:w="80"/>
              <w:left w:type="dxa" w:w="100"/>
              <w:bottom w:type="dxa" w:w="80"/>
              <w:right w:type="dxa" w:w="100"/>
            </w:tcMar>
            <w:vAlign w:val="center"/>
          </w:tcPr>
          <w:p>
            <w:pPr>
              <w:jc w:val="left"/>
            </w:pPr>
            <w:r>
              <w:rPr>
                <w:b w:val="false"/>
                <w:bCs w:val="false"/>
              </w:rPr>
              <w:t xml:space="preserve">Cumplido</w:t>
            </w:r>
          </w:p>
        </w:tc>
        <w:tc>
          <w:tcPr>
            <w:tcW w:type="dxa" w:w="2050"/>
            <w:tcMar>
              <w:top w:type="dxa" w:w="80"/>
              <w:left w:type="dxa" w:w="100"/>
              <w:bottom w:type="dxa" w:w="80"/>
              <w:right w:type="dxa" w:w="100"/>
            </w:tcMar>
            <w:vAlign w:val="center"/>
          </w:tcPr>
          <w:p>
            <w:pPr>
              <w:jc w:val="left"/>
            </w:pPr>
            <w:r>
              <w:rPr>
                <w:b w:val="false"/>
                <w:bCs w:val="false"/>
              </w:rPr>
              <w:t xml:space="preserve">Política completa (Semana 1) + resumen antes de cada miniproyecto.</w:t>
            </w:r>
          </w:p>
        </w:tc>
      </w:tr>
      <w:tr>
        <w:tc>
          <w:tcPr>
            <w:tcW w:type="dxa" w:w="500"/>
            <w:tcMar>
              <w:top w:type="dxa" w:w="80"/>
              <w:left w:type="dxa" w:w="100"/>
              <w:bottom w:type="dxa" w:w="80"/>
              <w:right w:type="dxa" w:w="100"/>
            </w:tcMar>
            <w:vAlign w:val="center"/>
          </w:tcPr>
          <w:p>
            <w:pPr>
              <w:jc w:val="left"/>
            </w:pPr>
            <w:r>
              <w:rPr>
                <w:b w:val="false"/>
                <w:bCs w:val="false"/>
              </w:rPr>
              <w:t xml:space="preserve">5</w:t>
            </w:r>
          </w:p>
        </w:tc>
        <w:tc>
          <w:tcPr>
            <w:tcW w:type="dxa" w:w="5200"/>
            <w:tcMar>
              <w:top w:type="dxa" w:w="80"/>
              <w:left w:type="dxa" w:w="100"/>
              <w:bottom w:type="dxa" w:w="80"/>
              <w:right w:type="dxa" w:w="100"/>
            </w:tcMar>
            <w:vAlign w:val="center"/>
          </w:tcPr>
          <w:p>
            <w:pPr>
              <w:jc w:val="left"/>
            </w:pPr>
            <w:r>
              <w:rPr>
                <w:b w:val="false"/>
                <w:bCs w:val="false"/>
              </w:rPr>
              <w:t xml:space="preserve">Cada actividad con IA exige intento propio previo.</w:t>
            </w:r>
          </w:p>
        </w:tc>
        <w:tc>
          <w:tcPr>
            <w:tcW w:type="dxa" w:w="1600"/>
            <w:shd w:fill="E2EFDA" w:color="auto" w:val="clear"/>
            <w:tcMar>
              <w:top w:type="dxa" w:w="80"/>
              <w:left w:type="dxa" w:w="100"/>
              <w:bottom w:type="dxa" w:w="80"/>
              <w:right w:type="dxa" w:w="100"/>
            </w:tcMar>
            <w:vAlign w:val="center"/>
          </w:tcPr>
          <w:p>
            <w:pPr>
              <w:jc w:val="left"/>
            </w:pPr>
            <w:r>
              <w:rPr>
                <w:b w:val="false"/>
                <w:bCs w:val="false"/>
              </w:rPr>
              <w:t xml:space="preserve">Cumplido</w:t>
            </w:r>
          </w:p>
        </w:tc>
        <w:tc>
          <w:tcPr>
            <w:tcW w:type="dxa" w:w="2050"/>
            <w:tcMar>
              <w:top w:type="dxa" w:w="80"/>
              <w:left w:type="dxa" w:w="100"/>
              <w:bottom w:type="dxa" w:w="80"/>
              <w:right w:type="dxa" w:w="100"/>
            </w:tcMar>
            <w:vAlign w:val="center"/>
          </w:tcPr>
          <w:p>
            <w:pPr>
              <w:jc w:val="left"/>
            </w:pPr>
            <w:r>
              <w:rPr>
                <w:b w:val="false"/>
                <w:bCs w:val="false"/>
              </w:rPr>
              <w:t xml:space="preserve">Todas las actividades insertadas usan las plantillas de la Sección 6, que piden intento previo.</w:t>
            </w:r>
          </w:p>
        </w:tc>
      </w:tr>
      <w:tr>
        <w:tc>
          <w:tcPr>
            <w:tcW w:type="dxa" w:w="500"/>
            <w:tcMar>
              <w:top w:type="dxa" w:w="80"/>
              <w:left w:type="dxa" w:w="100"/>
              <w:bottom w:type="dxa" w:w="80"/>
              <w:right w:type="dxa" w:w="100"/>
            </w:tcMar>
            <w:vAlign w:val="center"/>
          </w:tcPr>
          <w:p>
            <w:pPr>
              <w:jc w:val="left"/>
            </w:pPr>
            <w:r>
              <w:rPr>
                <w:b w:val="false"/>
                <w:bCs w:val="false"/>
              </w:rPr>
              <w:t xml:space="preserve">6</w:t>
            </w:r>
          </w:p>
        </w:tc>
        <w:tc>
          <w:tcPr>
            <w:tcW w:type="dxa" w:w="5200"/>
            <w:tcMar>
              <w:top w:type="dxa" w:w="80"/>
              <w:left w:type="dxa" w:w="100"/>
              <w:bottom w:type="dxa" w:w="80"/>
              <w:right w:type="dxa" w:w="100"/>
            </w:tcMar>
            <w:vAlign w:val="center"/>
          </w:tcPr>
          <w:p>
            <w:pPr>
              <w:jc w:val="left"/>
            </w:pPr>
            <w:r>
              <w:rPr>
                <w:b w:val="false"/>
                <w:bCs w:val="false"/>
              </w:rPr>
              <w:t xml:space="preserve">Los prompts piden pistas, explicaciones o revisión; no soluciones completas.</w:t>
            </w:r>
          </w:p>
        </w:tc>
        <w:tc>
          <w:tcPr>
            <w:tcW w:type="dxa" w:w="1600"/>
            <w:shd w:fill="E2EFDA" w:color="auto" w:val="clear"/>
            <w:tcMar>
              <w:top w:type="dxa" w:w="80"/>
              <w:left w:type="dxa" w:w="100"/>
              <w:bottom w:type="dxa" w:w="80"/>
              <w:right w:type="dxa" w:w="100"/>
            </w:tcMar>
            <w:vAlign w:val="center"/>
          </w:tcPr>
          <w:p>
            <w:pPr>
              <w:jc w:val="left"/>
            </w:pPr>
            <w:r>
              <w:rPr>
                <w:b w:val="false"/>
                <w:bCs w:val="false"/>
              </w:rPr>
              <w:t xml:space="preserve">Cumplido</w:t>
            </w:r>
          </w:p>
        </w:tc>
        <w:tc>
          <w:tcPr>
            <w:tcW w:type="dxa" w:w="2050"/>
            <w:tcMar>
              <w:top w:type="dxa" w:w="80"/>
              <w:left w:type="dxa" w:w="100"/>
              <w:bottom w:type="dxa" w:w="80"/>
              <w:right w:type="dxa" w:w="100"/>
            </w:tcMar>
            <w:vAlign w:val="center"/>
          </w:tcPr>
          <w:p>
            <w:pPr>
              <w:jc w:val="left"/>
            </w:pPr>
            <w:r>
              <w:rPr>
                <w:b w:val="false"/>
                <w:bCs w:val="false"/>
              </w:rPr>
              <w:t xml:space="preserve">Banco de prompts insertado literalmente en la Semana 1.</w:t>
            </w:r>
          </w:p>
        </w:tc>
      </w:tr>
      <w:tr>
        <w:tc>
          <w:tcPr>
            <w:tcW w:type="dxa" w:w="500"/>
            <w:tcMar>
              <w:top w:type="dxa" w:w="80"/>
              <w:left w:type="dxa" w:w="100"/>
              <w:bottom w:type="dxa" w:w="80"/>
              <w:right w:type="dxa" w:w="100"/>
            </w:tcMar>
            <w:vAlign w:val="center"/>
          </w:tcPr>
          <w:p>
            <w:pPr>
              <w:jc w:val="left"/>
            </w:pPr>
            <w:r>
              <w:rPr>
                <w:b w:val="false"/>
                <w:bCs w:val="false"/>
              </w:rPr>
              <w:t xml:space="preserve">7</w:t>
            </w:r>
          </w:p>
        </w:tc>
        <w:tc>
          <w:tcPr>
            <w:tcW w:type="dxa" w:w="5200"/>
            <w:tcMar>
              <w:top w:type="dxa" w:w="80"/>
              <w:left w:type="dxa" w:w="100"/>
              <w:bottom w:type="dxa" w:w="80"/>
              <w:right w:type="dxa" w:w="100"/>
            </w:tcMar>
            <w:vAlign w:val="center"/>
          </w:tcPr>
          <w:p>
            <w:pPr>
              <w:jc w:val="left"/>
            </w:pPr>
            <w:r>
              <w:rPr>
                <w:b w:val="false"/>
                <w:bCs w:val="false"/>
              </w:rPr>
              <w:t xml:space="preserve">Los miniproyectos incluyen declaración de uso de IA.</w:t>
            </w:r>
          </w:p>
        </w:tc>
        <w:tc>
          <w:tcPr>
            <w:tcW w:type="dxa" w:w="1600"/>
            <w:shd w:fill="E2EFDA" w:color="auto" w:val="clear"/>
            <w:tcMar>
              <w:top w:type="dxa" w:w="80"/>
              <w:left w:type="dxa" w:w="100"/>
              <w:bottom w:type="dxa" w:w="80"/>
              <w:right w:type="dxa" w:w="100"/>
            </w:tcMar>
            <w:vAlign w:val="center"/>
          </w:tcPr>
          <w:p>
            <w:pPr>
              <w:jc w:val="left"/>
            </w:pPr>
            <w:r>
              <w:rPr>
                <w:b w:val="false"/>
                <w:bCs w:val="false"/>
              </w:rPr>
              <w:t xml:space="preserve">Cumplido</w:t>
            </w:r>
          </w:p>
        </w:tc>
        <w:tc>
          <w:tcPr>
            <w:tcW w:type="dxa" w:w="2050"/>
            <w:tcMar>
              <w:top w:type="dxa" w:w="80"/>
              <w:left w:type="dxa" w:w="100"/>
              <w:bottom w:type="dxa" w:w="80"/>
              <w:right w:type="dxa" w:w="100"/>
            </w:tcMar>
            <w:vAlign w:val="center"/>
          </w:tcPr>
          <w:p>
            <w:pPr>
              <w:jc w:val="left"/>
            </w:pPr>
            <w:r>
              <w:rPr>
                <w:b w:val="false"/>
                <w:bCs w:val="false"/>
              </w:rPr>
              <w:t xml:space="preserve">Los 4 miniproyectos (Semanas 1 a 4) incluyen la plantilla de declaración.</w:t>
            </w:r>
          </w:p>
        </w:tc>
      </w:tr>
      <w:tr>
        <w:tc>
          <w:tcPr>
            <w:tcW w:type="dxa" w:w="500"/>
            <w:tcMar>
              <w:top w:type="dxa" w:w="80"/>
              <w:left w:type="dxa" w:w="100"/>
              <w:bottom w:type="dxa" w:w="80"/>
              <w:right w:type="dxa" w:w="100"/>
            </w:tcMar>
            <w:vAlign w:val="center"/>
          </w:tcPr>
          <w:p>
            <w:pPr>
              <w:jc w:val="left"/>
            </w:pPr>
            <w:r>
              <w:rPr>
                <w:b w:val="false"/>
                <w:bCs w:val="false"/>
              </w:rPr>
              <w:t xml:space="preserve">8</w:t>
            </w:r>
          </w:p>
        </w:tc>
        <w:tc>
          <w:tcPr>
            <w:tcW w:type="dxa" w:w="5200"/>
            <w:tcMar>
              <w:top w:type="dxa" w:w="80"/>
              <w:left w:type="dxa" w:w="100"/>
              <w:bottom w:type="dxa" w:w="80"/>
              <w:right w:type="dxa" w:w="100"/>
            </w:tcMar>
            <w:vAlign w:val="center"/>
          </w:tcPr>
          <w:p>
            <w:pPr>
              <w:jc w:val="left"/>
            </w:pPr>
            <w:r>
              <w:rPr>
                <w:b w:val="false"/>
                <w:bCs w:val="false"/>
              </w:rPr>
              <w:t xml:space="preserve">La evaluación exige explicar y modificar código.</w:t>
            </w:r>
          </w:p>
        </w:tc>
        <w:tc>
          <w:tcPr>
            <w:tcW w:type="dxa" w:w="1600"/>
            <w:shd w:fill="FFF2CC" w:color="auto" w:val="clear"/>
            <w:tcMar>
              <w:top w:type="dxa" w:w="80"/>
              <w:left w:type="dxa" w:w="100"/>
              <w:bottom w:type="dxa" w:w="80"/>
              <w:right w:type="dxa" w:w="100"/>
            </w:tcMar>
            <w:vAlign w:val="center"/>
          </w:tcPr>
          <w:p>
            <w:pPr>
              <w:jc w:val="left"/>
            </w:pPr>
            <w:r>
              <w:rPr>
                <w:b w:val="false"/>
                <w:bCs w:val="false"/>
              </w:rPr>
              <w:t xml:space="preserve">Parcial</w:t>
            </w:r>
          </w:p>
        </w:tc>
        <w:tc>
          <w:tcPr>
            <w:tcW w:type="dxa" w:w="2050"/>
            <w:tcMar>
              <w:top w:type="dxa" w:w="80"/>
              <w:left w:type="dxa" w:w="100"/>
              <w:bottom w:type="dxa" w:w="80"/>
              <w:right w:type="dxa" w:w="100"/>
            </w:tcMar>
            <w:vAlign w:val="center"/>
          </w:tcPr>
          <w:p>
            <w:pPr>
              <w:jc w:val="left"/>
            </w:pPr>
            <w:r>
              <w:rPr>
                <w:b w:val="false"/>
                <w:bCs w:val="false"/>
              </w:rPr>
              <w:t xml:space="preserve">Se agregaron reflexiones finales; la "defensa breve" y la rúbrica (Sección 9) son instrumentos a aplicar por el docente, fuera del notebook.</w:t>
            </w:r>
          </w:p>
        </w:tc>
      </w:tr>
      <w:tr>
        <w:tc>
          <w:tcPr>
            <w:tcW w:type="dxa" w:w="500"/>
            <w:tcMar>
              <w:top w:type="dxa" w:w="80"/>
              <w:left w:type="dxa" w:w="100"/>
              <w:bottom w:type="dxa" w:w="80"/>
              <w:right w:type="dxa" w:w="100"/>
            </w:tcMar>
            <w:vAlign w:val="center"/>
          </w:tcPr>
          <w:p>
            <w:pPr>
              <w:jc w:val="left"/>
            </w:pPr>
            <w:r>
              <w:rPr>
                <w:b w:val="false"/>
                <w:bCs w:val="false"/>
              </w:rPr>
              <w:t xml:space="preserve">9</w:t>
            </w:r>
          </w:p>
        </w:tc>
        <w:tc>
          <w:tcPr>
            <w:tcW w:type="dxa" w:w="5200"/>
            <w:tcMar>
              <w:top w:type="dxa" w:w="80"/>
              <w:left w:type="dxa" w:w="100"/>
              <w:bottom w:type="dxa" w:w="80"/>
              <w:right w:type="dxa" w:w="100"/>
            </w:tcMar>
            <w:vAlign w:val="center"/>
          </w:tcPr>
          <w:p>
            <w:pPr>
              <w:jc w:val="left"/>
            </w:pPr>
            <w:r>
              <w:rPr>
                <w:b w:val="false"/>
                <w:bCs w:val="false"/>
              </w:rPr>
              <w:t xml:space="preserve">No se aceptan soluciones con recursos avanzados no trabajados sin justificación.</w:t>
            </w:r>
          </w:p>
        </w:tc>
        <w:tc>
          <w:tcPr>
            <w:tcW w:type="dxa" w:w="1600"/>
            <w:shd w:fill="E2EFDA" w:color="auto" w:val="clear"/>
            <w:tcMar>
              <w:top w:type="dxa" w:w="80"/>
              <w:left w:type="dxa" w:w="100"/>
              <w:bottom w:type="dxa" w:w="80"/>
              <w:right w:type="dxa" w:w="100"/>
            </w:tcMar>
            <w:vAlign w:val="center"/>
          </w:tcPr>
          <w:p>
            <w:pPr>
              <w:jc w:val="left"/>
            </w:pPr>
            <w:r>
              <w:rPr>
                <w:b w:val="false"/>
                <w:bCs w:val="false"/>
              </w:rPr>
              <w:t xml:space="preserve">Cumplido</w:t>
            </w:r>
          </w:p>
        </w:tc>
        <w:tc>
          <w:tcPr>
            <w:tcW w:type="dxa" w:w="2050"/>
            <w:tcMar>
              <w:top w:type="dxa" w:w="80"/>
              <w:left w:type="dxa" w:w="100"/>
              <w:bottom w:type="dxa" w:w="80"/>
              <w:right w:type="dxa" w:w="100"/>
            </w:tcMar>
            <w:vAlign w:val="center"/>
          </w:tcPr>
          <w:p>
            <w:pPr>
              <w:jc w:val="left"/>
            </w:pPr>
            <w:r>
              <w:rPr>
                <w:b w:val="false"/>
                <w:bCs w:val="false"/>
              </w:rPr>
              <w:t xml:space="preserve">Explicitado en la política de IA y en las notas de cada miniproyecto.</w:t>
            </w:r>
          </w:p>
        </w:tc>
      </w:tr>
      <w:tr>
        <w:tc>
          <w:tcPr>
            <w:tcW w:type="dxa" w:w="500"/>
            <w:tcMar>
              <w:top w:type="dxa" w:w="80"/>
              <w:left w:type="dxa" w:w="100"/>
              <w:bottom w:type="dxa" w:w="80"/>
              <w:right w:type="dxa" w:w="100"/>
            </w:tcMar>
            <w:vAlign w:val="center"/>
          </w:tcPr>
          <w:p>
            <w:pPr>
              <w:jc w:val="left"/>
            </w:pPr>
            <w:r>
              <w:rPr>
                <w:b w:val="false"/>
                <w:bCs w:val="false"/>
              </w:rPr>
              <w:t xml:space="preserve">10</w:t>
            </w:r>
          </w:p>
        </w:tc>
        <w:tc>
          <w:tcPr>
            <w:tcW w:type="dxa" w:w="5200"/>
            <w:tcMar>
              <w:top w:type="dxa" w:w="80"/>
              <w:left w:type="dxa" w:w="100"/>
              <w:bottom w:type="dxa" w:w="80"/>
              <w:right w:type="dxa" w:w="100"/>
            </w:tcMar>
            <w:vAlign w:val="center"/>
          </w:tcPr>
          <w:p>
            <w:pPr>
              <w:jc w:val="left"/>
            </w:pPr>
            <w:r>
              <w:rPr>
                <w:b w:val="false"/>
                <w:bCs w:val="false"/>
              </w:rPr>
              <w:t xml:space="preserve">Los notebooks incluyen lectura de errores y depuración básica.</w:t>
            </w:r>
          </w:p>
        </w:tc>
        <w:tc>
          <w:tcPr>
            <w:tcW w:type="dxa" w:w="1600"/>
            <w:shd w:fill="E2EFDA" w:color="auto" w:val="clear"/>
            <w:tcMar>
              <w:top w:type="dxa" w:w="80"/>
              <w:left w:type="dxa" w:w="100"/>
              <w:bottom w:type="dxa" w:w="80"/>
              <w:right w:type="dxa" w:w="100"/>
            </w:tcMar>
            <w:vAlign w:val="center"/>
          </w:tcPr>
          <w:p>
            <w:pPr>
              <w:jc w:val="left"/>
            </w:pPr>
            <w:r>
              <w:rPr>
                <w:b w:val="false"/>
                <w:bCs w:val="false"/>
              </w:rPr>
              <w:t xml:space="preserve">Cumplido</w:t>
            </w:r>
          </w:p>
        </w:tc>
        <w:tc>
          <w:tcPr>
            <w:tcW w:type="dxa" w:w="2050"/>
            <w:tcMar>
              <w:top w:type="dxa" w:w="80"/>
              <w:left w:type="dxa" w:w="100"/>
              <w:bottom w:type="dxa" w:w="80"/>
              <w:right w:type="dxa" w:w="100"/>
            </w:tcMar>
            <w:vAlign w:val="center"/>
          </w:tcPr>
          <w:p>
            <w:pPr>
              <w:jc w:val="left"/>
            </w:pPr>
            <w:r>
              <w:rPr>
                <w:b w:val="false"/>
                <w:bCs w:val="false"/>
              </w:rPr>
              <w:t xml:space="preserve">Bloque de errores frecuentes (S1) y checkpoints de depuración de condiciones/bucles (S1 y S3).</w:t>
            </w:r>
          </w:p>
        </w:tc>
      </w:tr>
      <w:tr>
        <w:tc>
          <w:tcPr>
            <w:tcW w:type="dxa" w:w="500"/>
            <w:tcMar>
              <w:top w:type="dxa" w:w="80"/>
              <w:left w:type="dxa" w:w="100"/>
              <w:bottom w:type="dxa" w:w="80"/>
              <w:right w:type="dxa" w:w="100"/>
            </w:tcMar>
            <w:vAlign w:val="center"/>
          </w:tcPr>
          <w:p>
            <w:pPr>
              <w:jc w:val="left"/>
            </w:pPr>
            <w:r>
              <w:rPr>
                <w:b w:val="false"/>
                <w:bCs w:val="false"/>
              </w:rPr>
              <w:t xml:space="preserve">11</w:t>
            </w:r>
          </w:p>
        </w:tc>
        <w:tc>
          <w:tcPr>
            <w:tcW w:type="dxa" w:w="5200"/>
            <w:tcMar>
              <w:top w:type="dxa" w:w="80"/>
              <w:left w:type="dxa" w:w="100"/>
              <w:bottom w:type="dxa" w:w="80"/>
              <w:right w:type="dxa" w:w="100"/>
            </w:tcMar>
            <w:vAlign w:val="center"/>
          </w:tcPr>
          <w:p>
            <w:pPr>
              <w:jc w:val="left"/>
            </w:pPr>
            <w:r>
              <w:rPr>
                <w:b w:val="false"/>
                <w:bCs w:val="false"/>
              </w:rPr>
              <w:t xml:space="preserve">Las consignas son claras, breves y escalonadas.</w:t>
            </w:r>
          </w:p>
        </w:tc>
        <w:tc>
          <w:tcPr>
            <w:tcW w:type="dxa" w:w="1600"/>
            <w:shd w:fill="FFF2CC" w:color="auto" w:val="clear"/>
            <w:tcMar>
              <w:top w:type="dxa" w:w="80"/>
              <w:left w:type="dxa" w:w="100"/>
              <w:bottom w:type="dxa" w:w="80"/>
              <w:right w:type="dxa" w:w="100"/>
            </w:tcMar>
            <w:vAlign w:val="center"/>
          </w:tcPr>
          <w:p>
            <w:pPr>
              <w:jc w:val="left"/>
            </w:pPr>
            <w:r>
              <w:rPr>
                <w:b w:val="false"/>
                <w:bCs w:val="false"/>
              </w:rPr>
              <w:t xml:space="preserve">Parcial</w:t>
            </w:r>
          </w:p>
        </w:tc>
        <w:tc>
          <w:tcPr>
            <w:tcW w:type="dxa" w:w="2050"/>
            <w:tcMar>
              <w:top w:type="dxa" w:w="80"/>
              <w:left w:type="dxa" w:w="100"/>
              <w:bottom w:type="dxa" w:w="80"/>
              <w:right w:type="dxa" w:w="100"/>
            </w:tcMar>
            <w:vAlign w:val="center"/>
          </w:tcPr>
          <w:p>
            <w:pPr>
              <w:jc w:val="left"/>
            </w:pPr>
            <w:r>
              <w:rPr>
                <w:b w:val="false"/>
                <w:bCs w:val="false"/>
              </w:rPr>
              <w:t xml:space="preserve">No se reescribieron los enunciados originales de ejercicios/miniproyectos (fuera del alcance pedido); los miniproyectos ya estaban organizados por etapas.</w:t>
            </w:r>
          </w:p>
        </w:tc>
      </w:tr>
      <w:tr>
        <w:tc>
          <w:tcPr>
            <w:tcW w:type="dxa" w:w="500"/>
            <w:tcMar>
              <w:top w:type="dxa" w:w="80"/>
              <w:left w:type="dxa" w:w="100"/>
              <w:bottom w:type="dxa" w:w="80"/>
              <w:right w:type="dxa" w:w="100"/>
            </w:tcMar>
            <w:vAlign w:val="center"/>
          </w:tcPr>
          <w:p>
            <w:pPr>
              <w:jc w:val="left"/>
            </w:pPr>
            <w:r>
              <w:rPr>
                <w:b w:val="false"/>
                <w:bCs w:val="false"/>
              </w:rPr>
              <w:t xml:space="preserve">12</w:t>
            </w:r>
          </w:p>
        </w:tc>
        <w:tc>
          <w:tcPr>
            <w:tcW w:type="dxa" w:w="5200"/>
            <w:tcMar>
              <w:top w:type="dxa" w:w="80"/>
              <w:left w:type="dxa" w:w="100"/>
              <w:bottom w:type="dxa" w:w="80"/>
              <w:right w:type="dxa" w:w="100"/>
            </w:tcMar>
            <w:vAlign w:val="center"/>
          </w:tcPr>
          <w:p>
            <w:pPr>
              <w:jc w:val="left"/>
            </w:pPr>
            <w:r>
              <w:rPr>
                <w:b w:val="false"/>
                <w:bCs w:val="false"/>
              </w:rPr>
              <w:t xml:space="preserve">Existe coherencia entre notebooks, miniproyectos y rúbrica.</w:t>
            </w:r>
          </w:p>
        </w:tc>
        <w:tc>
          <w:tcPr>
            <w:tcW w:type="dxa" w:w="1600"/>
            <w:shd w:fill="F8CBAD" w:color="auto" w:val="clear"/>
            <w:tcMar>
              <w:top w:type="dxa" w:w="80"/>
              <w:left w:type="dxa" w:w="100"/>
              <w:bottom w:type="dxa" w:w="80"/>
              <w:right w:type="dxa" w:w="100"/>
            </w:tcMar>
            <w:vAlign w:val="center"/>
          </w:tcPr>
          <w:p>
            <w:pPr>
              <w:jc w:val="left"/>
            </w:pPr>
            <w:r>
              <w:rPr>
                <w:b w:val="false"/>
                <w:bCs w:val="false"/>
              </w:rPr>
              <w:t xml:space="preserve">Pendiente</w:t>
            </w:r>
          </w:p>
        </w:tc>
        <w:tc>
          <w:tcPr>
            <w:tcW w:type="dxa" w:w="2050"/>
            <w:tcMar>
              <w:top w:type="dxa" w:w="80"/>
              <w:left w:type="dxa" w:w="100"/>
              <w:bottom w:type="dxa" w:w="80"/>
              <w:right w:type="dxa" w:w="100"/>
            </w:tcMar>
            <w:vAlign w:val="center"/>
          </w:tcPr>
          <w:p>
            <w:pPr>
              <w:jc w:val="left"/>
            </w:pPr>
            <w:r>
              <w:rPr>
                <w:b w:val="false"/>
                <w:bCs w:val="false"/>
              </w:rPr>
              <w:t xml:space="preserve">La rúbrica (Sección 9 del Plan) es un documento aparte; no se generó una rúbrica dentro de los notebooks.</w:t>
            </w:r>
          </w:p>
        </w:tc>
      </w:tr>
      <w:tr>
        <w:tc>
          <w:tcPr>
            <w:tcW w:type="dxa" w:w="500"/>
            <w:tcMar>
              <w:top w:type="dxa" w:w="80"/>
              <w:left w:type="dxa" w:w="100"/>
              <w:bottom w:type="dxa" w:w="80"/>
              <w:right w:type="dxa" w:w="100"/>
            </w:tcMar>
            <w:vAlign w:val="center"/>
          </w:tcPr>
          <w:p>
            <w:pPr>
              <w:jc w:val="left"/>
            </w:pPr>
            <w:r>
              <w:rPr>
                <w:b w:val="false"/>
                <w:bCs w:val="false"/>
              </w:rPr>
              <w:t xml:space="preserve">13</w:t>
            </w:r>
          </w:p>
        </w:tc>
        <w:tc>
          <w:tcPr>
            <w:tcW w:type="dxa" w:w="5200"/>
            <w:tcMar>
              <w:top w:type="dxa" w:w="80"/>
              <w:left w:type="dxa" w:w="100"/>
              <w:bottom w:type="dxa" w:w="80"/>
              <w:right w:type="dxa" w:w="100"/>
            </w:tcMar>
            <w:vAlign w:val="center"/>
          </w:tcPr>
          <w:p>
            <w:pPr>
              <w:jc w:val="left"/>
            </w:pPr>
            <w:r>
              <w:rPr>
                <w:b w:val="false"/>
                <w:bCs w:val="false"/>
              </w:rPr>
              <w:t xml:space="preserve">La carga de pandas se presenta gradualmente.</w:t>
            </w:r>
          </w:p>
        </w:tc>
        <w:tc>
          <w:tcPr>
            <w:tcW w:type="dxa" w:w="1600"/>
            <w:shd w:fill="E2EFDA" w:color="auto" w:val="clear"/>
            <w:tcMar>
              <w:top w:type="dxa" w:w="80"/>
              <w:left w:type="dxa" w:w="100"/>
              <w:bottom w:type="dxa" w:w="80"/>
              <w:right w:type="dxa" w:w="100"/>
            </w:tcMar>
            <w:vAlign w:val="center"/>
          </w:tcPr>
          <w:p>
            <w:pPr>
              <w:jc w:val="left"/>
            </w:pPr>
            <w:r>
              <w:rPr>
                <w:b w:val="false"/>
                <w:bCs w:val="false"/>
              </w:rPr>
              <w:t xml:space="preserve">Cumplido</w:t>
            </w:r>
          </w:p>
        </w:tc>
        <w:tc>
          <w:tcPr>
            <w:tcW w:type="dxa" w:w="2050"/>
            <w:tcMar>
              <w:top w:type="dxa" w:w="80"/>
              <w:left w:type="dxa" w:w="100"/>
              <w:bottom w:type="dxa" w:w="80"/>
              <w:right w:type="dxa" w:w="100"/>
            </w:tcMar>
            <w:vAlign w:val="center"/>
          </w:tcPr>
          <w:p>
            <w:pPr>
              <w:jc w:val="left"/>
            </w:pPr>
            <w:r>
              <w:rPr>
                <w:b w:val="false"/>
                <w:bCs w:val="false"/>
              </w:rPr>
              <w:t xml:space="preserve">Se mantuvo el orden Series→DataFrame→exploración→selección→filtrado y limpieza→groupby→combinación, con lo denso marcado como optativo.</w:t>
            </w:r>
          </w:p>
        </w:tc>
      </w:tr>
      <w:tr>
        <w:tc>
          <w:tcPr>
            <w:tcW w:type="dxa" w:w="500"/>
            <w:tcMar>
              <w:top w:type="dxa" w:w="80"/>
              <w:left w:type="dxa" w:w="100"/>
              <w:bottom w:type="dxa" w:w="80"/>
              <w:right w:type="dxa" w:w="100"/>
            </w:tcMar>
            <w:vAlign w:val="center"/>
          </w:tcPr>
          <w:p>
            <w:pPr>
              <w:jc w:val="left"/>
            </w:pPr>
            <w:r>
              <w:rPr>
                <w:b w:val="false"/>
                <w:bCs w:val="false"/>
              </w:rPr>
              <w:t xml:space="preserve">14</w:t>
            </w:r>
          </w:p>
        </w:tc>
        <w:tc>
          <w:tcPr>
            <w:tcW w:type="dxa" w:w="5200"/>
            <w:tcMar>
              <w:top w:type="dxa" w:w="80"/>
              <w:left w:type="dxa" w:w="100"/>
              <w:bottom w:type="dxa" w:w="80"/>
              <w:right w:type="dxa" w:w="100"/>
            </w:tcMar>
            <w:vAlign w:val="center"/>
          </w:tcPr>
          <w:p>
            <w:pPr>
              <w:jc w:val="left"/>
            </w:pPr>
            <w:r>
              <w:rPr>
                <w:b w:val="false"/>
                <w:bCs w:val="false"/>
              </w:rPr>
              <w:t xml:space="preserve">El estudiante tiene oportunidades frecuentes de practicar antes de entregar.</w:t>
            </w:r>
          </w:p>
        </w:tc>
        <w:tc>
          <w:tcPr>
            <w:tcW w:type="dxa" w:w="1600"/>
            <w:shd w:fill="E2EFDA" w:color="auto" w:val="clear"/>
            <w:tcMar>
              <w:top w:type="dxa" w:w="80"/>
              <w:left w:type="dxa" w:w="100"/>
              <w:bottom w:type="dxa" w:w="80"/>
              <w:right w:type="dxa" w:w="100"/>
            </w:tcMar>
            <w:vAlign w:val="center"/>
          </w:tcPr>
          <w:p>
            <w:pPr>
              <w:jc w:val="left"/>
            </w:pPr>
            <w:r>
              <w:rPr>
                <w:b w:val="false"/>
                <w:bCs w:val="false"/>
              </w:rPr>
              <w:t xml:space="preserve">Cumplido</w:t>
            </w:r>
          </w:p>
        </w:tc>
        <w:tc>
          <w:tcPr>
            <w:tcW w:type="dxa" w:w="2050"/>
            <w:tcMar>
              <w:top w:type="dxa" w:w="80"/>
              <w:left w:type="dxa" w:w="100"/>
              <w:bottom w:type="dxa" w:w="80"/>
              <w:right w:type="dxa" w:w="100"/>
            </w:tcMar>
            <w:vAlign w:val="center"/>
          </w:tcPr>
          <w:p>
            <w:pPr>
              <w:jc w:val="left"/>
            </w:pPr>
            <w:r>
              <w:rPr>
                <w:b w:val="false"/>
                <w:bCs w:val="false"/>
              </w:rPr>
              <w:t xml:space="preserve">13 checkpoints nuevos distribuidos en los 5 notebooks.</w:t>
            </w:r>
          </w:p>
        </w:tc>
      </w:tr>
      <w:tr>
        <w:tc>
          <w:tcPr>
            <w:tcW w:type="dxa" w:w="500"/>
            <w:tcMar>
              <w:top w:type="dxa" w:w="80"/>
              <w:left w:type="dxa" w:w="100"/>
              <w:bottom w:type="dxa" w:w="80"/>
              <w:right w:type="dxa" w:w="100"/>
            </w:tcMar>
            <w:vAlign w:val="center"/>
          </w:tcPr>
          <w:p>
            <w:pPr>
              <w:jc w:val="left"/>
            </w:pPr>
            <w:r>
              <w:rPr>
                <w:b w:val="false"/>
                <w:bCs w:val="false"/>
              </w:rPr>
              <w:t xml:space="preserve">15</w:t>
            </w:r>
          </w:p>
        </w:tc>
        <w:tc>
          <w:tcPr>
            <w:tcW w:type="dxa" w:w="5200"/>
            <w:tcMar>
              <w:top w:type="dxa" w:w="80"/>
              <w:left w:type="dxa" w:w="100"/>
              <w:bottom w:type="dxa" w:w="80"/>
              <w:right w:type="dxa" w:w="100"/>
            </w:tcMar>
            <w:vAlign w:val="center"/>
          </w:tcPr>
          <w:p>
            <w:pPr>
              <w:jc w:val="left"/>
            </w:pPr>
            <w:r>
              <w:rPr>
                <w:b w:val="false"/>
                <w:bCs w:val="false"/>
              </w:rPr>
              <w:t xml:space="preserve">El cierre del curso incluye reflexión sobre aprendizaje y uso responsable de IA.</w:t>
            </w:r>
          </w:p>
        </w:tc>
        <w:tc>
          <w:tcPr>
            <w:tcW w:type="dxa" w:w="1600"/>
            <w:shd w:fill="E2EFDA" w:color="auto" w:val="clear"/>
            <w:tcMar>
              <w:top w:type="dxa" w:w="80"/>
              <w:left w:type="dxa" w:w="100"/>
              <w:bottom w:type="dxa" w:w="80"/>
              <w:right w:type="dxa" w:w="100"/>
            </w:tcMar>
            <w:vAlign w:val="center"/>
          </w:tcPr>
          <w:p>
            <w:pPr>
              <w:jc w:val="left"/>
            </w:pPr>
            <w:r>
              <w:rPr>
                <w:b w:val="false"/>
                <w:bCs w:val="false"/>
              </w:rPr>
              <w:t xml:space="preserve">Cumplido</w:t>
            </w:r>
          </w:p>
        </w:tc>
        <w:tc>
          <w:tcPr>
            <w:tcW w:type="dxa" w:w="2050"/>
            <w:tcMar>
              <w:top w:type="dxa" w:w="80"/>
              <w:left w:type="dxa" w:w="100"/>
              <w:bottom w:type="dxa" w:w="80"/>
              <w:right w:type="dxa" w:w="100"/>
            </w:tcMar>
            <w:vAlign w:val="center"/>
          </w:tcPr>
          <w:p>
            <w:pPr>
              <w:jc w:val="left"/>
            </w:pPr>
            <w:r>
              <w:rPr>
                <w:b w:val="false"/>
                <w:bCs w:val="false"/>
              </w:rPr>
              <w:t xml:space="preserve">Reflexión final completa al cierre de la Semana 4 (segunda parte), última clase del curso.</w:t>
            </w:r>
          </w:p>
        </w:tc>
      </w:tr>
    </w:tbl>
    <w:p>
      <w:pPr>
        <w:pStyle w:val="Heading1"/>
        <w:spacing w:after="150" w:before="300"/>
      </w:pPr>
      <w:r>
        <w:t xml:space="preserve">5. Pendientes y recomendaciones</w:t>
      </w:r>
    </w:p>
    <w:p>
      <w:pPr>
        <w:pStyle w:val="ListParagraph"/>
        <w:numPr>
          <w:ilvl w:val="0"/>
          <w:numId w:val="1"/>
        </w:numPr>
        <w:spacing w:after="60"/>
      </w:pPr>
      <w:r>
        <w:t xml:space="preserve">Probar los 5 notebooks "como estudiante" dictando o simulando cada encuentro, para confirmar que la carga por clase es realista en 2 horas (Fase 4 del Plan).</w:t>
      </w:r>
    </w:p>
    <w:p>
      <w:pPr>
        <w:pStyle w:val="ListParagraph"/>
        <w:numPr>
          <w:ilvl w:val="0"/>
          <w:numId w:val="1"/>
        </w:numPr>
        <w:spacing w:after="60"/>
      </w:pPr>
      <w:r>
        <w:t xml:space="preserve">Elaborar la rúbrica de evaluación (Sección 9 del Plan) como documento separado, ya que no es contenido de notebook.</w:t>
      </w:r>
    </w:p>
    <w:p>
      <w:pPr>
        <w:pStyle w:val="ListParagraph"/>
        <w:numPr>
          <w:ilvl w:val="0"/>
          <w:numId w:val="1"/>
        </w:numPr>
        <w:spacing w:after="60"/>
      </w:pPr>
      <w:r>
        <w:t xml:space="preserve">Decidir si join_merge_concat_pandas.ipynb y los notebooks de la carpeta "Bibliografía" deben alinearse con la política de IA (no estaban contemplados en la Sección 5 del Plan).</w:t>
      </w:r>
    </w:p>
    <w:p>
      <w:pPr>
        <w:pStyle w:val="ListParagraph"/>
        <w:numPr>
          <w:ilvl w:val="0"/>
          <w:numId w:val="1"/>
        </w:numPr>
        <w:spacing w:after="60"/>
      </w:pPr>
      <w:r>
        <w:t xml:space="preserve">Los originales quedaron intactos; los notebooks _v2 están en las mismas carpetas (Clase 1 a 4) listos para revisión antes de reemplazar el material de dictado.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2026-09-21T00:50:47.490Z</dcterms:created>
  <dcterms:modified xsi:type="dcterms:W3CDTF">2026-09-21T00:50:47.713Z</dcterms:modified>
</cp:coreProperties>
</file>

<file path=docProps/custom.xml><?xml version="1.0" encoding="utf-8"?>
<Properties xmlns="http://schemas.openxmlformats.org/officeDocument/2006/custom-properties" xmlns:vt="http://schemas.openxmlformats.org/officeDocument/2006/docPropsVTypes"/>
</file>