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8"/>
        </w:rPr>
        <w:t>Comparativa de latencia en streaming entre Voxtral y Qwen3-ASR</w:t>
      </w:r>
    </w:p>
    <w:p>
      <w:pPr>
        <w:spacing w:after="320"/>
      </w:pPr>
      <w:r>
        <w:rPr>
          <w:color w:val="606060"/>
          <w:sz w:val="19"/>
        </w:rPr>
        <w:t>Carlos Ruiz Úbeda — 19 de septiembre de 2026</w:t>
      </w:r>
    </w:p>
    <w:p>
      <w:pPr>
        <w:spacing w:before="200" w:after="120"/>
      </w:pPr>
      <w:r>
        <w:rPr>
          <w:b/>
          <w:sz w:val="23"/>
        </w:rPr>
        <w:t>Metodología</w:t>
      </w:r>
    </w:p>
    <w:p>
      <w:r>
        <w:t>En los estudios anteriores los dos modelos se compararon en modo offline, transcribiendo cada intervención entera de una vez, y el coste temporal se midió con el factor de tiempo real o RTF, que es el tiempo de proceso dividido entre la duración del audio. El RTF sirve para saber qué equipo hace falta para procesar un archivo, pero no dice nada sobre cómo se comporta un sistema que transcribe en directo. Lo que importa en ese caso es la latencia, es decir, cuánto tarda en aparecer una palabra desde que se pronuncia.</w:t>
      </w:r>
    </w:p>
    <w:p>
      <w:r>
        <w:t>La latencia tiene dos partes que conviene separar. La latencia algorítmica es la que el modelo impone por diseño, porque necesita oír algo de audio posterior antes de decidir una palabra, y no depende del equipo. La latencia computacional es lo que tarda la GPU en procesar cada fragmento, y esta sí depende del equipo. La suma de las dos es la latencia que percibe el usuario. Comparar dos modelos sin fijar la latencia no es válido, porque el que tiene más retardo dispone de más contexto y acierta más.</w:t>
      </w:r>
    </w:p>
    <w:p>
      <w:r>
        <w:t>Cada modelo tiene un parámetro que controla la latencia, aunque funcionan de forma distinta. En Voxtral es transcription_delay_ms, que por defecto vale 480 ms, equivalentes a seis tokens de retardo a razón de 80 ms por token; el audio se consume en fragmentos fijos de 105 ms. En Qwen3-ASR es chunk_size_sec, el bloque de audio que debe acumularse antes de emitir una nueva hipótesis, que por defecto vale 2 segundos. Conviene señalar que, con los valores por defecto, Voxtral trabaja a 480 ms y Qwen3-ASR a 2.000 ms, así que las comparaciones anteriores entre ambos no eran homogéneas.</w:t>
      </w:r>
    </w:p>
    <w:p>
      <w:r>
        <w:t>La evaluación se ha hecho sobre veinte intervenciones del conjunto de test en castellano de Europarl-ST, con duraciones de entre 7 y 134 segundos, 30,3 minutos de grabación y 4.789 palabras de referencia. Los dos modelos se ejecutaron sobre el mismo conjunto, en el mismo equipo, una RTX 3060 de 12 GB, y en el mismo entorno Linux sobre WSL2, con el mismo procedimiento de normalización y cálculo del WER que en los estudios anteriores.</w:t>
      </w:r>
    </w:p>
    <w:p>
      <w:r>
        <w:t>De cada llamada al modelo se midió el tiempo empleado. A partir de ahí se obtienen la latencia computacional media, el porcentaje del bloque de audio que esa latencia consume, y el crecimiento, que es la latencia media del último tercio de la intervención dividida entre la del primero. El crecimiento vale más o menos uno cuando el coste por fragmento es constante, y sube cuando el modelo se va ralentizando conforme avanza la intervención.</w:t>
      </w:r>
    </w:p>
    <w:p>
      <w:pPr>
        <w:spacing w:before="200" w:after="120"/>
      </w:pPr>
      <w:r>
        <w:rPr>
          <w:b/>
          <w:sz w:val="23"/>
        </w:rPr>
        <w:t>Resultados de Voxtral</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after="40"/>
              <w:jc w:val="left"/>
            </w:pPr>
            <w:r>
              <w:rPr>
                <w:b/>
                <w:sz w:val="18"/>
              </w:rPr>
              <w:t>Retardo</w:t>
            </w:r>
          </w:p>
        </w:tc>
        <w:tc>
          <w:tcPr>
            <w:tcW w:type="dxa" w:w="960"/>
          </w:tcPr>
          <w:p>
            <w:pPr>
              <w:spacing w:after="40"/>
              <w:jc w:val="center"/>
            </w:pPr>
            <w:r>
              <w:rPr>
                <w:b/>
                <w:sz w:val="18"/>
              </w:rPr>
              <w:t>Lat. comp.</w:t>
            </w:r>
          </w:p>
        </w:tc>
        <w:tc>
          <w:tcPr>
            <w:tcW w:type="dxa" w:w="960"/>
          </w:tcPr>
          <w:p>
            <w:pPr>
              <w:spacing w:after="40"/>
              <w:jc w:val="center"/>
            </w:pPr>
            <w:r>
              <w:rPr>
                <w:b/>
                <w:sz w:val="18"/>
              </w:rPr>
              <w:t>Lat. total</w:t>
            </w:r>
          </w:p>
        </w:tc>
        <w:tc>
          <w:tcPr>
            <w:tcW w:type="dxa" w:w="960"/>
          </w:tcPr>
          <w:p>
            <w:pPr>
              <w:spacing w:after="40"/>
              <w:jc w:val="center"/>
            </w:pPr>
            <w:r>
              <w:rPr>
                <w:b/>
                <w:sz w:val="18"/>
              </w:rPr>
              <w:t>Crecim.</w:t>
            </w:r>
          </w:p>
        </w:tc>
        <w:tc>
          <w:tcPr>
            <w:tcW w:type="dxa" w:w="960"/>
          </w:tcPr>
          <w:p>
            <w:pPr>
              <w:spacing w:after="40"/>
              <w:jc w:val="center"/>
            </w:pPr>
            <w:r>
              <w:rPr>
                <w:b/>
                <w:sz w:val="18"/>
              </w:rPr>
              <w:t>RTF</w:t>
            </w:r>
          </w:p>
        </w:tc>
        <w:tc>
          <w:tcPr>
            <w:tcW w:type="dxa" w:w="960"/>
          </w:tcPr>
          <w:p>
            <w:pPr>
              <w:spacing w:after="40"/>
              <w:jc w:val="center"/>
            </w:pPr>
            <w:r>
              <w:rPr>
                <w:b/>
                <w:sz w:val="18"/>
              </w:rPr>
              <w:t>Uso del bloque</w:t>
            </w:r>
          </w:p>
        </w:tc>
        <w:tc>
          <w:tcPr>
            <w:tcW w:type="dxa" w:w="960"/>
          </w:tcPr>
          <w:p>
            <w:pPr>
              <w:spacing w:after="40"/>
              <w:jc w:val="center"/>
            </w:pPr>
            <w:r>
              <w:rPr>
                <w:b/>
                <w:sz w:val="18"/>
              </w:rPr>
              <w:t>WER</w:t>
            </w:r>
          </w:p>
        </w:tc>
        <w:tc>
          <w:tcPr>
            <w:tcW w:type="dxa" w:w="960"/>
          </w:tcPr>
          <w:p>
            <w:pPr>
              <w:spacing w:after="40"/>
              <w:jc w:val="center"/>
            </w:pPr>
            <w:r>
              <w:rPr>
                <w:b/>
                <w:sz w:val="18"/>
              </w:rPr>
              <w:t>WER sin anómalos</w:t>
            </w:r>
          </w:p>
        </w:tc>
        <w:tc>
          <w:tcPr>
            <w:tcW w:type="dxa" w:w="960"/>
          </w:tcPr>
          <w:p>
            <w:pPr>
              <w:spacing w:after="40"/>
              <w:jc w:val="center"/>
            </w:pPr>
            <w:r>
              <w:rPr>
                <w:b/>
                <w:sz w:val="18"/>
              </w:rPr>
              <w:t>Anómalos</w:t>
            </w:r>
          </w:p>
        </w:tc>
      </w:tr>
      <w:tr>
        <w:tc>
          <w:tcPr>
            <w:tcW w:type="dxa" w:w="960"/>
          </w:tcPr>
          <w:p>
            <w:pPr>
              <w:spacing w:after="40"/>
              <w:jc w:val="left"/>
            </w:pPr>
            <w:r>
              <w:rPr>
                <w:sz w:val="18"/>
              </w:rPr>
              <w:t>160 ms</w:t>
            </w:r>
          </w:p>
        </w:tc>
        <w:tc>
          <w:tcPr>
            <w:tcW w:type="dxa" w:w="960"/>
          </w:tcPr>
          <w:p>
            <w:pPr>
              <w:spacing w:after="40"/>
              <w:jc w:val="center"/>
            </w:pPr>
            <w:r>
              <w:rPr>
                <w:sz w:val="18"/>
              </w:rPr>
              <w:t>71,5 ms</w:t>
            </w:r>
          </w:p>
        </w:tc>
        <w:tc>
          <w:tcPr>
            <w:tcW w:type="dxa" w:w="960"/>
          </w:tcPr>
          <w:p>
            <w:pPr>
              <w:spacing w:after="40"/>
              <w:jc w:val="center"/>
            </w:pPr>
            <w:r>
              <w:rPr>
                <w:sz w:val="18"/>
              </w:rPr>
              <w:t>232 ms</w:t>
            </w:r>
          </w:p>
        </w:tc>
        <w:tc>
          <w:tcPr>
            <w:tcW w:type="dxa" w:w="960"/>
          </w:tcPr>
          <w:p>
            <w:pPr>
              <w:spacing w:after="40"/>
              <w:jc w:val="center"/>
            </w:pPr>
            <w:r>
              <w:rPr>
                <w:sz w:val="18"/>
              </w:rPr>
              <w:t>1,01</w:t>
            </w:r>
          </w:p>
        </w:tc>
        <w:tc>
          <w:tcPr>
            <w:tcW w:type="dxa" w:w="960"/>
          </w:tcPr>
          <w:p>
            <w:pPr>
              <w:spacing w:after="40"/>
              <w:jc w:val="center"/>
            </w:pPr>
            <w:r>
              <w:rPr>
                <w:sz w:val="18"/>
              </w:rPr>
              <w:t>0,89</w:t>
            </w:r>
          </w:p>
        </w:tc>
        <w:tc>
          <w:tcPr>
            <w:tcW w:type="dxa" w:w="960"/>
          </w:tcPr>
          <w:p>
            <w:pPr>
              <w:spacing w:after="40"/>
              <w:jc w:val="center"/>
            </w:pPr>
            <w:r>
              <w:rPr>
                <w:sz w:val="18"/>
              </w:rPr>
              <w:t>68 %</w:t>
            </w:r>
          </w:p>
        </w:tc>
        <w:tc>
          <w:tcPr>
            <w:tcW w:type="dxa" w:w="960"/>
          </w:tcPr>
          <w:p>
            <w:pPr>
              <w:spacing w:after="40"/>
              <w:jc w:val="center"/>
            </w:pPr>
            <w:r>
              <w:rPr>
                <w:sz w:val="18"/>
              </w:rPr>
              <w:t>16,98 %</w:t>
            </w:r>
          </w:p>
        </w:tc>
        <w:tc>
          <w:tcPr>
            <w:tcW w:type="dxa" w:w="960"/>
          </w:tcPr>
          <w:p>
            <w:pPr>
              <w:spacing w:after="40"/>
              <w:jc w:val="center"/>
            </w:pPr>
            <w:r>
              <w:rPr>
                <w:sz w:val="18"/>
              </w:rPr>
              <w:t>15,81 %</w:t>
            </w:r>
          </w:p>
        </w:tc>
        <w:tc>
          <w:tcPr>
            <w:tcW w:type="dxa" w:w="960"/>
          </w:tcPr>
          <w:p>
            <w:pPr>
              <w:spacing w:after="40"/>
              <w:jc w:val="center"/>
            </w:pPr>
            <w:r>
              <w:rPr>
                <w:sz w:val="18"/>
              </w:rPr>
              <w:t>1</w:t>
            </w:r>
          </w:p>
        </w:tc>
      </w:tr>
      <w:tr>
        <w:tc>
          <w:tcPr>
            <w:tcW w:type="dxa" w:w="960"/>
          </w:tcPr>
          <w:p>
            <w:pPr>
              <w:spacing w:after="40"/>
              <w:jc w:val="left"/>
            </w:pPr>
            <w:r>
              <w:rPr>
                <w:sz w:val="18"/>
              </w:rPr>
              <w:t>320 ms</w:t>
            </w:r>
          </w:p>
        </w:tc>
        <w:tc>
          <w:tcPr>
            <w:tcW w:type="dxa" w:w="960"/>
          </w:tcPr>
          <w:p>
            <w:pPr>
              <w:spacing w:after="40"/>
              <w:jc w:val="center"/>
            </w:pPr>
            <w:r>
              <w:rPr>
                <w:sz w:val="18"/>
              </w:rPr>
              <w:t>70,2 ms</w:t>
            </w:r>
          </w:p>
        </w:tc>
        <w:tc>
          <w:tcPr>
            <w:tcW w:type="dxa" w:w="960"/>
          </w:tcPr>
          <w:p>
            <w:pPr>
              <w:spacing w:after="40"/>
              <w:jc w:val="center"/>
            </w:pPr>
            <w:r>
              <w:rPr>
                <w:sz w:val="18"/>
              </w:rPr>
              <w:t>390 ms</w:t>
            </w:r>
          </w:p>
        </w:tc>
        <w:tc>
          <w:tcPr>
            <w:tcW w:type="dxa" w:w="960"/>
          </w:tcPr>
          <w:p>
            <w:pPr>
              <w:spacing w:after="40"/>
              <w:jc w:val="center"/>
            </w:pPr>
            <w:r>
              <w:rPr>
                <w:sz w:val="18"/>
              </w:rPr>
              <w:t>1,03</w:t>
            </w:r>
          </w:p>
        </w:tc>
        <w:tc>
          <w:tcPr>
            <w:tcW w:type="dxa" w:w="960"/>
          </w:tcPr>
          <w:p>
            <w:pPr>
              <w:spacing w:after="40"/>
              <w:jc w:val="center"/>
            </w:pPr>
            <w:r>
              <w:rPr>
                <w:sz w:val="18"/>
              </w:rPr>
              <w:t>0,87</w:t>
            </w:r>
          </w:p>
        </w:tc>
        <w:tc>
          <w:tcPr>
            <w:tcW w:type="dxa" w:w="960"/>
          </w:tcPr>
          <w:p>
            <w:pPr>
              <w:spacing w:after="40"/>
              <w:jc w:val="center"/>
            </w:pPr>
            <w:r>
              <w:rPr>
                <w:sz w:val="18"/>
              </w:rPr>
              <w:t>67 %</w:t>
            </w:r>
          </w:p>
        </w:tc>
        <w:tc>
          <w:tcPr>
            <w:tcW w:type="dxa" w:w="960"/>
          </w:tcPr>
          <w:p>
            <w:pPr>
              <w:spacing w:after="40"/>
              <w:jc w:val="center"/>
            </w:pPr>
            <w:r>
              <w:rPr>
                <w:sz w:val="18"/>
              </w:rPr>
              <w:t>13,97 %</w:t>
            </w:r>
          </w:p>
        </w:tc>
        <w:tc>
          <w:tcPr>
            <w:tcW w:type="dxa" w:w="960"/>
          </w:tcPr>
          <w:p>
            <w:pPr>
              <w:spacing w:after="40"/>
              <w:jc w:val="center"/>
            </w:pPr>
            <w:r>
              <w:rPr>
                <w:sz w:val="18"/>
              </w:rPr>
              <w:t>8,32 %</w:t>
            </w:r>
          </w:p>
        </w:tc>
        <w:tc>
          <w:tcPr>
            <w:tcW w:type="dxa" w:w="960"/>
          </w:tcPr>
          <w:p>
            <w:pPr>
              <w:spacing w:after="40"/>
              <w:jc w:val="center"/>
            </w:pPr>
            <w:r>
              <w:rPr>
                <w:sz w:val="18"/>
              </w:rPr>
              <w:t>3</w:t>
            </w:r>
          </w:p>
        </w:tc>
      </w:tr>
      <w:tr>
        <w:tc>
          <w:tcPr>
            <w:tcW w:type="dxa" w:w="960"/>
          </w:tcPr>
          <w:p>
            <w:pPr>
              <w:spacing w:after="40"/>
              <w:jc w:val="left"/>
            </w:pPr>
            <w:r>
              <w:rPr>
                <w:sz w:val="18"/>
              </w:rPr>
              <w:t>480 ms</w:t>
            </w:r>
          </w:p>
        </w:tc>
        <w:tc>
          <w:tcPr>
            <w:tcW w:type="dxa" w:w="960"/>
          </w:tcPr>
          <w:p>
            <w:pPr>
              <w:spacing w:after="40"/>
              <w:jc w:val="center"/>
            </w:pPr>
            <w:r>
              <w:rPr>
                <w:sz w:val="18"/>
              </w:rPr>
              <w:t>67,2 ms</w:t>
            </w:r>
          </w:p>
        </w:tc>
        <w:tc>
          <w:tcPr>
            <w:tcW w:type="dxa" w:w="960"/>
          </w:tcPr>
          <w:p>
            <w:pPr>
              <w:spacing w:after="40"/>
              <w:jc w:val="center"/>
            </w:pPr>
            <w:r>
              <w:rPr>
                <w:sz w:val="18"/>
              </w:rPr>
              <w:t>547 ms</w:t>
            </w:r>
          </w:p>
        </w:tc>
        <w:tc>
          <w:tcPr>
            <w:tcW w:type="dxa" w:w="960"/>
          </w:tcPr>
          <w:p>
            <w:pPr>
              <w:spacing w:after="40"/>
              <w:jc w:val="center"/>
            </w:pPr>
            <w:r>
              <w:rPr>
                <w:sz w:val="18"/>
              </w:rPr>
              <w:t>1,00</w:t>
            </w:r>
          </w:p>
        </w:tc>
        <w:tc>
          <w:tcPr>
            <w:tcW w:type="dxa" w:w="960"/>
          </w:tcPr>
          <w:p>
            <w:pPr>
              <w:spacing w:after="40"/>
              <w:jc w:val="center"/>
            </w:pPr>
            <w:r>
              <w:rPr>
                <w:sz w:val="18"/>
              </w:rPr>
              <w:t>0,83</w:t>
            </w:r>
          </w:p>
        </w:tc>
        <w:tc>
          <w:tcPr>
            <w:tcW w:type="dxa" w:w="960"/>
          </w:tcPr>
          <w:p>
            <w:pPr>
              <w:spacing w:after="40"/>
              <w:jc w:val="center"/>
            </w:pPr>
            <w:r>
              <w:rPr>
                <w:sz w:val="18"/>
              </w:rPr>
              <w:t>64 %</w:t>
            </w:r>
          </w:p>
        </w:tc>
        <w:tc>
          <w:tcPr>
            <w:tcW w:type="dxa" w:w="960"/>
          </w:tcPr>
          <w:p>
            <w:pPr>
              <w:spacing w:after="40"/>
              <w:jc w:val="center"/>
            </w:pPr>
            <w:r>
              <w:rPr>
                <w:sz w:val="18"/>
              </w:rPr>
              <w:t>9,69 %</w:t>
            </w:r>
          </w:p>
        </w:tc>
        <w:tc>
          <w:tcPr>
            <w:tcW w:type="dxa" w:w="960"/>
          </w:tcPr>
          <w:p>
            <w:pPr>
              <w:spacing w:after="40"/>
              <w:jc w:val="center"/>
            </w:pPr>
            <w:r>
              <w:rPr>
                <w:sz w:val="18"/>
              </w:rPr>
              <w:t>9,69 %</w:t>
            </w:r>
          </w:p>
        </w:tc>
        <w:tc>
          <w:tcPr>
            <w:tcW w:type="dxa" w:w="960"/>
          </w:tcPr>
          <w:p>
            <w:pPr>
              <w:spacing w:after="40"/>
              <w:jc w:val="center"/>
            </w:pPr>
            <w:r>
              <w:rPr>
                <w:sz w:val="18"/>
              </w:rPr>
              <w:t>0</w:t>
            </w:r>
          </w:p>
        </w:tc>
      </w:tr>
      <w:tr>
        <w:tc>
          <w:tcPr>
            <w:tcW w:type="dxa" w:w="960"/>
          </w:tcPr>
          <w:p>
            <w:pPr>
              <w:spacing w:after="40"/>
              <w:jc w:val="left"/>
            </w:pPr>
            <w:r>
              <w:rPr>
                <w:sz w:val="18"/>
              </w:rPr>
              <w:t>960 ms</w:t>
            </w:r>
          </w:p>
        </w:tc>
        <w:tc>
          <w:tcPr>
            <w:tcW w:type="dxa" w:w="960"/>
          </w:tcPr>
          <w:p>
            <w:pPr>
              <w:spacing w:after="40"/>
              <w:jc w:val="center"/>
            </w:pPr>
            <w:r>
              <w:rPr>
                <w:sz w:val="18"/>
              </w:rPr>
              <w:t>68,0 ms</w:t>
            </w:r>
          </w:p>
        </w:tc>
        <w:tc>
          <w:tcPr>
            <w:tcW w:type="dxa" w:w="960"/>
          </w:tcPr>
          <w:p>
            <w:pPr>
              <w:spacing w:after="40"/>
              <w:jc w:val="center"/>
            </w:pPr>
            <w:r>
              <w:rPr>
                <w:sz w:val="18"/>
              </w:rPr>
              <w:t>1.028 ms</w:t>
            </w:r>
          </w:p>
        </w:tc>
        <w:tc>
          <w:tcPr>
            <w:tcW w:type="dxa" w:w="960"/>
          </w:tcPr>
          <w:p>
            <w:pPr>
              <w:spacing w:after="40"/>
              <w:jc w:val="center"/>
            </w:pPr>
            <w:r>
              <w:rPr>
                <w:sz w:val="18"/>
              </w:rPr>
              <w:t>1,01</w:t>
            </w:r>
          </w:p>
        </w:tc>
        <w:tc>
          <w:tcPr>
            <w:tcW w:type="dxa" w:w="960"/>
          </w:tcPr>
          <w:p>
            <w:pPr>
              <w:spacing w:after="40"/>
              <w:jc w:val="center"/>
            </w:pPr>
            <w:r>
              <w:rPr>
                <w:sz w:val="18"/>
              </w:rPr>
              <w:t>0,83</w:t>
            </w:r>
          </w:p>
        </w:tc>
        <w:tc>
          <w:tcPr>
            <w:tcW w:type="dxa" w:w="960"/>
          </w:tcPr>
          <w:p>
            <w:pPr>
              <w:spacing w:after="40"/>
              <w:jc w:val="center"/>
            </w:pPr>
            <w:r>
              <w:rPr>
                <w:sz w:val="18"/>
              </w:rPr>
              <w:t>65 %</w:t>
            </w:r>
          </w:p>
        </w:tc>
        <w:tc>
          <w:tcPr>
            <w:tcW w:type="dxa" w:w="960"/>
          </w:tcPr>
          <w:p>
            <w:pPr>
              <w:spacing w:after="40"/>
              <w:jc w:val="center"/>
            </w:pPr>
            <w:r>
              <w:rPr>
                <w:sz w:val="18"/>
              </w:rPr>
              <w:t>7,41 %</w:t>
            </w:r>
          </w:p>
        </w:tc>
        <w:tc>
          <w:tcPr>
            <w:tcW w:type="dxa" w:w="960"/>
          </w:tcPr>
          <w:p>
            <w:pPr>
              <w:spacing w:after="40"/>
              <w:jc w:val="center"/>
            </w:pPr>
            <w:r>
              <w:rPr>
                <w:sz w:val="18"/>
              </w:rPr>
              <w:t>7,41 %</w:t>
            </w:r>
          </w:p>
        </w:tc>
        <w:tc>
          <w:tcPr>
            <w:tcW w:type="dxa" w:w="960"/>
          </w:tcPr>
          <w:p>
            <w:pPr>
              <w:spacing w:after="40"/>
              <w:jc w:val="center"/>
            </w:pPr>
            <w:r>
              <w:rPr>
                <w:sz w:val="18"/>
              </w:rPr>
              <w:t>0</w:t>
            </w:r>
          </w:p>
        </w:tc>
      </w:tr>
      <w:tr>
        <w:tc>
          <w:tcPr>
            <w:tcW w:type="dxa" w:w="960"/>
          </w:tcPr>
          <w:p>
            <w:pPr>
              <w:spacing w:after="40"/>
              <w:jc w:val="left"/>
            </w:pPr>
            <w:r>
              <w:rPr>
                <w:sz w:val="18"/>
              </w:rPr>
              <w:t>1.920 ms</w:t>
            </w:r>
          </w:p>
        </w:tc>
        <w:tc>
          <w:tcPr>
            <w:tcW w:type="dxa" w:w="960"/>
          </w:tcPr>
          <w:p>
            <w:pPr>
              <w:spacing w:after="40"/>
              <w:jc w:val="center"/>
            </w:pPr>
            <w:r>
              <w:rPr>
                <w:sz w:val="18"/>
              </w:rPr>
              <w:t>69,6 ms</w:t>
            </w:r>
          </w:p>
        </w:tc>
        <w:tc>
          <w:tcPr>
            <w:tcW w:type="dxa" w:w="960"/>
          </w:tcPr>
          <w:p>
            <w:pPr>
              <w:spacing w:after="40"/>
              <w:jc w:val="center"/>
            </w:pPr>
            <w:r>
              <w:rPr>
                <w:sz w:val="18"/>
              </w:rPr>
              <w:t>1.990 ms</w:t>
            </w:r>
          </w:p>
        </w:tc>
        <w:tc>
          <w:tcPr>
            <w:tcW w:type="dxa" w:w="960"/>
          </w:tcPr>
          <w:p>
            <w:pPr>
              <w:spacing w:after="40"/>
              <w:jc w:val="center"/>
            </w:pPr>
            <w:r>
              <w:rPr>
                <w:sz w:val="18"/>
              </w:rPr>
              <w:t>1,03</w:t>
            </w:r>
          </w:p>
        </w:tc>
        <w:tc>
          <w:tcPr>
            <w:tcW w:type="dxa" w:w="960"/>
          </w:tcPr>
          <w:p>
            <w:pPr>
              <w:spacing w:after="40"/>
              <w:jc w:val="center"/>
            </w:pPr>
            <w:r>
              <w:rPr>
                <w:sz w:val="18"/>
              </w:rPr>
              <w:t>0,84</w:t>
            </w:r>
          </w:p>
        </w:tc>
        <w:tc>
          <w:tcPr>
            <w:tcW w:type="dxa" w:w="960"/>
          </w:tcPr>
          <w:p>
            <w:pPr>
              <w:spacing w:after="40"/>
              <w:jc w:val="center"/>
            </w:pPr>
            <w:r>
              <w:rPr>
                <w:sz w:val="18"/>
              </w:rPr>
              <w:t>66 %</w:t>
            </w:r>
          </w:p>
        </w:tc>
        <w:tc>
          <w:tcPr>
            <w:tcW w:type="dxa" w:w="960"/>
          </w:tcPr>
          <w:p>
            <w:pPr>
              <w:spacing w:after="40"/>
              <w:jc w:val="center"/>
            </w:pPr>
            <w:r>
              <w:rPr>
                <w:sz w:val="18"/>
              </w:rPr>
              <w:t>19,98 %</w:t>
            </w:r>
          </w:p>
        </w:tc>
        <w:tc>
          <w:tcPr>
            <w:tcW w:type="dxa" w:w="960"/>
          </w:tcPr>
          <w:p>
            <w:pPr>
              <w:spacing w:after="40"/>
              <w:jc w:val="center"/>
            </w:pPr>
            <w:r>
              <w:rPr>
                <w:sz w:val="18"/>
              </w:rPr>
              <w:t>9,21 %</w:t>
            </w:r>
          </w:p>
        </w:tc>
        <w:tc>
          <w:tcPr>
            <w:tcW w:type="dxa" w:w="960"/>
          </w:tcPr>
          <w:p>
            <w:pPr>
              <w:spacing w:after="40"/>
              <w:jc w:val="center"/>
            </w:pPr>
            <w:r>
              <w:rPr>
                <w:sz w:val="18"/>
              </w:rPr>
              <w:t>3</w:t>
            </w:r>
          </w:p>
        </w:tc>
      </w:tr>
    </w:tbl>
    <w:p>
      <w:pPr>
        <w:spacing w:before="60" w:after="200"/>
      </w:pPr>
      <w:r>
        <w:rPr>
          <w:color w:val="606060"/>
          <w:sz w:val="17"/>
        </w:rPr>
        <w:t>Uso del bloque: porcentaje de los 105 ms de cada fragmento que se consume en cómputo. Anómalos: transcripciones que miden menos de la mitad o más de 1,6 veces la referencia.</w:t>
      </w:r>
    </w:p>
    <w:p>
      <w:r>
        <w:t>La latencia computacional de Voxtral se mantiene constante en unos 68 ms sea cual sea el retardo configurado, y el crecimiento no se aleja de 1 en ninguna configuración. Esto confirma que el modelo mantiene un estado incremental real mediante cachés de convolución y de atención: lo que cuesta procesar un fragmento no depende de cuánto audio se haya procesado antes. El sistema consume entre el 64 y el 68 % de cada bloque de 105 ms, así que aguanta el tiempo real con un margen de alrededor de un tercio, y lo aguanta de forma indefinida, porque ese margen no se deteriora aunque la intervención se alargue.</w:t>
      </w:r>
    </w:p>
    <w:p>
      <w:r>
        <w:t>El WER hay que leerlo con cuidado, porque la tasa global y la capacidad real de reconocimiento apuntan en direcciones distintas. Si se descuentan las transcripciones anómalas, el WER se queda entre 8,3 % y 9,7 % en todo el rango de 320 a 1.920 ms, y el mejor resultado, 7,41 %, se obtiene con 960 ms. La única configuración donde el reconocimiento se degrada de verdad es la de 160 ms, que sube a 15,81 % incluso descontando el único caso anómalo. Tiene sentido: con dos tokens de retardo el modelo casi no tiene contexto posterior para decidir cada palabra.</w:t>
      </w:r>
    </w:p>
    <w:p>
      <w:r>
        <w:t>Las tasas altas de 320 y 1.920 ms no se deben a un mal reconocimiento, sino a transcripciones truncadas, en las que el modelo corta la generación antes de terminar la intervención, se para a mitad de frase y remata con una fórmula de cierre, lo que apunta a que emite el token de fin antes de tiempo. El problema se concentra en cuatro audios concretos y no sigue un patrón claro respecto del retardo: la configuración de 320 ms trunca más que la de 160 ms, y la de 960 ms no trunca ninguno mientras que la de 1.920 ms trunca tres. Un mismo audio puede transcribirse bien con 480 y 960 ms y truncarse con 160, 320 y 1.920 ms. No hemos determinado el mecanismo. Una hipótesis posible es que cambiar el retardo en el momento de la inferencia no sea un uso previsto del modelo, ya que ese parámetro afecta tanto a los embeddings temporales como al relleno que se añade al final del audio, pero no está verificada.</w:t>
      </w:r>
    </w:p>
    <w:p>
      <w:r>
        <w:t>En la práctica, Voxtral es fiable en la banda de 480 a 960 ms, donde no se produjo ni un solo caso anómalo sobre los veinte audios. Fuera de esa banda su precisión se mantiene, pero la estabilidad de la generación deja de estar garantizada.</w:t>
      </w:r>
    </w:p>
    <w:p>
      <w:pPr>
        <w:spacing w:before="200" w:after="120"/>
      </w:pPr>
      <w:r>
        <w:rPr>
          <w:b/>
          <w:sz w:val="23"/>
        </w:rPr>
        <w:t>Resultados de Qwen3-ASR</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spacing w:after="40"/>
              <w:jc w:val="left"/>
            </w:pPr>
            <w:r>
              <w:rPr>
                <w:b/>
                <w:sz w:val="18"/>
              </w:rPr>
              <w:t>Bloque</w:t>
            </w:r>
          </w:p>
        </w:tc>
        <w:tc>
          <w:tcPr>
            <w:tcW w:type="dxa" w:w="864"/>
          </w:tcPr>
          <w:p>
            <w:pPr>
              <w:spacing w:after="40"/>
              <w:jc w:val="center"/>
            </w:pPr>
            <w:r>
              <w:rPr>
                <w:b/>
                <w:sz w:val="18"/>
              </w:rPr>
              <w:t>Lat. comp.</w:t>
            </w:r>
          </w:p>
        </w:tc>
        <w:tc>
          <w:tcPr>
            <w:tcW w:type="dxa" w:w="864"/>
          </w:tcPr>
          <w:p>
            <w:pPr>
              <w:spacing w:after="40"/>
              <w:jc w:val="center"/>
            </w:pPr>
            <w:r>
              <w:rPr>
                <w:b/>
                <w:sz w:val="18"/>
              </w:rPr>
              <w:t>Lat. total</w:t>
            </w:r>
          </w:p>
        </w:tc>
        <w:tc>
          <w:tcPr>
            <w:tcW w:type="dxa" w:w="864"/>
          </w:tcPr>
          <w:p>
            <w:pPr>
              <w:spacing w:after="40"/>
              <w:jc w:val="center"/>
            </w:pPr>
            <w:r>
              <w:rPr>
                <w:b/>
                <w:sz w:val="18"/>
              </w:rPr>
              <w:t>Crecim.</w:t>
            </w:r>
          </w:p>
        </w:tc>
        <w:tc>
          <w:tcPr>
            <w:tcW w:type="dxa" w:w="864"/>
          </w:tcPr>
          <w:p>
            <w:pPr>
              <w:spacing w:after="40"/>
              <w:jc w:val="center"/>
            </w:pPr>
            <w:r>
              <w:rPr>
                <w:b/>
                <w:sz w:val="18"/>
              </w:rPr>
              <w:t>RTF</w:t>
            </w:r>
          </w:p>
        </w:tc>
        <w:tc>
          <w:tcPr>
            <w:tcW w:type="dxa" w:w="864"/>
          </w:tcPr>
          <w:p>
            <w:pPr>
              <w:spacing w:after="40"/>
              <w:jc w:val="center"/>
            </w:pPr>
            <w:r>
              <w:rPr>
                <w:b/>
                <w:sz w:val="18"/>
              </w:rPr>
              <w:t>Uso del bloque</w:t>
            </w:r>
          </w:p>
        </w:tc>
        <w:tc>
          <w:tcPr>
            <w:tcW w:type="dxa" w:w="864"/>
          </w:tcPr>
          <w:p>
            <w:pPr>
              <w:spacing w:after="40"/>
              <w:jc w:val="center"/>
            </w:pPr>
            <w:r>
              <w:rPr>
                <w:b/>
                <w:sz w:val="18"/>
              </w:rPr>
              <w:t>WER</w:t>
            </w:r>
          </w:p>
        </w:tc>
        <w:tc>
          <w:tcPr>
            <w:tcW w:type="dxa" w:w="864"/>
          </w:tcPr>
          <w:p>
            <w:pPr>
              <w:spacing w:after="40"/>
              <w:jc w:val="center"/>
            </w:pPr>
            <w:r>
              <w:rPr>
                <w:b/>
                <w:sz w:val="18"/>
              </w:rPr>
              <w:t>WER sin anómalos</w:t>
            </w:r>
          </w:p>
        </w:tc>
        <w:tc>
          <w:tcPr>
            <w:tcW w:type="dxa" w:w="864"/>
          </w:tcPr>
          <w:p>
            <w:pPr>
              <w:spacing w:after="40"/>
              <w:jc w:val="center"/>
            </w:pPr>
            <w:r>
              <w:rPr>
                <w:b/>
                <w:sz w:val="18"/>
              </w:rPr>
              <w:t>Anómalos</w:t>
            </w:r>
          </w:p>
        </w:tc>
        <w:tc>
          <w:tcPr>
            <w:tcW w:type="dxa" w:w="864"/>
          </w:tcPr>
          <w:p>
            <w:pPr>
              <w:spacing w:after="40"/>
              <w:jc w:val="center"/>
            </w:pPr>
            <w:r>
              <w:rPr>
                <w:b/>
                <w:sz w:val="18"/>
              </w:rPr>
              <w:t>Fallos</w:t>
            </w:r>
          </w:p>
        </w:tc>
      </w:tr>
      <w:tr>
        <w:tc>
          <w:tcPr>
            <w:tcW w:type="dxa" w:w="864"/>
          </w:tcPr>
          <w:p>
            <w:pPr>
              <w:spacing w:after="40"/>
              <w:jc w:val="left"/>
            </w:pPr>
            <w:r>
              <w:rPr>
                <w:sz w:val="18"/>
              </w:rPr>
              <w:t>480 ms</w:t>
            </w:r>
          </w:p>
        </w:tc>
        <w:tc>
          <w:tcPr>
            <w:tcW w:type="dxa" w:w="864"/>
          </w:tcPr>
          <w:p>
            <w:pPr>
              <w:spacing w:after="40"/>
              <w:jc w:val="center"/>
            </w:pPr>
            <w:r>
              <w:rPr>
                <w:sz w:val="18"/>
              </w:rPr>
              <w:t>351,5 ms</w:t>
            </w:r>
          </w:p>
        </w:tc>
        <w:tc>
          <w:tcPr>
            <w:tcW w:type="dxa" w:w="864"/>
          </w:tcPr>
          <w:p>
            <w:pPr>
              <w:spacing w:after="40"/>
              <w:jc w:val="center"/>
            </w:pPr>
            <w:r>
              <w:rPr>
                <w:sz w:val="18"/>
              </w:rPr>
              <w:t>832 ms</w:t>
            </w:r>
          </w:p>
        </w:tc>
        <w:tc>
          <w:tcPr>
            <w:tcW w:type="dxa" w:w="864"/>
          </w:tcPr>
          <w:p>
            <w:pPr>
              <w:spacing w:after="40"/>
              <w:jc w:val="center"/>
            </w:pPr>
            <w:r>
              <w:rPr>
                <w:sz w:val="18"/>
              </w:rPr>
              <w:t>2,97</w:t>
            </w:r>
          </w:p>
        </w:tc>
        <w:tc>
          <w:tcPr>
            <w:tcW w:type="dxa" w:w="864"/>
          </w:tcPr>
          <w:p>
            <w:pPr>
              <w:spacing w:after="40"/>
              <w:jc w:val="center"/>
            </w:pPr>
            <w:r>
              <w:rPr>
                <w:sz w:val="18"/>
              </w:rPr>
              <w:t>0,74</w:t>
            </w:r>
          </w:p>
        </w:tc>
        <w:tc>
          <w:tcPr>
            <w:tcW w:type="dxa" w:w="864"/>
          </w:tcPr>
          <w:p>
            <w:pPr>
              <w:spacing w:after="40"/>
              <w:jc w:val="center"/>
            </w:pPr>
            <w:r>
              <w:rPr>
                <w:sz w:val="18"/>
              </w:rPr>
              <w:t>73 %</w:t>
            </w:r>
          </w:p>
        </w:tc>
        <w:tc>
          <w:tcPr>
            <w:tcW w:type="dxa" w:w="864"/>
          </w:tcPr>
          <w:p>
            <w:pPr>
              <w:spacing w:after="40"/>
              <w:jc w:val="center"/>
            </w:pPr>
            <w:r>
              <w:rPr>
                <w:sz w:val="18"/>
              </w:rPr>
              <w:t>154,72 %</w:t>
            </w:r>
          </w:p>
        </w:tc>
        <w:tc>
          <w:tcPr>
            <w:tcW w:type="dxa" w:w="864"/>
          </w:tcPr>
          <w:p>
            <w:pPr>
              <w:spacing w:after="40"/>
              <w:jc w:val="center"/>
            </w:pPr>
            <w:r>
              <w:rPr>
                <w:sz w:val="18"/>
              </w:rPr>
              <w:t>11,73 %</w:t>
            </w:r>
          </w:p>
        </w:tc>
        <w:tc>
          <w:tcPr>
            <w:tcW w:type="dxa" w:w="864"/>
          </w:tcPr>
          <w:p>
            <w:pPr>
              <w:spacing w:after="40"/>
              <w:jc w:val="center"/>
            </w:pPr>
            <w:r>
              <w:rPr>
                <w:sz w:val="18"/>
              </w:rPr>
              <w:t>2</w:t>
            </w:r>
          </w:p>
        </w:tc>
        <w:tc>
          <w:tcPr>
            <w:tcW w:type="dxa" w:w="864"/>
          </w:tcPr>
          <w:p>
            <w:pPr>
              <w:spacing w:after="40"/>
              <w:jc w:val="center"/>
            </w:pPr>
            <w:r>
              <w:rPr>
                <w:sz w:val="18"/>
              </w:rPr>
              <w:t>3</w:t>
            </w:r>
          </w:p>
        </w:tc>
      </w:tr>
      <w:tr>
        <w:tc>
          <w:tcPr>
            <w:tcW w:type="dxa" w:w="864"/>
          </w:tcPr>
          <w:p>
            <w:pPr>
              <w:spacing w:after="40"/>
              <w:jc w:val="left"/>
            </w:pPr>
            <w:r>
              <w:rPr>
                <w:sz w:val="18"/>
              </w:rPr>
              <w:t>1.000 ms</w:t>
            </w:r>
          </w:p>
        </w:tc>
        <w:tc>
          <w:tcPr>
            <w:tcW w:type="dxa" w:w="864"/>
          </w:tcPr>
          <w:p>
            <w:pPr>
              <w:spacing w:after="40"/>
              <w:jc w:val="center"/>
            </w:pPr>
            <w:r>
              <w:rPr>
                <w:sz w:val="18"/>
              </w:rPr>
              <w:t>321,5 ms</w:t>
            </w:r>
          </w:p>
        </w:tc>
        <w:tc>
          <w:tcPr>
            <w:tcW w:type="dxa" w:w="864"/>
          </w:tcPr>
          <w:p>
            <w:pPr>
              <w:spacing w:after="40"/>
              <w:jc w:val="center"/>
            </w:pPr>
            <w:r>
              <w:rPr>
                <w:sz w:val="18"/>
              </w:rPr>
              <w:t>1.321 ms</w:t>
            </w:r>
          </w:p>
        </w:tc>
        <w:tc>
          <w:tcPr>
            <w:tcW w:type="dxa" w:w="864"/>
          </w:tcPr>
          <w:p>
            <w:pPr>
              <w:spacing w:after="40"/>
              <w:jc w:val="center"/>
            </w:pPr>
            <w:r>
              <w:rPr>
                <w:sz w:val="18"/>
              </w:rPr>
              <w:t>2,09</w:t>
            </w:r>
          </w:p>
        </w:tc>
        <w:tc>
          <w:tcPr>
            <w:tcW w:type="dxa" w:w="864"/>
          </w:tcPr>
          <w:p>
            <w:pPr>
              <w:spacing w:after="40"/>
              <w:jc w:val="center"/>
            </w:pPr>
            <w:r>
              <w:rPr>
                <w:sz w:val="18"/>
              </w:rPr>
              <w:t>0,33</w:t>
            </w:r>
          </w:p>
        </w:tc>
        <w:tc>
          <w:tcPr>
            <w:tcW w:type="dxa" w:w="864"/>
          </w:tcPr>
          <w:p>
            <w:pPr>
              <w:spacing w:after="40"/>
              <w:jc w:val="center"/>
            </w:pPr>
            <w:r>
              <w:rPr>
                <w:sz w:val="18"/>
              </w:rPr>
              <w:t>32 %</w:t>
            </w:r>
          </w:p>
        </w:tc>
        <w:tc>
          <w:tcPr>
            <w:tcW w:type="dxa" w:w="864"/>
          </w:tcPr>
          <w:p>
            <w:pPr>
              <w:spacing w:after="40"/>
              <w:jc w:val="center"/>
            </w:pPr>
            <w:r>
              <w:rPr>
                <w:sz w:val="18"/>
              </w:rPr>
              <w:t>8,56 %</w:t>
            </w:r>
          </w:p>
        </w:tc>
        <w:tc>
          <w:tcPr>
            <w:tcW w:type="dxa" w:w="864"/>
          </w:tcPr>
          <w:p>
            <w:pPr>
              <w:spacing w:after="40"/>
              <w:jc w:val="center"/>
            </w:pPr>
            <w:r>
              <w:rPr>
                <w:sz w:val="18"/>
              </w:rPr>
              <w:t>8,56 %</w:t>
            </w:r>
          </w:p>
        </w:tc>
        <w:tc>
          <w:tcPr>
            <w:tcW w:type="dxa" w:w="864"/>
          </w:tcPr>
          <w:p>
            <w:pPr>
              <w:spacing w:after="40"/>
              <w:jc w:val="center"/>
            </w:pPr>
            <w:r>
              <w:rPr>
                <w:sz w:val="18"/>
              </w:rPr>
              <w:t>0</w:t>
            </w:r>
          </w:p>
        </w:tc>
        <w:tc>
          <w:tcPr>
            <w:tcW w:type="dxa" w:w="864"/>
          </w:tcPr>
          <w:p>
            <w:pPr>
              <w:spacing w:after="40"/>
              <w:jc w:val="center"/>
            </w:pPr>
            <w:r>
              <w:rPr>
                <w:sz w:val="18"/>
              </w:rPr>
              <w:t>1</w:t>
            </w:r>
          </w:p>
        </w:tc>
      </w:tr>
      <w:tr>
        <w:tc>
          <w:tcPr>
            <w:tcW w:type="dxa" w:w="864"/>
          </w:tcPr>
          <w:p>
            <w:pPr>
              <w:spacing w:after="40"/>
              <w:jc w:val="left"/>
            </w:pPr>
            <w:r>
              <w:rPr>
                <w:sz w:val="18"/>
              </w:rPr>
              <w:t>2.000 ms</w:t>
            </w:r>
          </w:p>
        </w:tc>
        <w:tc>
          <w:tcPr>
            <w:tcW w:type="dxa" w:w="864"/>
          </w:tcPr>
          <w:p>
            <w:pPr>
              <w:spacing w:after="40"/>
              <w:jc w:val="center"/>
            </w:pPr>
            <w:r>
              <w:rPr>
                <w:sz w:val="18"/>
              </w:rPr>
              <w:t>354,6 ms</w:t>
            </w:r>
          </w:p>
        </w:tc>
        <w:tc>
          <w:tcPr>
            <w:tcW w:type="dxa" w:w="864"/>
          </w:tcPr>
          <w:p>
            <w:pPr>
              <w:spacing w:after="40"/>
              <w:jc w:val="center"/>
            </w:pPr>
            <w:r>
              <w:rPr>
                <w:sz w:val="18"/>
              </w:rPr>
              <w:t>2.355 ms</w:t>
            </w:r>
          </w:p>
        </w:tc>
        <w:tc>
          <w:tcPr>
            <w:tcW w:type="dxa" w:w="864"/>
          </w:tcPr>
          <w:p>
            <w:pPr>
              <w:spacing w:after="40"/>
              <w:jc w:val="center"/>
            </w:pPr>
            <w:r>
              <w:rPr>
                <w:sz w:val="18"/>
              </w:rPr>
              <w:t>1,71</w:t>
            </w:r>
          </w:p>
        </w:tc>
        <w:tc>
          <w:tcPr>
            <w:tcW w:type="dxa" w:w="864"/>
          </w:tcPr>
          <w:p>
            <w:pPr>
              <w:spacing w:after="40"/>
              <w:jc w:val="center"/>
            </w:pPr>
            <w:r>
              <w:rPr>
                <w:sz w:val="18"/>
              </w:rPr>
              <w:t>0,19</w:t>
            </w:r>
          </w:p>
        </w:tc>
        <w:tc>
          <w:tcPr>
            <w:tcW w:type="dxa" w:w="864"/>
          </w:tcPr>
          <w:p>
            <w:pPr>
              <w:spacing w:after="40"/>
              <w:jc w:val="center"/>
            </w:pPr>
            <w:r>
              <w:rPr>
                <w:sz w:val="18"/>
              </w:rPr>
              <w:t>18 %</w:t>
            </w:r>
          </w:p>
        </w:tc>
        <w:tc>
          <w:tcPr>
            <w:tcW w:type="dxa" w:w="864"/>
          </w:tcPr>
          <w:p>
            <w:pPr>
              <w:spacing w:after="40"/>
              <w:jc w:val="center"/>
            </w:pPr>
            <w:r>
              <w:rPr>
                <w:sz w:val="18"/>
              </w:rPr>
              <w:t>8,90 %</w:t>
            </w:r>
          </w:p>
        </w:tc>
        <w:tc>
          <w:tcPr>
            <w:tcW w:type="dxa" w:w="864"/>
          </w:tcPr>
          <w:p>
            <w:pPr>
              <w:spacing w:after="40"/>
              <w:jc w:val="center"/>
            </w:pPr>
            <w:r>
              <w:rPr>
                <w:sz w:val="18"/>
              </w:rPr>
              <w:t>8,90 %</w:t>
            </w:r>
          </w:p>
        </w:tc>
        <w:tc>
          <w:tcPr>
            <w:tcW w:type="dxa" w:w="864"/>
          </w:tcPr>
          <w:p>
            <w:pPr>
              <w:spacing w:after="40"/>
              <w:jc w:val="center"/>
            </w:pPr>
            <w:r>
              <w:rPr>
                <w:sz w:val="18"/>
              </w:rPr>
              <w:t>0</w:t>
            </w:r>
          </w:p>
        </w:tc>
        <w:tc>
          <w:tcPr>
            <w:tcW w:type="dxa" w:w="864"/>
          </w:tcPr>
          <w:p>
            <w:pPr>
              <w:spacing w:after="40"/>
              <w:jc w:val="center"/>
            </w:pPr>
            <w:r>
              <w:rPr>
                <w:sz w:val="18"/>
              </w:rPr>
              <w:t>0</w:t>
            </w:r>
          </w:p>
        </w:tc>
      </w:tr>
      <w:tr>
        <w:tc>
          <w:tcPr>
            <w:tcW w:type="dxa" w:w="864"/>
          </w:tcPr>
          <w:p>
            <w:pPr>
              <w:spacing w:after="40"/>
              <w:jc w:val="left"/>
            </w:pPr>
            <w:r>
              <w:rPr>
                <w:sz w:val="18"/>
              </w:rPr>
              <w:t>4.000 ms</w:t>
            </w:r>
          </w:p>
        </w:tc>
        <w:tc>
          <w:tcPr>
            <w:tcW w:type="dxa" w:w="864"/>
          </w:tcPr>
          <w:p>
            <w:pPr>
              <w:spacing w:after="40"/>
              <w:jc w:val="center"/>
            </w:pPr>
            <w:r>
              <w:rPr>
                <w:sz w:val="18"/>
              </w:rPr>
              <w:t>432,6 ms</w:t>
            </w:r>
          </w:p>
        </w:tc>
        <w:tc>
          <w:tcPr>
            <w:tcW w:type="dxa" w:w="864"/>
          </w:tcPr>
          <w:p>
            <w:pPr>
              <w:spacing w:after="40"/>
              <w:jc w:val="center"/>
            </w:pPr>
            <w:r>
              <w:rPr>
                <w:sz w:val="18"/>
              </w:rPr>
              <w:t>4.433 ms</w:t>
            </w:r>
          </w:p>
        </w:tc>
        <w:tc>
          <w:tcPr>
            <w:tcW w:type="dxa" w:w="864"/>
          </w:tcPr>
          <w:p>
            <w:pPr>
              <w:spacing w:after="40"/>
              <w:jc w:val="center"/>
            </w:pPr>
            <w:r>
              <w:rPr>
                <w:sz w:val="18"/>
              </w:rPr>
              <w:t>1,35</w:t>
            </w:r>
          </w:p>
        </w:tc>
        <w:tc>
          <w:tcPr>
            <w:tcW w:type="dxa" w:w="864"/>
          </w:tcPr>
          <w:p>
            <w:pPr>
              <w:spacing w:after="40"/>
              <w:jc w:val="center"/>
            </w:pPr>
            <w:r>
              <w:rPr>
                <w:sz w:val="18"/>
              </w:rPr>
              <w:t>0,12</w:t>
            </w:r>
          </w:p>
        </w:tc>
        <w:tc>
          <w:tcPr>
            <w:tcW w:type="dxa" w:w="864"/>
          </w:tcPr>
          <w:p>
            <w:pPr>
              <w:spacing w:after="40"/>
              <w:jc w:val="center"/>
            </w:pPr>
            <w:r>
              <w:rPr>
                <w:sz w:val="18"/>
              </w:rPr>
              <w:t>11 %</w:t>
            </w:r>
          </w:p>
        </w:tc>
        <w:tc>
          <w:tcPr>
            <w:tcW w:type="dxa" w:w="864"/>
          </w:tcPr>
          <w:p>
            <w:pPr>
              <w:spacing w:after="40"/>
              <w:jc w:val="center"/>
            </w:pPr>
            <w:r>
              <w:rPr>
                <w:sz w:val="18"/>
              </w:rPr>
              <w:t>7,93 %</w:t>
            </w:r>
          </w:p>
        </w:tc>
        <w:tc>
          <w:tcPr>
            <w:tcW w:type="dxa" w:w="864"/>
          </w:tcPr>
          <w:p>
            <w:pPr>
              <w:spacing w:after="40"/>
              <w:jc w:val="center"/>
            </w:pPr>
            <w:r>
              <w:rPr>
                <w:sz w:val="18"/>
              </w:rPr>
              <w:t>7,93 %</w:t>
            </w:r>
          </w:p>
        </w:tc>
        <w:tc>
          <w:tcPr>
            <w:tcW w:type="dxa" w:w="864"/>
          </w:tcPr>
          <w:p>
            <w:pPr>
              <w:spacing w:after="40"/>
              <w:jc w:val="center"/>
            </w:pPr>
            <w:r>
              <w:rPr>
                <w:sz w:val="18"/>
              </w:rPr>
              <w:t>0</w:t>
            </w:r>
          </w:p>
        </w:tc>
        <w:tc>
          <w:tcPr>
            <w:tcW w:type="dxa" w:w="864"/>
          </w:tcPr>
          <w:p>
            <w:pPr>
              <w:spacing w:after="40"/>
              <w:jc w:val="center"/>
            </w:pPr>
            <w:r>
              <w:rPr>
                <w:sz w:val="18"/>
              </w:rPr>
              <w:t>0</w:t>
            </w:r>
          </w:p>
        </w:tc>
      </w:tr>
    </w:tbl>
    <w:p>
      <w:pPr>
        <w:spacing w:before="60" w:after="200"/>
      </w:pPr>
      <w:r>
        <w:rPr>
          <w:color w:val="606060"/>
          <w:sz w:val="17"/>
        </w:rPr>
        <w:t>Fallos: audios en los que el modelo agotó la longitud máxima de contexto y no llegó a producir transcripción; quedan fuera del WER y de las latencias. Anómalos: mismo criterio que en la tabla anterior, sobre los audios que sí se completaron.</w:t>
      </w:r>
    </w:p>
    <w:p>
      <w:r>
        <w:t>Qwen3-ASR se comporta al revés que Voxtral en casi todo. El crecimiento llega a 2,97 con bloques de 480 ms, o sea que el último tercio de la intervención se procesa casi tres veces más despacio que el primero, y va bajando de forma ordenada al ampliar el bloque, hasta 1,35 con cuatro segundos.</w:t>
      </w:r>
    </w:p>
    <w:p>
      <w:r>
        <w:t>La causa está en cómo implementa el streaming. La documentación del método streaming_transcribe dice expresamente que en cada paso añade el nuevo bloque al audio acumulado y vuelve a pasarle al modelo todo el audio recibido hasta ese momento. El coste crece de forma cuadrática con la duración de la intervención, y el efecto empeora cuanto más pequeño es el bloque, porque hay más reprocesados. Que el crecimiento baje según se amplía el bloque confirma este mecanismo.</w:t>
      </w:r>
    </w:p>
    <w:p>
      <w:r>
        <w:t>La tasa del 154,72 % con bloques de 480 ms no es un error de cálculo. Un solo audio de 122 segundos produjo 5.473 palabras frente a las 331 de su referencia, una salida dieciséis veces más larga que el original, con una tasa individual del 1.584 %. Si se excluye ese audio la tasa baja a 17,67 %, y descontando un segundo caso anómalo se queda en 11,73 %.</w:t>
      </w:r>
    </w:p>
    <w:p>
      <w:pPr>
        <w:spacing w:before="200" w:after="120"/>
      </w:pPr>
      <w:r>
        <w:rPr>
          <w:b/>
          <w:sz w:val="23"/>
        </w:rPr>
        <w:t>El techo de contexto y su relación con la latencia</w:t>
      </w:r>
    </w:p>
    <w:p>
      <w:r>
        <w:t>Como el prompt crece con el audio acumulado, Qwen3-ASR acaba chocando con la longitud máxima de secuencia que la memoria disponible permite reservar. En la GPU utilizada, con un presupuesto del 88 % de los 12 GB, los pesos del modelo ocupan 3,87 GB y el resto de estructuras dejan 3,05 GB para la caché de claves y valores, equivalentes a 28.560 tokens, lo que permitió fijar el límite en 24.576 tokens por petición. Con menos margen el motor ni siquiera arranca.</w:t>
      </w:r>
    </w:p>
    <w:p>
      <w:r>
        <w:t>El reparto de los fallos es muy claro. Con bloques de 480 ms fallaron tres audios, de 125, 128 y 130 segundos, y otros dos, de 123 y 134 segundos, llegaron al final pero con una salida degenerada. Con bloques de un segundo falló uno solo, de 131 segundos. Con dos y cuatro segundos no falló ninguno. Todos los incidentes están en las intervenciones más largas del conjunto, sin excepción, y aparecen con más frecuencia cuanto menor es la latencia que se pide.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jc w:val="left"/>
            </w:pPr>
            <w:r>
              <w:rPr>
                <w:b/>
                <w:sz w:val="18"/>
              </w:rPr>
              <w:t>Bloque</w:t>
            </w:r>
          </w:p>
        </w:tc>
        <w:tc>
          <w:tcPr>
            <w:tcW w:type="dxa" w:w="2880"/>
          </w:tcPr>
          <w:p>
            <w:pPr>
              <w:spacing w:after="40"/>
              <w:jc w:val="center"/>
            </w:pPr>
            <w:r>
              <w:rPr>
                <w:b/>
                <w:sz w:val="18"/>
              </w:rPr>
              <w:t>Audios con incidencia</w:t>
            </w:r>
          </w:p>
        </w:tc>
        <w:tc>
          <w:tcPr>
            <w:tcW w:type="dxa" w:w="2880"/>
          </w:tcPr>
          <w:p>
            <w:pPr>
              <w:spacing w:after="40"/>
              <w:jc w:val="center"/>
            </w:pPr>
            <w:r>
              <w:rPr>
                <w:b/>
                <w:sz w:val="18"/>
              </w:rPr>
              <w:t>Duraciones afectadas</w:t>
            </w:r>
          </w:p>
        </w:tc>
      </w:tr>
      <w:tr>
        <w:tc>
          <w:tcPr>
            <w:tcW w:type="dxa" w:w="2880"/>
          </w:tcPr>
          <w:p>
            <w:pPr>
              <w:spacing w:after="40"/>
              <w:jc w:val="left"/>
            </w:pPr>
            <w:r>
              <w:rPr>
                <w:sz w:val="18"/>
              </w:rPr>
              <w:t>480 ms</w:t>
            </w:r>
          </w:p>
        </w:tc>
        <w:tc>
          <w:tcPr>
            <w:tcW w:type="dxa" w:w="2880"/>
          </w:tcPr>
          <w:p>
            <w:pPr>
              <w:spacing w:after="40"/>
              <w:jc w:val="center"/>
            </w:pPr>
            <w:r>
              <w:rPr>
                <w:sz w:val="18"/>
              </w:rPr>
              <w:t>5 de 20</w:t>
            </w:r>
          </w:p>
        </w:tc>
        <w:tc>
          <w:tcPr>
            <w:tcW w:type="dxa" w:w="2880"/>
          </w:tcPr>
          <w:p>
            <w:pPr>
              <w:spacing w:after="40"/>
              <w:jc w:val="center"/>
            </w:pPr>
            <w:r>
              <w:rPr>
                <w:sz w:val="18"/>
              </w:rPr>
              <w:t>123, 125, 128, 130 y 134 s</w:t>
            </w:r>
          </w:p>
        </w:tc>
      </w:tr>
      <w:tr>
        <w:tc>
          <w:tcPr>
            <w:tcW w:type="dxa" w:w="2880"/>
          </w:tcPr>
          <w:p>
            <w:pPr>
              <w:spacing w:after="40"/>
              <w:jc w:val="left"/>
            </w:pPr>
            <w:r>
              <w:rPr>
                <w:sz w:val="18"/>
              </w:rPr>
              <w:t>1.000 ms</w:t>
            </w:r>
          </w:p>
        </w:tc>
        <w:tc>
          <w:tcPr>
            <w:tcW w:type="dxa" w:w="2880"/>
          </w:tcPr>
          <w:p>
            <w:pPr>
              <w:spacing w:after="40"/>
              <w:jc w:val="center"/>
            </w:pPr>
            <w:r>
              <w:rPr>
                <w:sz w:val="18"/>
              </w:rPr>
              <w:t>1 de 20</w:t>
            </w:r>
          </w:p>
        </w:tc>
        <w:tc>
          <w:tcPr>
            <w:tcW w:type="dxa" w:w="2880"/>
          </w:tcPr>
          <w:p>
            <w:pPr>
              <w:spacing w:after="40"/>
              <w:jc w:val="center"/>
            </w:pPr>
            <w:r>
              <w:rPr>
                <w:sz w:val="18"/>
              </w:rPr>
              <w:t>131 s</w:t>
            </w:r>
          </w:p>
        </w:tc>
      </w:tr>
      <w:tr>
        <w:tc>
          <w:tcPr>
            <w:tcW w:type="dxa" w:w="2880"/>
          </w:tcPr>
          <w:p>
            <w:pPr>
              <w:spacing w:after="40"/>
              <w:jc w:val="left"/>
            </w:pPr>
            <w:r>
              <w:rPr>
                <w:sz w:val="18"/>
              </w:rPr>
              <w:t>2.000 ms</w:t>
            </w:r>
          </w:p>
        </w:tc>
        <w:tc>
          <w:tcPr>
            <w:tcW w:type="dxa" w:w="2880"/>
          </w:tcPr>
          <w:p>
            <w:pPr>
              <w:spacing w:after="40"/>
              <w:jc w:val="center"/>
            </w:pPr>
            <w:r>
              <w:rPr>
                <w:sz w:val="18"/>
              </w:rPr>
              <w:t>0 de 20</w:t>
            </w:r>
          </w:p>
        </w:tc>
        <w:tc>
          <w:tcPr>
            <w:tcW w:type="dxa" w:w="2880"/>
          </w:tcPr>
          <w:p>
            <w:pPr>
              <w:spacing w:after="40"/>
              <w:jc w:val="center"/>
            </w:pPr>
            <w:r>
              <w:rPr>
                <w:sz w:val="18"/>
              </w:rPr>
              <w:t>—</w:t>
            </w:r>
          </w:p>
        </w:tc>
      </w:tr>
      <w:tr>
        <w:tc>
          <w:tcPr>
            <w:tcW w:type="dxa" w:w="2880"/>
          </w:tcPr>
          <w:p>
            <w:pPr>
              <w:spacing w:after="40"/>
              <w:jc w:val="left"/>
            </w:pPr>
            <w:r>
              <w:rPr>
                <w:sz w:val="18"/>
              </w:rPr>
              <w:t>4.000 ms</w:t>
            </w:r>
          </w:p>
        </w:tc>
        <w:tc>
          <w:tcPr>
            <w:tcW w:type="dxa" w:w="2880"/>
          </w:tcPr>
          <w:p>
            <w:pPr>
              <w:spacing w:after="40"/>
              <w:jc w:val="center"/>
            </w:pPr>
            <w:r>
              <w:rPr>
                <w:sz w:val="18"/>
              </w:rPr>
              <w:t>0 de 20</w:t>
            </w:r>
          </w:p>
        </w:tc>
        <w:tc>
          <w:tcPr>
            <w:tcW w:type="dxa" w:w="2880"/>
          </w:tcPr>
          <w:p>
            <w:pPr>
              <w:spacing w:after="40"/>
              <w:jc w:val="center"/>
            </w:pPr>
            <w:r>
              <w:rPr>
                <w:sz w:val="18"/>
              </w:rPr>
              <w:t>—</w:t>
            </w:r>
          </w:p>
        </w:tc>
      </w:tr>
    </w:tbl>
    <w:p>
      <w:pPr>
        <w:spacing w:before="60" w:after="200"/>
      </w:pPr>
      <w:r>
        <w:rPr>
          <w:color w:val="606060"/>
          <w:sz w:val="17"/>
        </w:rPr>
        <w:t>Se cuentan juntos los fallos por agotamiento de contexto y las salidas degeneradas. Ninguna intervención por debajo de 110 segundos dio problemas.</w:t>
      </w:r>
    </w:p>
    <w:p>
      <w:r>
        <w:t>La conclusión es que en Qwen3-ASR la latencia que se pide y la duración máxima que admite una intervención son dos cosas que tiran en sentidos opuestos. Bajar la latencia obliga a dar más pasos, y cada paso reprocesa todo lo acumulado y añade su salida al contexto, de modo que el límite se alcanza antes. En un demostrador en directo, donde no se sabe de antemano cuánto va a hablar el orador, esto es una restricción de fondo y no un parámetro que se pueda ajustar. Voxtral no tiene este compromiso: su consumo de memoria y su coste por fragmento son constantes, y podría transcribir de forma indefinida.</w:t>
      </w:r>
    </w:p>
    <w:p>
      <w:pPr>
        <w:spacing w:before="200" w:after="120"/>
      </w:pPr>
      <w:r>
        <w:rPr>
          <w:b/>
          <w:sz w:val="23"/>
        </w:rPr>
        <w:t>Comparación a igual latencia</w:t>
      </w:r>
    </w:p>
    <w:p>
      <w:r>
        <w:t>El único punto en el que los dos sistemas se pueden comparar en igualdad de condiciones es el de 480 ms de latencia algorítmica, que coincide con el valor nativo de Voxtral y es lo más bajo que alcanza Qwen3-ASR sin perder estabilidad.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after="40"/>
              <w:jc w:val="left"/>
            </w:pPr>
            <w:r>
              <w:rPr>
                <w:b/>
                <w:sz w:val="18"/>
              </w:rPr>
            </w:r>
          </w:p>
        </w:tc>
        <w:tc>
          <w:tcPr>
            <w:tcW w:type="dxa" w:w="2880"/>
          </w:tcPr>
          <w:p>
            <w:pPr>
              <w:spacing w:after="40"/>
              <w:jc w:val="center"/>
            </w:pPr>
            <w:r>
              <w:rPr>
                <w:b/>
                <w:sz w:val="18"/>
              </w:rPr>
              <w:t>Voxtral</w:t>
            </w:r>
          </w:p>
        </w:tc>
        <w:tc>
          <w:tcPr>
            <w:tcW w:type="dxa" w:w="2880"/>
          </w:tcPr>
          <w:p>
            <w:pPr>
              <w:spacing w:after="40"/>
              <w:jc w:val="center"/>
            </w:pPr>
            <w:r>
              <w:rPr>
                <w:b/>
                <w:sz w:val="18"/>
              </w:rPr>
              <w:t>Qwen3-ASR</w:t>
            </w:r>
          </w:p>
        </w:tc>
      </w:tr>
      <w:tr>
        <w:tc>
          <w:tcPr>
            <w:tcW w:type="dxa" w:w="2880"/>
          </w:tcPr>
          <w:p>
            <w:pPr>
              <w:spacing w:after="40"/>
              <w:jc w:val="left"/>
            </w:pPr>
            <w:r>
              <w:rPr>
                <w:sz w:val="18"/>
              </w:rPr>
              <w:t>Latencia algorítmica</w:t>
            </w:r>
          </w:p>
        </w:tc>
        <w:tc>
          <w:tcPr>
            <w:tcW w:type="dxa" w:w="2880"/>
          </w:tcPr>
          <w:p>
            <w:pPr>
              <w:spacing w:after="40"/>
              <w:jc w:val="center"/>
            </w:pPr>
            <w:r>
              <w:rPr>
                <w:sz w:val="18"/>
              </w:rPr>
              <w:t>480 ms</w:t>
            </w:r>
          </w:p>
        </w:tc>
        <w:tc>
          <w:tcPr>
            <w:tcW w:type="dxa" w:w="2880"/>
          </w:tcPr>
          <w:p>
            <w:pPr>
              <w:spacing w:after="40"/>
              <w:jc w:val="center"/>
            </w:pPr>
            <w:r>
              <w:rPr>
                <w:sz w:val="18"/>
              </w:rPr>
              <w:t>480 ms</w:t>
            </w:r>
          </w:p>
        </w:tc>
      </w:tr>
      <w:tr>
        <w:tc>
          <w:tcPr>
            <w:tcW w:type="dxa" w:w="2880"/>
          </w:tcPr>
          <w:p>
            <w:pPr>
              <w:spacing w:after="40"/>
              <w:jc w:val="left"/>
            </w:pPr>
            <w:r>
              <w:rPr>
                <w:sz w:val="18"/>
              </w:rPr>
              <w:t>Latencia computacional</w:t>
            </w:r>
          </w:p>
        </w:tc>
        <w:tc>
          <w:tcPr>
            <w:tcW w:type="dxa" w:w="2880"/>
          </w:tcPr>
          <w:p>
            <w:pPr>
              <w:spacing w:after="40"/>
              <w:jc w:val="center"/>
            </w:pPr>
            <w:r>
              <w:rPr>
                <w:sz w:val="18"/>
              </w:rPr>
              <w:t>67 ms</w:t>
            </w:r>
          </w:p>
        </w:tc>
        <w:tc>
          <w:tcPr>
            <w:tcW w:type="dxa" w:w="2880"/>
          </w:tcPr>
          <w:p>
            <w:pPr>
              <w:spacing w:after="40"/>
              <w:jc w:val="center"/>
            </w:pPr>
            <w:r>
              <w:rPr>
                <w:sz w:val="18"/>
              </w:rPr>
              <w:t>352 ms</w:t>
            </w:r>
          </w:p>
        </w:tc>
      </w:tr>
      <w:tr>
        <w:tc>
          <w:tcPr>
            <w:tcW w:type="dxa" w:w="2880"/>
          </w:tcPr>
          <w:p>
            <w:pPr>
              <w:spacing w:after="40"/>
              <w:jc w:val="left"/>
            </w:pPr>
            <w:r>
              <w:rPr>
                <w:sz w:val="18"/>
              </w:rPr>
              <w:t>Latencia total</w:t>
            </w:r>
          </w:p>
        </w:tc>
        <w:tc>
          <w:tcPr>
            <w:tcW w:type="dxa" w:w="2880"/>
          </w:tcPr>
          <w:p>
            <w:pPr>
              <w:spacing w:after="40"/>
              <w:jc w:val="center"/>
            </w:pPr>
            <w:r>
              <w:rPr>
                <w:sz w:val="18"/>
              </w:rPr>
              <w:t>547 ms</w:t>
            </w:r>
          </w:p>
        </w:tc>
        <w:tc>
          <w:tcPr>
            <w:tcW w:type="dxa" w:w="2880"/>
          </w:tcPr>
          <w:p>
            <w:pPr>
              <w:spacing w:after="40"/>
              <w:jc w:val="center"/>
            </w:pPr>
            <w:r>
              <w:rPr>
                <w:sz w:val="18"/>
              </w:rPr>
              <w:t>832 ms</w:t>
            </w:r>
          </w:p>
        </w:tc>
      </w:tr>
      <w:tr>
        <w:tc>
          <w:tcPr>
            <w:tcW w:type="dxa" w:w="2880"/>
          </w:tcPr>
          <w:p>
            <w:pPr>
              <w:spacing w:after="40"/>
              <w:jc w:val="left"/>
            </w:pPr>
            <w:r>
              <w:rPr>
                <w:sz w:val="18"/>
              </w:rPr>
              <w:t>Uso del bloque</w:t>
            </w:r>
          </w:p>
        </w:tc>
        <w:tc>
          <w:tcPr>
            <w:tcW w:type="dxa" w:w="2880"/>
          </w:tcPr>
          <w:p>
            <w:pPr>
              <w:spacing w:after="40"/>
              <w:jc w:val="center"/>
            </w:pPr>
            <w:r>
              <w:rPr>
                <w:sz w:val="18"/>
              </w:rPr>
              <w:t>64 %</w:t>
            </w:r>
          </w:p>
        </w:tc>
        <w:tc>
          <w:tcPr>
            <w:tcW w:type="dxa" w:w="2880"/>
          </w:tcPr>
          <w:p>
            <w:pPr>
              <w:spacing w:after="40"/>
              <w:jc w:val="center"/>
            </w:pPr>
            <w:r>
              <w:rPr>
                <w:sz w:val="18"/>
              </w:rPr>
              <w:t>73 %</w:t>
            </w:r>
          </w:p>
        </w:tc>
      </w:tr>
      <w:tr>
        <w:tc>
          <w:tcPr>
            <w:tcW w:type="dxa" w:w="2880"/>
          </w:tcPr>
          <w:p>
            <w:pPr>
              <w:spacing w:after="40"/>
              <w:jc w:val="left"/>
            </w:pPr>
            <w:r>
              <w:rPr>
                <w:sz w:val="18"/>
              </w:rPr>
              <w:t>Crecimiento</w:t>
            </w:r>
          </w:p>
        </w:tc>
        <w:tc>
          <w:tcPr>
            <w:tcW w:type="dxa" w:w="2880"/>
          </w:tcPr>
          <w:p>
            <w:pPr>
              <w:spacing w:after="40"/>
              <w:jc w:val="center"/>
            </w:pPr>
            <w:r>
              <w:rPr>
                <w:sz w:val="18"/>
              </w:rPr>
              <w:t>1,00</w:t>
            </w:r>
          </w:p>
        </w:tc>
        <w:tc>
          <w:tcPr>
            <w:tcW w:type="dxa" w:w="2880"/>
          </w:tcPr>
          <w:p>
            <w:pPr>
              <w:spacing w:after="40"/>
              <w:jc w:val="center"/>
            </w:pPr>
            <w:r>
              <w:rPr>
                <w:sz w:val="18"/>
              </w:rPr>
              <w:t>2,97</w:t>
            </w:r>
          </w:p>
        </w:tc>
      </w:tr>
      <w:tr>
        <w:tc>
          <w:tcPr>
            <w:tcW w:type="dxa" w:w="2880"/>
          </w:tcPr>
          <w:p>
            <w:pPr>
              <w:spacing w:after="40"/>
              <w:jc w:val="left"/>
            </w:pPr>
            <w:r>
              <w:rPr>
                <w:sz w:val="18"/>
              </w:rPr>
              <w:t>WER</w:t>
            </w:r>
          </w:p>
        </w:tc>
        <w:tc>
          <w:tcPr>
            <w:tcW w:type="dxa" w:w="2880"/>
          </w:tcPr>
          <w:p>
            <w:pPr>
              <w:spacing w:after="40"/>
              <w:jc w:val="center"/>
            </w:pPr>
            <w:r>
              <w:rPr>
                <w:sz w:val="18"/>
              </w:rPr>
              <w:t>9,69 %</w:t>
            </w:r>
          </w:p>
        </w:tc>
        <w:tc>
          <w:tcPr>
            <w:tcW w:type="dxa" w:w="2880"/>
          </w:tcPr>
          <w:p>
            <w:pPr>
              <w:spacing w:after="40"/>
              <w:jc w:val="center"/>
            </w:pPr>
            <w:r>
              <w:rPr>
                <w:sz w:val="18"/>
              </w:rPr>
              <w:t>154,72 %</w:t>
            </w:r>
          </w:p>
        </w:tc>
      </w:tr>
      <w:tr>
        <w:tc>
          <w:tcPr>
            <w:tcW w:type="dxa" w:w="2880"/>
          </w:tcPr>
          <w:p>
            <w:pPr>
              <w:spacing w:after="40"/>
              <w:jc w:val="left"/>
            </w:pPr>
            <w:r>
              <w:rPr>
                <w:sz w:val="18"/>
              </w:rPr>
              <w:t>WER sin anómalos</w:t>
            </w:r>
          </w:p>
        </w:tc>
        <w:tc>
          <w:tcPr>
            <w:tcW w:type="dxa" w:w="2880"/>
          </w:tcPr>
          <w:p>
            <w:pPr>
              <w:spacing w:after="40"/>
              <w:jc w:val="center"/>
            </w:pPr>
            <w:r>
              <w:rPr>
                <w:sz w:val="18"/>
              </w:rPr>
              <w:t>9,69 %</w:t>
            </w:r>
          </w:p>
        </w:tc>
        <w:tc>
          <w:tcPr>
            <w:tcW w:type="dxa" w:w="2880"/>
          </w:tcPr>
          <w:p>
            <w:pPr>
              <w:spacing w:after="40"/>
              <w:jc w:val="center"/>
            </w:pPr>
            <w:r>
              <w:rPr>
                <w:sz w:val="18"/>
              </w:rPr>
              <w:t>11,73 %</w:t>
            </w:r>
          </w:p>
        </w:tc>
      </w:tr>
      <w:tr>
        <w:tc>
          <w:tcPr>
            <w:tcW w:type="dxa" w:w="2880"/>
          </w:tcPr>
          <w:p>
            <w:pPr>
              <w:spacing w:after="40"/>
              <w:jc w:val="left"/>
            </w:pPr>
            <w:r>
              <w:rPr>
                <w:sz w:val="18"/>
              </w:rPr>
              <w:t>Audios con incidencia</w:t>
            </w:r>
          </w:p>
        </w:tc>
        <w:tc>
          <w:tcPr>
            <w:tcW w:type="dxa" w:w="2880"/>
          </w:tcPr>
          <w:p>
            <w:pPr>
              <w:spacing w:after="40"/>
              <w:jc w:val="center"/>
            </w:pPr>
            <w:r>
              <w:rPr>
                <w:sz w:val="18"/>
              </w:rPr>
              <w:t>0 de 20</w:t>
            </w:r>
          </w:p>
        </w:tc>
        <w:tc>
          <w:tcPr>
            <w:tcW w:type="dxa" w:w="2880"/>
          </w:tcPr>
          <w:p>
            <w:pPr>
              <w:spacing w:after="40"/>
              <w:jc w:val="center"/>
            </w:pPr>
            <w:r>
              <w:rPr>
                <w:sz w:val="18"/>
              </w:rPr>
              <w:t>5 de 20</w:t>
            </w:r>
          </w:p>
        </w:tc>
      </w:tr>
    </w:tbl>
    <w:p>
      <w:pPr>
        <w:spacing w:after="80"/>
      </w:pPr>
    </w:p>
    <w:p>
      <w:r>
        <w:t>A igual latencia algorítmica, Voxtral consume cinco veces menos tiempo de cómputo por fragmento, da una latencia total bastante menor y no produce ni una transcripción defectuosa, mientras que Qwen3-ASR falla o degenera en la cuarta parte del conjunto. Incluso comparando solo los audios en los que Qwen3-ASR funciona bien, Voxtral mantiene una ventaja de dos puntos. El resultado da la vuelta a la conclusión del estudio offline, donde los dos modelos aparecían empatados en precisión.</w:t>
      </w:r>
    </w:p>
    <w:p>
      <w:r>
        <w:t>Es especialmente interesante combinar el uso del bloque con el crecimiento, porque juntos dicen si un sistema puede aguantar el tiempo real de forma indefinida. Voxtral parte del 64 % del bloque y ahí se queda, así que nunca acumula retraso. Qwen3-ASR parte del 73 % y triplica su coste a lo largo de la intervención, con lo que pasa del 100 % antes de terminar una intervención larga y empieza a quedarse atrás. Dicho de otro modo, Qwen3-ASR a 480 ms solo aguanta el tiempo real en intervenciones cortas.</w:t>
      </w:r>
    </w:p>
    <w:p>
      <w:r>
        <w:t>También llama la atención que el RTF ordene los modelos justo al revés que la latencia. Qwen3-ASR tiene mejor RTF en tres de sus cuatro configuraciones, entre 0,12 y 0,33 frente al 0,83 de Voxtral, y sin embargo su latencia siempre es mayor. La explicación es que Qwen3-ASR gasta poco tiempo de cómputo pero tiene que esperar a acumular bloques grandes antes de emitir, mientras que Voxtral trabaja casi de continuo sobre fragmentos de 105 ms. Esto demuestra que el RTF no es una medida adecuada para sistemas en tiempo real.</w:t>
      </w:r>
    </w:p>
    <w:p>
      <w:pPr>
        <w:spacing w:before="200" w:after="120"/>
      </w:pPr>
      <w:r>
        <w:rPr>
          <w:b/>
          <w:sz w:val="23"/>
        </w:rPr>
        <w:t>Condicionantes del montaje experimental</w:t>
      </w:r>
    </w:p>
    <w:p>
      <w:r>
        <w:t>El modo streaming de Qwen3-ASR solo funciona con el motor vLLM, que no tiene soporte oficial en Windows, así que hubo que montar una distribución Linux sobre WSL2. Los dos modelos se ejecutaron finalmente en ese entorno para que la comparación fuera homogénea, aunque Voxtral funciona sobre Windows de forma nativa. Además hizo falta mantener dos instalaciones separadas, porque qwen-asr fija transformers en la versión 4.57.6 mientras que Voxtral necesita la rama 5.x.</w:t>
      </w:r>
    </w:p>
    <w:p>
      <w:r>
        <w:t>Lo que más ha influido en los resultados es el presupuesto de memoria de vLLM. El motor reserva por adelantado una parte de la memoria de vídeo, descuenta pesos, activaciones y grafos de ejecución, y dedica lo que queda a la caché de claves y valores, exigiendo poder atender una petición de la longitud máxima declarada. En la tarjeta utilizada eso dejó 3,05 GB, lo que permitió fijar el límite en 24.576 tokens; con el valor por defecto de 65.536 el motor ni arranca. Ese límite es justamente el que marca el techo de contexto analizado antes, y no va sobrado: los desbordamientos en las intervenciones largas obligaron a cambiar el procedimiento para que un fallo puntual quedara registrado sin invalidar el barrido entero.</w:t>
      </w:r>
    </w:p>
    <w:p>
      <w:r>
        <w:t>Queda por señalar una asimetría del montaje. Al ejecutarse bajo WSL2, vLLM renuncia a usar memoria anclada en las transferencias entre procesador y GPU, lo que penaliza la latencia computacional de Qwen3-ASR; Voxtral no se ve afectado. No parece que esto cambie las conclusiones, porque las diferencias observadas son mucho mayores, pero conviene tenerlo presente.</w:t>
      </w:r>
    </w:p>
    <w:p>
      <w:pPr>
        <w:spacing w:before="200" w:after="120"/>
      </w:pPr>
      <w:r>
        <w:rPr>
          <w:b/>
          <w:sz w:val="23"/>
        </w:rPr>
        <w:t>Limitaciones</w:t>
      </w:r>
    </w:p>
    <w:p>
      <w:r>
        <w:t>El conjunto de evaluación son veinte intervenciones y 4.789 palabras de referencia, suficiente para ver las tendencias descritas pero escaso para dar cifras definitivas. Un solo audio defectuoso mueve la tasa global varios puntos, y por eso se acompaña siempre el recuento de incidencias junto a la tasa depurada.</w:t>
      </w:r>
    </w:p>
    <w:p>
      <w:r>
        <w:t>La evaluación se limita al castellano. Los estudios offline anteriores mostraron diferencias apreciables entre idiomas en los dos modelos, así que no se pueden extrapolar estos resultados sin repetir el experimento sobre los demás conjuntos.</w:t>
      </w:r>
    </w:p>
    <w:p>
      <w:r>
        <w:t>Las medidas de latencia computacional corresponden a una RTX 3060 de 12 GB bajo WSL2. La latencia algorítmica no depende del equipo, pero la computacional, el uso del bloque y, por tanto, la capacidad de aguantar el tiempo real mejorarían con hardware mejor. En cambio, las conclusiones sobre el crecimiento y el techo de contexto vienen de la arquitectura de cada modelo y no del equipo utilizado.</w:t>
      </w:r>
    </w:p>
    <w:p>
      <w:pPr>
        <w:spacing w:before="200" w:after="120"/>
      </w:pPr>
      <w:r>
        <w:rPr>
          <w:b/>
          <w:sz w:val="23"/>
        </w:rPr>
        <w:t>Conclusiones</w:t>
      </w:r>
    </w:p>
    <w:p>
      <w:r>
        <w:t>La primera conclusión es de método. El factor de tiempo real y la latencia no solo son cosas distintas, sino que con estos datos ordenan los modelos al revés. Para valorar un sistema de transcripción en directo hay que fijarse en la latencia y comparar a igual régimen; el RTF por sí solo habría llevado a recomendar justo lo contrario de lo correcto.</w:t>
      </w:r>
    </w:p>
    <w:p>
      <w:r>
        <w:t>La segunda es de arquitectura y explica todo lo demás. Voxtral mantiene un estado incremental real, con coste y memoria constantes por fragmento. Qwen3-ASR reprocesa en cada paso el audio acumulado, así que su coste crece dentro de la propia intervención y su contexto acaba agotándose. Las dos consecuencias empeoran precisamente al bajar la latencia, que es el régimen que interesa en tiempo real.</w:t>
      </w:r>
    </w:p>
    <w:p>
      <w:r>
        <w:t>La tercera es la de mayor alcance práctico. No basta con que la latencia computacional quepa en el bloque de audio: hace falta que siga cabiendo al final de la intervención. Voxtral consume el 64 % de cada bloque y no se deteriora, así que aguanta el tiempo real indefinidamente. Qwen3-ASR a 480 ms parte del 73 % y triplica su coste, con lo que se sale del presupuesto antes de acabar una intervención larga. El uso del bloque multiplicado por el crecimiento dice más que cualquiera de los dos por separado.</w:t>
      </w:r>
    </w:p>
    <w:p>
      <w:r>
        <w:t>La cuarta es de rendimiento. A 480 ms Voxtral obtiene un 9,69 % de WER sin ninguna incidencia, frente a un 11,73 % de Qwen3-ASR sobre los audios en los que funciona, y con cinco fallos o degeneraciones de veinte. El mejor resultado de Voxtral, 7,41 %, se consigue con 960 ms, todavía por debajo del segundo de latencia.</w:t>
      </w:r>
    </w:p>
    <w:p>
      <w:r>
        <w:t>La quinta matiza las anteriores a favor de Qwen3-ASR. Con bloques de uno a cuatro segundos su comportamiento es impecable, con tasas entre 7,93 % y 8,90 %, sin incidencias y con un RTF muy por debajo del de Voxtral. Es, por tanto, un sistema excelente cuando la latencia admisible se mide en segundos, que parece ser el escenario para el que está pensado. Su debilidad aparece solo cuando se le piden latencias por debajo del segundo.</w:t>
      </w:r>
    </w:p>
    <w:p>
      <w:r>
        <w:t>Voxtral tiene también su punto débil: solo se comporta de forma fiable entre 480 y 960 ms, y fuera de esa banda genera transcripciones truncadas. Su retardo no es, por tanto, un parámetro que se pueda ajustar libremente, sino una propiedad que viene del entrenamiento.</w:t>
      </w:r>
    </w:p>
    <w:p>
      <w:r>
        <w:t>La sexta conclusión es operativa. Las dificultades para poner en marcha Voxtral fueron de versiones, que se resuelven una vez y no vuelven. Las de Qwen3-ASR son de recursos: el ajuste entre memoria disponible, longitud de contexto y duración de la intervención no tiene solución definitiva y hay que rehacerlo cada vez que se alargan las intervenciones o se reduce la latencia objetivo. Para un demostrador que debe funcionar solo, esa diferencia pesa tanto como las cifras de latencia.</w:t>
      </w:r>
    </w:p>
    <w:p>
      <w:r>
        <w:t>De todo lo anterior se concluye que Voxtral es el candidato adecuado para el demostrador de transcripción en tiempo real previsto en este trabajo, usándolo en su banda nativa de 480 a 960 ms, donde da latencia por debajo del segundo, una tasa de error en torno al 8 % y un coste constante que se puede sostener indefinidamente. Antes de dar estas cifras por definitivas conviene comprobar el comportamiento con intervenciones bastante más largas de dos minutos, ver si el margen del 36 % de tiempo real se mantiene con más carga en el equipo, averiguar por qué aparecen los truncamientos fuera de la banda nativa y extender la evaluación a los demás idiomas.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