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line="360"/>
        <w:jc w:val="center"/>
      </w:pPr>
      <w:r>
        <w:rPr>
          <w:rFonts w:ascii="Arial" w:cs="Arial" w:eastAsia="Arial" w:hAnsi="Arial"/>
          <w:b/>
          <w:bCs/>
          <w:sz w:val="24"/>
          <w:szCs w:val="24"/>
        </w:rPr>
        <w:t xml:space="preserve">I. INTRODUCCIÓN</w:t>
      </w:r>
    </w:p>
    <w:p>
      <w:pPr>
        <w:spacing w:after="0" w:before="0" w:line="360"/>
        <w:ind w:firstLine="709"/>
        <w:jc w:val="both"/>
      </w:pPr>
      <w:r>
        <w:rPr>
          <w:rFonts w:ascii="Arial" w:cs="Arial" w:eastAsia="Arial" w:hAnsi="Arial"/>
          <w:sz w:val="24"/>
          <w:szCs w:val="24"/>
        </w:rPr>
        <w:t xml:space="preserve">En la última década, la relación entre las organizaciones y sus clientes experimentó una transformación profunda impulsada por la digitalización de los canales de contacto, la expansión de la mensajería instantánea y la irrupción de la inteligencia artificial conversacional. Los consumidores comenzaron a interactuar con las empresas a cualquier hora y desde múltiples plataformas, lo que elevó sus expectativas de inmediatez, personalización y resolución en el primer contacto. Frente a esta presión, los sistemas de gestión de relaciones con clientes, concebidos originalmente como repositorios de información comercial y herramientas de seguimiento del ciclo de ventas, se vieron obligados a evolucionar hacia plataformas capaces de responder, recomendar y cerrar transacciones de manera autónoma. En ese tránsito, la incorporación de agentes de respuesta basados en inteligencia artificial se configuró como una de las innovaciones de mayor potencial y, al mismo tiempo, como uno de los fenómenos menos comprendidos desde la evidencia empírica, particularmente en economías emergentes.</w:t>
      </w:r>
    </w:p>
    <w:p>
      <w:pPr>
        <w:spacing w:after="0" w:before="0" w:line="360"/>
        <w:ind w:firstLine="709"/>
        <w:jc w:val="both"/>
      </w:pPr>
      <w:r>
        <w:rPr>
          <w:rFonts w:ascii="Arial" w:cs="Arial" w:eastAsia="Arial" w:hAnsi="Arial"/>
          <w:sz w:val="24"/>
          <w:szCs w:val="24"/>
        </w:rPr>
        <w:t xml:space="preserve">A nivel internacional, la magnitud económica del fenómeno quedó documentada en diversos informes de referencia. Gartner (2022) estimó que existían aproximadamente diecisiete millones de agentes de centros de contacto en el mundo, que los costos laborales podían representar hasta el noventa y cinco por ciento de los costos totales de dichos centros y que la proporción de interacciones automatizadas mediante inteligencia artificial pasaría de alrededor del 1,6 % a una de cada diez interacciones hacia 2026, con una reducción proyectada de ochenta mil millones de dólares en costos laborales de agentes. En una línea convergente, Chui et al. (2023) estimaron que la inteligencia artificial generativa podría aportar entre 2,6 y 4,4 billones de dólares anuales a la economía mundial y que cerca del setenta y cinco por ciento de ese valor se concentraría en cuatro áreas funcionales, entre las cuales figuraron precisamente las operaciones de atención al cliente y las funciones de marketing y ventas. Estas cifras evidenciaron que la atención al cliente y la gestión comercial se convirtieron en el principal frente de aplicación empresarial de la inteligencia artificial, lo que justificó el interés creciente de la comunidad científica por medir sus efectos reales sobre el desempeño organizacional.</w:t>
      </w:r>
    </w:p>
    <w:p>
      <w:pPr>
        <w:spacing w:after="0" w:before="0" w:line="360"/>
        <w:ind w:firstLine="709"/>
        <w:jc w:val="both"/>
      </w:pPr>
      <w:r>
        <w:rPr>
          <w:rFonts w:ascii="Arial" w:cs="Arial" w:eastAsia="Arial" w:hAnsi="Arial"/>
          <w:sz w:val="24"/>
          <w:szCs w:val="24"/>
        </w:rPr>
        <w:t xml:space="preserve">No obstante, la evidencia científica internacional mostró resultados heterogéneos que impidieron asumir un efecto positivo automático. Por un lado, Brynjolfsson, Li y Raymond (2025), a partir del estudio de 5179 agentes de atención al cliente, demostraron que el acceso a un asistente conversacional basado en inteligencia artificial generativa incrementó en promedio un catorce por ciento el número de casos resueltos por hora, con mejoras de hasta treinta y cuatro por ciento en los trabajadores novatos y de menor calificación. Por otro lado, Luo et al. (2019), mediante un experimento de campo con clientes de una empresa de servicios financieros, encontraron que los agentes conversacionales no revelados resultaron tan eficaces como los vendedores competentes para generar compras, pero que la revelación de su naturaleza artificial antes de la conversación redujo drásticamente las tasas de compra, debido a la percepción de menor empatía y conocimiento. Asimismo, Hsu y Lin (2023) evidenciaron que la satisfacción y la lealtad hacia los agentes conversacionales de servicio dependían de la calidad de la conversación y de la capacidad de recuperación ante fallas, de modo que una implementación deficiente podía deteriorar la experiencia del cliente en lugar de mejorarla. Esta tensión entre eficiencia operativa y aceptación del cliente constituyó una inconsistencia teórica relevante, en la medida en que los modelos clásicos de adopción tecnológica no explicaron por completo por qué una misma tecnología podía elevar la productividad y, al mismo tiempo, reducir la disposición a comprar.</w:t>
      </w:r>
    </w:p>
    <w:p>
      <w:pPr>
        <w:spacing w:after="0" w:before="0" w:line="360"/>
        <w:ind w:firstLine="709"/>
        <w:jc w:val="both"/>
      </w:pPr>
      <w:r>
        <w:rPr>
          <w:rFonts w:ascii="Arial" w:cs="Arial" w:eastAsia="Arial" w:hAnsi="Arial"/>
          <w:sz w:val="24"/>
          <w:szCs w:val="24"/>
        </w:rPr>
        <w:t xml:space="preserve">En el plano regional, América Latina avanzó de manera desigual en la preparación para la inteligencia artificial. El Índice Latinoamericano de Inteligencia Artificial, elaborado por la Comisión Económica para América Latina y el Caribe junto con el Centro Nacional de Inteligencia Artificial de Chile, evaluó a diecinueve países de la región en las dimensiones de factores habilitantes, investigación, desarrollo y adopción, y gobernanza, y mostró que la región transitaba desde la creación de condiciones habilitantes hacia la adopción efectiva de la tecnología en los sectores productivos (CEPAL, 2026). En ese contexto, la producción científica regional sobre agentes conversacionales en la atención al cliente se mantuvo escasa y concentrada en estudios de percepción. Ramos De Santis (2024), en un estudio aplicado a 1250 usuarios de empresas logísticas líderes de Colombia, Perú y Ecuador, identificó que la capacidad de resolver problemas, el conocimiento detallado de la empresa, la autonomía en la resolución, la corrección gramatical y la reputación explicaron el 75,12 % de la varianza de la satisfacción del cliente, lo que confirmó que la calidad funcional del agente era determinante, pero dejó abierta la cuestión de su efecto sobre los indicadores comerciales.</w:t>
      </w:r>
    </w:p>
    <w:p>
      <w:pPr>
        <w:spacing w:after="0" w:before="0" w:line="360"/>
        <w:ind w:firstLine="709"/>
        <w:jc w:val="both"/>
      </w:pPr>
      <w:r>
        <w:rPr>
          <w:rFonts w:ascii="Arial" w:cs="Arial" w:eastAsia="Arial" w:hAnsi="Arial"/>
          <w:sz w:val="24"/>
          <w:szCs w:val="24"/>
        </w:rPr>
        <w:t xml:space="preserve">A nivel nacional, el Perú mostró avances institucionales significativos. Según el Índice Latinoamericano de Inteligencia Artificial, el país ascendió de la octava posición, con 45,52 puntos en 2024, a la séptima posición, con 51,93 puntos en 2025, sobre una escala de cien (El Peruano, 2026). En el plano normativo, el Perú se convirtió en uno de los primeros países de la región en contar con un marco legal específico, mediante la Ley N.° 31814, que promueve el uso de la inteligencia artificial en favor del desarrollo económico y social del país (Congreso de la República del Perú, 2023), cuyo reglamento fue aprobado por el Decreto Supremo N.° 115-2025-PCM y entró en vigencia en enero de 2026 (Presidencia del Consejo de Ministros, 2025). Este marco estableció principios de uso responsable, ético, seguro y transparente de la inteligencia artificial en los sectores público y privado, lo que generó un entorno favorable, aunque también nuevas exigencias, para las empresas que decidieran automatizar la interacción con sus clientes. Sin embargo, la adopción empresarial de agentes de respuesta inteligentes integrados a los sistemas de gestión de relaciones con clientes no fue acompañada de una medición sistemática de sus resultados. Los estudios nacionales disponibles, como la revisión sistemática de Rojas Ahumada, López Zavaleta y Mendoza de los Santos (2023) y la revisión de literatura de Casazola Cruz et al. (2021), sintetizaron beneficios potenciales en la atención al cliente y en la usabilidad percibida, pero reconocieron la falta de estudios empíricos con mediciones objetivas de tiempo de respuesta, conversión comercial y eficiencia operativa en organizaciones peruanas.</w:t>
      </w:r>
    </w:p>
    <w:p>
      <w:pPr>
        <w:spacing w:after="0" w:before="0" w:line="360"/>
        <w:ind w:firstLine="709"/>
        <w:jc w:val="both"/>
      </w:pPr>
      <w:r>
        <w:rPr>
          <w:rFonts w:ascii="Arial" w:cs="Arial" w:eastAsia="Arial" w:hAnsi="Arial"/>
          <w:sz w:val="24"/>
          <w:szCs w:val="24"/>
        </w:rPr>
        <w:t xml:space="preserve">En el ámbito específico de las organizaciones que operan sistemas de gestión de relaciones con clientes en el país, la problemática se manifestó en un conjunto de síntomas recurrentes: la saturación de los canales digitales en horarios de alta demanda, la pérdida de oportunidades comerciales por respuestas tardías, la atención fragmentada entre canales, la dependencia de personal para responder consultas repetitivas y el subaprovechamiento de la información histórica del cliente almacenada en el propio sistema. Estas condiciones generaron una brecha entre la capacidad tecnológica disponible y su aprovechamiento real, pues los sistemas registraban grandes volúmenes de interacciones sin convertirlas en respuestas oportunas ni en ventas. Desde los criterios de identificación de vacíos de conocimiento, el problema presentó, en consecuencia, cuatro dimensiones: un vacío empírico, por la ausencia de estudios cuantitativos en el contexto peruano; una inconsistencia teórica, por los resultados contradictorios entre eficiencia y aceptación del cliente; una desactualización, dado que buena parte de la literatura se basó en agentes conversacionales de reglas previos a los modelos de lenguaje generativos; y una falta de contextualización, por cuanto la mayoría de los hallazgos provino de mercados de Asia, Europa y Norteamérica con condiciones culturales y de digitalización distintas.</w:t>
      </w:r>
    </w:p>
    <w:p>
      <w:pPr>
        <w:spacing w:after="0" w:before="0" w:line="360"/>
        <w:ind w:firstLine="709"/>
        <w:jc w:val="both"/>
      </w:pPr>
      <w:r>
        <w:rPr>
          <w:rFonts w:ascii="Arial" w:cs="Arial" w:eastAsia="Arial" w:hAnsi="Arial"/>
          <w:sz w:val="24"/>
          <w:szCs w:val="24"/>
        </w:rPr>
        <w:t xml:space="preserve">Esta problemática se vinculó directamente con la Agenda 2030 para el Desarrollo Sostenible (Naciones Unidas, 2015). De manera principal, la investigación contribuyó al Objetivo de Desarrollo Sostenible 9, Industria, innovación e infraestructura, y en particular a su meta 9.5, orientada a aumentar la investigación científica y mejorar la capacidad tecnológica de los sectores industriales, así como a su meta 9.c, dirigida a ampliar el acceso a las tecnologías de la información y las comunicaciones. De manera complementaria, el estudio aportó al Objetivo de Desarrollo Sostenible 8, Trabajo decente y crecimiento económico, especialmente a su meta 8.2, que propuso lograr niveles más elevados de productividad económica mediante la diversificación, la modernización tecnológica y la innovación, y a su meta 8.3, que promovió el crecimiento de las micro, pequeñas y medianas empresas. La brecha existente residió en que, pese al reconocimiento de la inteligencia artificial como palanca de productividad, no se dispuso de evidencia nacional que cuantificara su contribución en los procesos de atención y venta, lo que limitó la formulación de políticas de transformación digital empresarial basadas en evidencia.</w:t>
      </w:r>
    </w:p>
    <w:p>
      <w:pPr>
        <w:spacing w:after="0" w:before="0" w:line="360"/>
        <w:ind w:firstLine="709"/>
        <w:jc w:val="both"/>
      </w:pPr>
      <w:r>
        <w:rPr>
          <w:rFonts w:ascii="Arial" w:cs="Arial" w:eastAsia="Arial" w:hAnsi="Arial"/>
          <w:sz w:val="24"/>
          <w:szCs w:val="24"/>
        </w:rPr>
        <w:t xml:space="preserve">A partir de lo expuesto, se formuló el siguiente problema general de investigación: ¿cuál es el efecto de la implementación de un agente de respuesta basado en inteligencia artificial, integrado a un sistema de gestión de relaciones con clientes, sobre la atención al cliente y las ventas en empresas del Perú durante 2026? De esta pregunta se desprendieron cuatro problemas específicos. El primero indagó cuál es el efecto de la implementación del agente de respuesta sobre el tiempo de respuesta al cliente; el segundo, cuál es su efecto sobre el nivel de satisfacción del cliente; el tercero, cuál es su efecto sobre la tasa de conversión comercial; y el cuarto, cuál es su efecto sobre la eficiencia operativa del proceso de atención, entendida como la proporción de consultas resueltas sin intervención humana y el volumen de casos atendidos por unidad de tiempo.</w:t>
      </w:r>
    </w:p>
    <w:p>
      <w:pPr>
        <w:spacing w:after="0" w:before="0" w:line="360"/>
        <w:ind w:firstLine="709"/>
        <w:jc w:val="both"/>
      </w:pPr>
      <w:r>
        <w:rPr>
          <w:rFonts w:ascii="Arial" w:cs="Arial" w:eastAsia="Arial" w:hAnsi="Arial"/>
          <w:sz w:val="24"/>
          <w:szCs w:val="24"/>
        </w:rPr>
        <w:t xml:space="preserve">La investigación se justificó, en primer lugar, desde el punto de vista teórico, porque contrastó en un contexto latinoamericano los postulados del modelo de aceptación tecnológica, del modelo de éxito de los sistemas de información y de la teoría de la inteligencia artificial en los servicios, con el propósito de explicar si la calidad del agente de respuesta se tradujo en beneficios netos medibles para la organización y el cliente. Con ello, el estudio buscó aportar a la resolución de la inconsistencia teórica entre eficiencia operativa y aceptación del cliente identificada en la literatura internacional, e incorporó al análisis los agentes basados en modelos de lenguaje generativos, aún poco estudiados.</w:t>
      </w:r>
    </w:p>
    <w:p>
      <w:pPr>
        <w:spacing w:after="0" w:before="0" w:line="360"/>
        <w:ind w:firstLine="709"/>
        <w:jc w:val="both"/>
      </w:pPr>
      <w:r>
        <w:rPr>
          <w:rFonts w:ascii="Arial" w:cs="Arial" w:eastAsia="Arial" w:hAnsi="Arial"/>
          <w:sz w:val="24"/>
          <w:szCs w:val="24"/>
        </w:rPr>
        <w:t xml:space="preserve">En segundo lugar, desde el punto de vista práctico, el estudio ofreció a las organizaciones que gestionan relaciones con clientes evidencia objetiva para decidir la implementación de agentes de respuesta inteligentes, así como un conjunto de indicadores operativos y comerciales para evaluar su desempeño. Los resultados permitieron identificar en qué procesos la automatización generó valor y en cuáles la intervención humana continuó siendo indispensable, lo que contribuyó a diseñar modelos híbridos de atención. Para la organización en la que se desarrolló el estudio, cuya identidad se mantuvo en reserva conforme a los lineamientos de anonimato institucional, el trabajo proporcionó un diagnóstico de línea base y una medición posterior que sirvieron como insumo para la toma de decisiones.</w:t>
      </w:r>
    </w:p>
    <w:p>
      <w:pPr>
        <w:spacing w:after="0" w:before="0" w:line="360"/>
        <w:ind w:firstLine="709"/>
        <w:jc w:val="both"/>
      </w:pPr>
      <w:r>
        <w:rPr>
          <w:rFonts w:ascii="Arial" w:cs="Arial" w:eastAsia="Arial" w:hAnsi="Arial"/>
          <w:sz w:val="24"/>
          <w:szCs w:val="24"/>
        </w:rPr>
        <w:t xml:space="preserve">En tercer lugar, desde el punto de vista metodológico, la investigación aportó un procedimiento replicable para medir el efecto de un agente de respuesta inteligente mediante la combinación de datos objetivos extraídos de los registros del sistema de gestión de relaciones con clientes, como tiempos de primera respuesta, conversiones y casos resueltos, con instrumentos de satisfacción del cliente sometidos a validación y confiabilidad. Esta combinación superó una limitación frecuente de los antecedentes, que se apoyaron mayoritariamente en encuestas de percepción o intención de uso y no en el comportamiento efectivo del cliente.</w:t>
      </w:r>
    </w:p>
    <w:p>
      <w:pPr>
        <w:spacing w:after="0" w:before="0" w:line="360"/>
        <w:ind w:firstLine="709"/>
        <w:jc w:val="both"/>
      </w:pPr>
      <w:r>
        <w:rPr>
          <w:rFonts w:ascii="Arial" w:cs="Arial" w:eastAsia="Arial" w:hAnsi="Arial"/>
          <w:sz w:val="24"/>
          <w:szCs w:val="24"/>
        </w:rPr>
        <w:t xml:space="preserve">En cuarto lugar, desde el punto de vista social, el estudio se justificó porque la mejora en la oportunidad y la calidad de la atención benefició directamente a los clientes, quienes obtuvieron respuestas inmediatas y disponibles en todo horario, y porque la liberación de tareas repetitivas permitió reorientar al personal hacia actividades de mayor valor, en concordancia con el trabajo decente promovido por el Objetivo de Desarrollo Sostenible 8. Adicionalmente, la investigación ofreció evidencia útil para la implementación del reglamento de la Ley N.° 31814, al documentar prácticas de uso responsable y transparente de la inteligencia artificial en la relación con los consumidores, y aportó al campo disciplinar de la ingeniería de sistemas y la gestión comercial un caso de integración tecnológica medido con rigor.</w:t>
      </w:r>
    </w:p>
    <w:p>
      <w:pPr>
        <w:spacing w:after="0" w:before="0" w:line="360"/>
        <w:ind w:firstLine="709"/>
        <w:jc w:val="both"/>
      </w:pPr>
      <w:r>
        <w:rPr>
          <w:rFonts w:ascii="Arial" w:cs="Arial" w:eastAsia="Arial" w:hAnsi="Arial"/>
          <w:sz w:val="24"/>
          <w:szCs w:val="24"/>
        </w:rPr>
        <w:t xml:space="preserve">En coherencia con el problema planteado, el objetivo general de la investigación fue determinar el efecto de la implementación de un agente de respuesta basado en inteligencia artificial, integrado a un sistema de gestión de relaciones con clientes, sobre la atención al cliente y las ventas en empresas del Perú durante 2026. Para alcanzarlo, se plantearon cuatro objetivos específicos: determinar el efecto de la implementación del agente de respuesta sobre el tiempo de respuesta al cliente; determinar su efecto sobre el nivel de satisfacción del cliente; determinar su efecto sobre la tasa de conversión comercial; y determinar su efecto sobre la eficiencia operativa del proceso de atención.</w:t>
      </w:r>
    </w:p>
    <w:p>
      <w:pPr>
        <w:spacing w:after="0" w:before="0" w:line="360"/>
        <w:ind w:firstLine="709"/>
        <w:jc w:val="both"/>
      </w:pPr>
      <w:r>
        <w:rPr>
          <w:rFonts w:ascii="Arial" w:cs="Arial" w:eastAsia="Arial" w:hAnsi="Arial"/>
          <w:sz w:val="24"/>
          <w:szCs w:val="24"/>
        </w:rPr>
        <w:t xml:space="preserve">Con el fin de fundamentar el estudio, se revisó la literatura científica internacional y nacional publicada principalmente en revistas indexadas en Scopus y Web of Science durante los últimos cinco años. En relación con la integración de la inteligencia artificial en los sistemas de gestión de relaciones con clientes, Ledro, Nosella y Vinelli (2022) realizaron una revisión de literatura en la que identificaron que la investigación se había concentrado en la gestión de grandes volúmenes de datos, en la integración de la inteligencia artificial con los procesos de la relación con el cliente y en los agentes conversacionales, y advirtieron sobre la escasez de estudios que analizaran el proceso de implementación organizacional y sus resultados. Posteriormente, Ozay et al. (2024), a partir del análisis bibliométrico de 810 artículos publicados en las dos últimas décadas, agruparon la literatura sobre sistemas de gestión de relaciones con clientes basados en inteligencia artificial en cuatro conglomerados: estrategias basadas en datos, aplicación de técnicas de inteligencia artificial a las actividades de la relación con el cliente, implementación estratégica y experiencia del cliente, y advirtieron que, pese al crecimiento acelerado del campo, aún faltaban estudios sistemáticos integrales. Más recientemente, Ledro et al. (2025) propusieron un marco sistemático para una integración exitosa de la inteligencia artificial en la gestión de relaciones con clientes, en el que destacaron que los beneficios dependían de factores tecnológicos, organizacionales y relacionales, y no únicamente de la sofisticación del algoritmo. Estos tres trabajos coincidieron en que la evaluación del impacto real constituía la principal tarea pendiente del campo, lo que respaldó la pertinencia del presente estudio.</w:t>
      </w:r>
    </w:p>
    <w:p>
      <w:pPr>
        <w:spacing w:after="0" w:before="0" w:line="360"/>
        <w:ind w:firstLine="709"/>
        <w:jc w:val="both"/>
      </w:pPr>
      <w:r>
        <w:rPr>
          <w:rFonts w:ascii="Arial" w:cs="Arial" w:eastAsia="Arial" w:hAnsi="Arial"/>
          <w:sz w:val="24"/>
          <w:szCs w:val="24"/>
        </w:rPr>
        <w:t xml:space="preserve">En cuanto a los efectos sobre la satisfacción del cliente, Chung et al. (2020) demostraron, en el contexto de marcas de lujo, que los esfuerzos de servicio electrónico mediante agentes conversacionales, expresados en interacción, entretenimiento, tendencia, personalización y solución de problemas, mejoraron la calidad de la comunicación percibida en términos de exactitud y credibilidad, y que esta, a su vez, incrementó la satisfacción del cliente. En una línea complementaria, Chen, Le y Florence (2021) encontraron que la usabilidad y la capacidad de respuesta de los agentes conversacionales de inteligencia artificial influyeron positivamente en la experiencia del cliente en el comercio minorista en línea, lo que repercutió en su satisfacción. Hsu y Lin (2023), por su parte, integraron la calidad del servicio electrónico con la calidad de la inteligencia artificial conversacional y confirmaron que la calidad de la conversación y la recuperación ante fallas fueron antecedentes significativos de la satisfacción y de la lealtad. Asimismo, Al-Shafei (2024), mediante un enfoque cualitativo basado en entrevistas y grupos focales, identificó que el antropomorfismo y el estilo de comunicación de los agentes conversacionales afectaron significativamente la satisfacción del usuario, que la utilidad percibida influyó en el compromiso del consumidor y que las emociones negativas y las preocupaciones de privacidad condicionaron la interacción. En conjunto, estos estudios coincidieron en que la satisfacción no derivó de la presencia del agente, sino de la calidad de sus respuestas, aunque se apoyaron predominantemente en mediciones de percepción y no en indicadores objetivos de tiempo de atención.</w:t>
      </w:r>
    </w:p>
    <w:p>
      <w:pPr>
        <w:spacing w:after="0" w:before="0" w:line="360"/>
        <w:ind w:firstLine="709"/>
        <w:jc w:val="both"/>
      </w:pPr>
      <w:r>
        <w:rPr>
          <w:rFonts w:ascii="Arial" w:cs="Arial" w:eastAsia="Arial" w:hAnsi="Arial"/>
          <w:sz w:val="24"/>
          <w:szCs w:val="24"/>
        </w:rPr>
        <w:t xml:space="preserve">Respecto de la aceptación y del diseño del agente, Adam, Wessel y Benlian (2021) demostraron mediante un experimento en línea que las señales antropomórficas verbales y la técnica de compromiso progresivo incrementaron el cumplimiento de los usuarios frente a las solicitudes de un agente conversacional de servicio, efecto mediado por la presencia social percibida. De manera relacionada, Sheehan, Jin y Gottlieb (2020) evidenciaron que los errores no resueltos de un agente conversacional redujeron la percepción de antropomorfismo y, con ello, la intención de adopción, y que este efecto fue más intenso en los clientes con mayor necesidad de interacción humana. Marjerison, Zhang y Zheng (2022), desde la teoría de usos y gratificaciones y con una muestra de 540 compradores en línea en China, identificaron que la autenticidad de la conversación, la conveniencia y el disfrute percibido favorecieron una actitud positiva hacia los agentes conversacionales, mientras que los problemas de privacidad y la inmadurez de la tecnología afectaron negativamente su aceptación. Misischia, Poecze y Strauss (2022), en una revisión sistemática, concluyeron que los agentes conversacionales resultaron relevantes para las dimensiones de la calidad del servicio, pero que su aporte dependió del grado en que resolvieran efectivamente las necesidades del cliente. Estos hallazgos indicaron que el diseño conversacional y la escalada oportuna a un agente humano eran condiciones necesarias para que la implementación produjera resultados positivos.</w:t>
      </w:r>
    </w:p>
    <w:p>
      <w:pPr>
        <w:spacing w:after="0" w:before="0" w:line="360"/>
        <w:ind w:firstLine="709"/>
        <w:jc w:val="both"/>
      </w:pPr>
      <w:r>
        <w:rPr>
          <w:rFonts w:ascii="Arial" w:cs="Arial" w:eastAsia="Arial" w:hAnsi="Arial"/>
          <w:sz w:val="24"/>
          <w:szCs w:val="24"/>
        </w:rPr>
        <w:t xml:space="preserve">En relación con las ventas, el antecedente de mayor solidez metodológica fue el experimento de campo de Luo et al. (2019), quienes demostraron que un agente conversacional de inteligencia artificial puede igualar el desempeño comercial de vendedores competentes, aunque la revelación anticipada de su identidad artificial redujo las compras, lo que planteó implicaciones relevantes para la transparencia exigida por los marcos regulatorios. Sidlauskiene, Joye y Auruskeviciene (2023), mediante dos experimentos en línea en el contexto del comercio conversacional, encontraron que el antropomorfismo verbal de los agentes basados en inteligencia artificial incrementó significativamente la personalización percibida del producto y que su interacción con la soledad situacional influyó en la disposición a pagar un precio mayor, lo que evidenció que el agente no fue un canal neutro, sino un factor que modeló la decisión de compra. Madanchian (2024) examinó el impacto del marketing basado en inteligencia artificial sobre las ventas del comercio electrónico y concluyó que herramientas como los agentes conversacionales, los motores de personalización y la analítica predictiva mejoraron la adquisición y la conversión de clientes, aunque advirtió sobre retos de privacidad y de calidad de los datos. Ranjan y Upadhyay (2024) demostraron que la inteligencia artificial interactiva en el comercio electrónico de moda favoreció la cocreación de valor entre la empresa y el cliente. Finalmente, Brynjolfsson, Li y Raymond (2025) aportaron evidencia sobre la eficiencia operativa al demostrar el incremento de la productividad de los agentes humanos asistidos por inteligencia artificial generativa, así como mejoras en el sentimiento expresado por los clientes atendidos.</w:t>
      </w:r>
    </w:p>
    <w:p>
      <w:pPr>
        <w:spacing w:after="0" w:before="0" w:line="360"/>
        <w:ind w:firstLine="709"/>
        <w:jc w:val="both"/>
      </w:pPr>
      <w:r>
        <w:rPr>
          <w:rFonts w:ascii="Arial" w:cs="Arial" w:eastAsia="Arial" w:hAnsi="Arial"/>
          <w:sz w:val="24"/>
          <w:szCs w:val="24"/>
        </w:rPr>
        <w:t xml:space="preserve">En el ámbito latinoamericano y nacional, Ramos De Santis (2024) confirmó la relación entre las características funcionales de los agentes conversacionales y la satisfacción de los clientes de empresas logísticas de Colombia, Perú y Ecuador. Rojas Ahumada, López Zavaleta y Mendoza de los Santos (2023) desarrollaron una revisión sistemática sobre el impacto de la inteligencia artificial en la mejora de la atención al cliente y concluyeron que su aplicación favoreció la reducción de tiempos de espera y la disponibilidad permanente del servicio, aunque reconocieron la necesidad de validar estos beneficios en contextos empresariales concretos. Casazola Cruz et al. (2021), por su parte, revisaron la literatura sobre la usabilidad percibida de los agentes conversacionales en la atención al cliente de las organizaciones y señalaron que la facilidad de uso y la utilidad percibida resultaron determinantes para su adopción.</w:t>
      </w:r>
    </w:p>
    <w:p>
      <w:pPr>
        <w:spacing w:after="0" w:before="0" w:line="360"/>
        <w:ind w:firstLine="709"/>
        <w:jc w:val="both"/>
      </w:pPr>
      <w:r>
        <w:rPr>
          <w:rFonts w:ascii="Arial" w:cs="Arial" w:eastAsia="Arial" w:hAnsi="Arial"/>
          <w:sz w:val="24"/>
          <w:szCs w:val="24"/>
        </w:rPr>
        <w:t xml:space="preserve">Del análisis crítico de los antecedentes se desprendieron tres brechas que la presente investigación buscó atender. La primera fue de carácter contextual, pues la mayoría de los estudios empíricos se realizó en Asia, Europa y Norteamérica, mientras que la evidencia peruana se limitó a revisiones de literatura y estudios de percepción. La segunda fue de carácter metodológico, ya que predominó la medición de intenciones y percepciones, con escasos estudios que analizaran simultáneamente indicadores objetivos de atención y de ventas antes y después de la implementación. La tercera fue de carácter tecnológico, dado que buena parte de la literatura evaluó agentes basados en reglas o en árboles de decisión, y no agentes integrados al sistema de gestión de relaciones con clientes que aprovecharan el historial del cliente y los modelos de lenguaje generativos para responder y vender.</w:t>
      </w:r>
    </w:p>
    <w:p>
      <w:pPr>
        <w:spacing w:after="0" w:before="0" w:line="360"/>
        <w:ind w:firstLine="709"/>
        <w:jc w:val="both"/>
      </w:pPr>
      <w:r>
        <w:rPr>
          <w:rFonts w:ascii="Arial" w:cs="Arial" w:eastAsia="Arial" w:hAnsi="Arial"/>
          <w:sz w:val="24"/>
          <w:szCs w:val="24"/>
        </w:rPr>
        <w:t xml:space="preserve">En cuanto a los fundamentos teóricos, el estudio se sustentó, en primer término, en la teoría de la inteligencia artificial en los servicios propuesta por Huang y Rust (2018), quienes distinguieron cuatro tipos de inteligencia, mecánica, analítica, intuitiva y empática, y sostuvieron que la inteligencia artificial reemplazaría progresivamente las tareas de servicio comenzando por las más mecánicas y analíticas, mientras que las tareas intuitivas y empáticas conservarían por más tiempo un componente humano. Esta teoría permitió explicar por qué un agente de respuesta podía resolver con eficiencia consultas estandarizadas y, al mismo tiempo, requerir la intervención humana en situaciones complejas o emocionalmente sensibles, lo que fundamentó el diseño de un modelo híbrido de atención.</w:t>
      </w:r>
    </w:p>
    <w:p>
      <w:pPr>
        <w:spacing w:after="0" w:before="0" w:line="360"/>
        <w:ind w:firstLine="709"/>
        <w:jc w:val="both"/>
      </w:pPr>
      <w:r>
        <w:rPr>
          <w:rFonts w:ascii="Arial" w:cs="Arial" w:eastAsia="Arial" w:hAnsi="Arial"/>
          <w:sz w:val="24"/>
          <w:szCs w:val="24"/>
        </w:rPr>
        <w:t xml:space="preserve">En segundo término, la investigación se apoyó en el modelo de aceptación tecnológica de Davis (1989), según el cual la utilidad percibida y la facilidad de uso percibida determinan la actitud y la intención de usar una tecnología. Aplicado al presente estudio, el modelo permitió comprender que la satisfacción del cliente con el agente de respuesta dependía de que este fuera percibido como útil para resolver su necesidad y como sencillo de utilizar a través de los canales habituales. En tercer término, se consideró el modelo actualizado de éxito de los sistemas de información de DeLone y McLean (2003), que relacionó la calidad del sistema, la calidad de la información y la calidad del servicio con el uso, la satisfacción del usuario y los beneficios netos. Este modelo proporcionó el vínculo conceptual entre la calidad técnica del agente de respuesta y los resultados organizacionales medidos en el estudio, es decir, el tiempo de respuesta, la satisfacción, la conversión comercial y la eficiencia operativa.</w:t>
      </w:r>
    </w:p>
    <w:p>
      <w:pPr>
        <w:spacing w:after="0" w:before="0" w:line="360"/>
        <w:ind w:firstLine="709"/>
        <w:jc w:val="both"/>
      </w:pPr>
      <w:r>
        <w:rPr>
          <w:rFonts w:ascii="Arial" w:cs="Arial" w:eastAsia="Arial" w:hAnsi="Arial"/>
          <w:sz w:val="24"/>
          <w:szCs w:val="24"/>
        </w:rPr>
        <w:t xml:space="preserve">Desde el enfoque conceptual, la variable independiente, implementación de inteligencia artificial como agente de respuesta, se definió como la incorporación al sistema de gestión de relaciones con clientes de un componente de software capaz de comprender el lenguaje natural del cliente, consultar la información registrada en el sistema y generar respuestas o acciones comerciales de manera autónoma, con derivación a un agente humano cuando la consulta excediera su capacidad (Adam, Wessel y Benlian, 2021; Ledro, Nosella y Vinelli, 2022). Por su parte, el sistema de gestión de relaciones con clientes se entendió como el conjunto de procesos y tecnologías orientados a registrar, analizar y gestionar las interacciones con los clientes a lo largo de su ciclo de vida, con el propósito de mejorar la relación y la rentabilidad (Ozay et al., 2024). La variable dependiente, atención al cliente y ventas, se definió como el desempeño del proceso de relación comercial expresado en la oportunidad de la respuesta, la satisfacción del cliente con el servicio recibido, la capacidad de convertir interacciones en transacciones y la eficiencia en el uso de los recursos de atención (Hsu y Lin, 2023; Luo et al., 2019; Brynjolfsson, Li y Raymond, 2025).</w:t>
      </w:r>
    </w:p>
    <w:p>
      <w:pPr>
        <w:spacing w:after="0" w:before="0" w:line="360"/>
        <w:ind w:firstLine="709"/>
        <w:jc w:val="both"/>
      </w:pPr>
      <w:r>
        <w:rPr>
          <w:rFonts w:ascii="Arial" w:cs="Arial" w:eastAsia="Arial" w:hAnsi="Arial"/>
          <w:sz w:val="24"/>
          <w:szCs w:val="24"/>
        </w:rPr>
        <w:t xml:space="preserve">En consecuencia, el tiempo de respuesta se conceptualizó como el intervalo transcurrido entre el ingreso de la consulta del cliente y la emisión de la primera respuesta pertinente; la satisfacción del cliente, como la evaluación global que este realizó sobre la calidad y la utilidad de la atención recibida (Chung et al., 2020); la tasa de conversión comercial, como la proporción de interacciones que culminaron en una venta o en una oportunidad comercial calificada (Madanchian, 2024); y la eficiencia operativa, como la relación entre el volumen de consultas resueltas y los recursos humanos y temporales empleados para ello (Brynjolfsson, Li y Raymond, 2025). La investigación adoptó un enfoque cuantitativo, de tipo aplicado y nivel explicativo, con un diseño preexperimental de preprueba y posprueba, dado que se buscó medir el cambio en los indicadores atribuible a la implementación del agente de respuesta.</w:t>
      </w:r>
    </w:p>
    <w:p>
      <w:pPr>
        <w:spacing w:after="0" w:before="0" w:line="360"/>
        <w:ind w:firstLine="709"/>
        <w:jc w:val="both"/>
      </w:pPr>
      <w:r>
        <w:rPr>
          <w:rFonts w:ascii="Arial" w:cs="Arial" w:eastAsia="Arial" w:hAnsi="Arial"/>
          <w:sz w:val="24"/>
          <w:szCs w:val="24"/>
        </w:rPr>
        <w:t xml:space="preserve">Finalmente, a partir de la revisión de la literatura y de los fundamentos teóricos expuestos, se formuló la hipótesis general de que la implementación de un agente de respuesta basado en inteligencia artificial, integrado a un sistema de gestión de relaciones con clientes, tiene un efecto significativo y positivo sobre la atención al cliente y las ventas en empresas del Perú durante 2026. Asimismo, se plantearon cuatro hipótesis específicas: la implementación del agente de respuesta reduce significativamente el tiempo de respuesta al cliente; la implementación del agente de respuesta incrementa significativamente el nivel de satisfacción del cliente; la implementación del agente de respuesta incrementa significativamente la tasa de conversión comercial; y la implementación del agente de respuesta incrementa significativamente la eficiencia operativa del proceso de atención.</w:t>
      </w:r>
    </w:p>
    <w:p>
      <w:pPr>
        <w:pageBreakBefore/>
        <w:spacing w:after="240" w:before="0" w:line="360"/>
        <w:jc w:val="center"/>
      </w:pPr>
      <w:r>
        <w:rPr>
          <w:rFonts w:ascii="Arial" w:cs="Arial" w:eastAsia="Arial" w:hAnsi="Arial"/>
          <w:b/>
          <w:bCs/>
          <w:sz w:val="24"/>
          <w:szCs w:val="24"/>
        </w:rPr>
        <w:t xml:space="preserve">REFERENCIAS</w:t>
      </w:r>
    </w:p>
    <w:p>
      <w:pPr>
        <w:spacing w:after="120" w:before="0" w:line="360"/>
        <w:ind w:left="709" w:hanging="709"/>
        <w:jc w:val="both"/>
      </w:pPr>
      <w:r>
        <w:rPr>
          <w:rFonts w:ascii="Arial" w:cs="Arial" w:eastAsia="Arial" w:hAnsi="Arial"/>
          <w:sz w:val="24"/>
          <w:szCs w:val="24"/>
        </w:rPr>
        <w:t xml:space="preserve">ADAM, Martin, WESSEL, Michael y BENLIAN, Alexander, 2021. AI-based chatbots in customer service and their effects on user compliance. </w:t>
      </w:r>
      <w:r>
        <w:rPr>
          <w:rFonts w:ascii="Arial" w:cs="Arial" w:eastAsia="Arial" w:hAnsi="Arial"/>
          <w:i/>
          <w:iCs/>
          <w:sz w:val="24"/>
          <w:szCs w:val="24"/>
        </w:rPr>
        <w:t xml:space="preserve">Electronic Markets</w:t>
      </w:r>
      <w:r>
        <w:rPr>
          <w:rFonts w:ascii="Arial" w:cs="Arial" w:eastAsia="Arial" w:hAnsi="Arial"/>
          <w:sz w:val="24"/>
          <w:szCs w:val="24"/>
        </w:rPr>
        <w:t xml:space="preserve">. Vol. 31, n.° 2, pp. 427-445. DOI 10.1007/s12525-020-00414-7.</w:t>
      </w:r>
    </w:p>
    <w:p>
      <w:pPr>
        <w:spacing w:after="120" w:before="0" w:line="360"/>
        <w:ind w:left="709" w:hanging="709"/>
        <w:jc w:val="both"/>
      </w:pPr>
      <w:r>
        <w:rPr>
          <w:rFonts w:ascii="Arial" w:cs="Arial" w:eastAsia="Arial" w:hAnsi="Arial"/>
          <w:sz w:val="24"/>
          <w:szCs w:val="24"/>
        </w:rPr>
        <w:t xml:space="preserve">AL-SHAFEI, Mohamed, 2024. Navigating human-chatbot interactions: an investigation into factors influencing user satisfaction and engagement. </w:t>
      </w:r>
      <w:r>
        <w:rPr>
          <w:rFonts w:ascii="Arial" w:cs="Arial" w:eastAsia="Arial" w:hAnsi="Arial"/>
          <w:i/>
          <w:iCs/>
          <w:sz w:val="24"/>
          <w:szCs w:val="24"/>
        </w:rPr>
        <w:t xml:space="preserve">International Journal of Human–Computer Interaction</w:t>
      </w:r>
      <w:r>
        <w:rPr>
          <w:rFonts w:ascii="Arial" w:cs="Arial" w:eastAsia="Arial" w:hAnsi="Arial"/>
          <w:sz w:val="24"/>
          <w:szCs w:val="24"/>
        </w:rPr>
        <w:t xml:space="preserve">. Vol. 41, n.° 1, pp. 411-428. DOI 10.1080/10447318.2023.2301252.</w:t>
      </w:r>
    </w:p>
    <w:p>
      <w:pPr>
        <w:spacing w:after="120" w:before="0" w:line="360"/>
        <w:ind w:left="709" w:hanging="709"/>
        <w:jc w:val="both"/>
      </w:pPr>
      <w:r>
        <w:rPr>
          <w:rFonts w:ascii="Arial" w:cs="Arial" w:eastAsia="Arial" w:hAnsi="Arial"/>
          <w:sz w:val="24"/>
          <w:szCs w:val="24"/>
        </w:rPr>
        <w:t xml:space="preserve">BRYNJOLFSSON, Erik, LI, Danielle y RAYMOND, Lindsey, 2025. Generative AI at work. </w:t>
      </w:r>
      <w:r>
        <w:rPr>
          <w:rFonts w:ascii="Arial" w:cs="Arial" w:eastAsia="Arial" w:hAnsi="Arial"/>
          <w:i/>
          <w:iCs/>
          <w:sz w:val="24"/>
          <w:szCs w:val="24"/>
        </w:rPr>
        <w:t xml:space="preserve">The Quarterly Journal of Economics</w:t>
      </w:r>
      <w:r>
        <w:rPr>
          <w:rFonts w:ascii="Arial" w:cs="Arial" w:eastAsia="Arial" w:hAnsi="Arial"/>
          <w:sz w:val="24"/>
          <w:szCs w:val="24"/>
        </w:rPr>
        <w:t xml:space="preserve">. Vol. 140, n.° 2, pp. 889-942. DOI 10.1093/qje/qjae044.</w:t>
      </w:r>
    </w:p>
    <w:p>
      <w:pPr>
        <w:spacing w:after="120" w:before="0" w:line="360"/>
        <w:ind w:left="709" w:hanging="709"/>
        <w:jc w:val="both"/>
      </w:pPr>
      <w:r>
        <w:rPr>
          <w:rFonts w:ascii="Arial" w:cs="Arial" w:eastAsia="Arial" w:hAnsi="Arial"/>
          <w:sz w:val="24"/>
          <w:szCs w:val="24"/>
        </w:rPr>
        <w:t xml:space="preserve">CASAZOLA CRUZ, Oswaldo Daniel, ALFARO MARIÑO, Gianfranco, BURGOS TEJADA, Jaime y RAMOS MORE, Omar Augusto, 2021. La usabilidad percibida de los chatbots sobre la atención al cliente en las organizaciones: una revisión de la literatura. </w:t>
      </w:r>
      <w:r>
        <w:rPr>
          <w:rFonts w:ascii="Arial" w:cs="Arial" w:eastAsia="Arial" w:hAnsi="Arial"/>
          <w:i/>
          <w:iCs/>
          <w:sz w:val="24"/>
          <w:szCs w:val="24"/>
        </w:rPr>
        <w:t xml:space="preserve">Interfases</w:t>
      </w:r>
      <w:r>
        <w:rPr>
          <w:rFonts w:ascii="Arial" w:cs="Arial" w:eastAsia="Arial" w:hAnsi="Arial"/>
          <w:sz w:val="24"/>
          <w:szCs w:val="24"/>
        </w:rPr>
        <w:t xml:space="preserve">. N.° 14, pp. 184-204. DOI 10.26439/interfases2021.n014.5401.</w:t>
      </w:r>
    </w:p>
    <w:p>
      <w:pPr>
        <w:spacing w:after="120" w:before="0" w:line="360"/>
        <w:ind w:left="709" w:hanging="709"/>
        <w:jc w:val="both"/>
      </w:pPr>
      <w:r>
        <w:rPr>
          <w:rFonts w:ascii="Arial" w:cs="Arial" w:eastAsia="Arial" w:hAnsi="Arial"/>
          <w:sz w:val="24"/>
          <w:szCs w:val="24"/>
        </w:rPr>
        <w:t xml:space="preserve">CEPAL, 2026. </w:t>
      </w:r>
      <w:r>
        <w:rPr>
          <w:rFonts w:ascii="Arial" w:cs="Arial" w:eastAsia="Arial" w:hAnsi="Arial"/>
          <w:i/>
          <w:iCs/>
          <w:sz w:val="24"/>
          <w:szCs w:val="24"/>
        </w:rPr>
        <w:t xml:space="preserve">Índice Latinoamericano de Inteligencia Artificial (ILIA) 2025. Hallazgos principales, IA aplicada y talento humano</w:t>
      </w:r>
      <w:r>
        <w:rPr>
          <w:rFonts w:ascii="Arial" w:cs="Arial" w:eastAsia="Arial" w:hAnsi="Arial"/>
          <w:sz w:val="24"/>
          <w:szCs w:val="24"/>
        </w:rPr>
        <w:t xml:space="preserve"> [en línea]. Santiago: Comisión Económica para América Latina y el Caribe. LC/TS.2026/1. Disponible en: https://www.cepal.org/es/publicaciones/86007-indice-latinoamericano-inteligencia-artificial-ilia-2025-hallazgos-principales</w:t>
      </w:r>
    </w:p>
    <w:p>
      <w:pPr>
        <w:spacing w:after="120" w:before="0" w:line="360"/>
        <w:ind w:left="709" w:hanging="709"/>
        <w:jc w:val="both"/>
      </w:pPr>
      <w:r>
        <w:rPr>
          <w:rFonts w:ascii="Arial" w:cs="Arial" w:eastAsia="Arial" w:hAnsi="Arial"/>
          <w:sz w:val="24"/>
          <w:szCs w:val="24"/>
        </w:rPr>
        <w:t xml:space="preserve">CHEN, Ja-Shen, LE, Tran-Thien-Y y FLORENCE, Devina, 2021. Usability and responsiveness of artificial intelligence chatbot on online customer experience in e-retailing. </w:t>
      </w:r>
      <w:r>
        <w:rPr>
          <w:rFonts w:ascii="Arial" w:cs="Arial" w:eastAsia="Arial" w:hAnsi="Arial"/>
          <w:i/>
          <w:iCs/>
          <w:sz w:val="24"/>
          <w:szCs w:val="24"/>
        </w:rPr>
        <w:t xml:space="preserve">International Journal of Retail &amp; Distribution Management</w:t>
      </w:r>
      <w:r>
        <w:rPr>
          <w:rFonts w:ascii="Arial" w:cs="Arial" w:eastAsia="Arial" w:hAnsi="Arial"/>
          <w:sz w:val="24"/>
          <w:szCs w:val="24"/>
        </w:rPr>
        <w:t xml:space="preserve">. Vol. 49, n.° 11, pp. 1512-1531. DOI 10.1108/IJRDM-08-2020-0312.</w:t>
      </w:r>
    </w:p>
    <w:p>
      <w:pPr>
        <w:spacing w:after="120" w:before="0" w:line="360"/>
        <w:ind w:left="709" w:hanging="709"/>
        <w:jc w:val="both"/>
      </w:pPr>
      <w:r>
        <w:rPr>
          <w:rFonts w:ascii="Arial" w:cs="Arial" w:eastAsia="Arial" w:hAnsi="Arial"/>
          <w:sz w:val="24"/>
          <w:szCs w:val="24"/>
        </w:rPr>
        <w:t xml:space="preserve">CHUI, Michael, HAZAN, Eric, ROBERTS, Roger, SINGLA, Alex, SMAJE, Kate, SUKHAREVSKY, Alex, YEE, Lareina y ZEMMEL, Rodney, 2023. </w:t>
      </w:r>
      <w:r>
        <w:rPr>
          <w:rFonts w:ascii="Arial" w:cs="Arial" w:eastAsia="Arial" w:hAnsi="Arial"/>
          <w:i/>
          <w:iCs/>
          <w:sz w:val="24"/>
          <w:szCs w:val="24"/>
        </w:rPr>
        <w:t xml:space="preserve">The economic potential of generative AI: the next productivity frontier</w:t>
      </w:r>
      <w:r>
        <w:rPr>
          <w:rFonts w:ascii="Arial" w:cs="Arial" w:eastAsia="Arial" w:hAnsi="Arial"/>
          <w:sz w:val="24"/>
          <w:szCs w:val="24"/>
        </w:rPr>
        <w:t xml:space="preserve"> [en línea]. McKinsey &amp; Company. Disponible en: https://www.mckinsey.com/capabilities/mckinsey-digital/our-insights/the-economic-potential-of-generative-ai-the-next-productivity-frontier</w:t>
      </w:r>
    </w:p>
    <w:p>
      <w:pPr>
        <w:spacing w:after="120" w:before="0" w:line="360"/>
        <w:ind w:left="709" w:hanging="709"/>
        <w:jc w:val="both"/>
      </w:pPr>
      <w:r>
        <w:rPr>
          <w:rFonts w:ascii="Arial" w:cs="Arial" w:eastAsia="Arial" w:hAnsi="Arial"/>
          <w:sz w:val="24"/>
          <w:szCs w:val="24"/>
        </w:rPr>
        <w:t xml:space="preserve">CHUNG, Minjee, KO, Eunju, JOUNG, Heerim y KIM, Sang Jin, 2020. Chatbot e-service and customer satisfaction regarding luxury brands. </w:t>
      </w:r>
      <w:r>
        <w:rPr>
          <w:rFonts w:ascii="Arial" w:cs="Arial" w:eastAsia="Arial" w:hAnsi="Arial"/>
          <w:i/>
          <w:iCs/>
          <w:sz w:val="24"/>
          <w:szCs w:val="24"/>
        </w:rPr>
        <w:t xml:space="preserve">Journal of Business Research</w:t>
      </w:r>
      <w:r>
        <w:rPr>
          <w:rFonts w:ascii="Arial" w:cs="Arial" w:eastAsia="Arial" w:hAnsi="Arial"/>
          <w:sz w:val="24"/>
          <w:szCs w:val="24"/>
        </w:rPr>
        <w:t xml:space="preserve">. Vol. 117, pp. 587-595. DOI 10.1016/j.jbusres.2018.10.004.</w:t>
      </w:r>
    </w:p>
    <w:p>
      <w:pPr>
        <w:spacing w:after="120" w:before="0" w:line="360"/>
        <w:ind w:left="709" w:hanging="709"/>
        <w:jc w:val="both"/>
      </w:pPr>
      <w:r>
        <w:rPr>
          <w:rFonts w:ascii="Arial" w:cs="Arial" w:eastAsia="Arial" w:hAnsi="Arial"/>
          <w:sz w:val="24"/>
          <w:szCs w:val="24"/>
        </w:rPr>
        <w:t xml:space="preserve">CONGRESO DE LA REPÚBLICA DEL PERÚ, 2023. Ley N.° 31814, Ley que promueve el uso de la inteligencia artificial en favor del desarrollo económico y social del país. </w:t>
      </w:r>
      <w:r>
        <w:rPr>
          <w:rFonts w:ascii="Arial" w:cs="Arial" w:eastAsia="Arial" w:hAnsi="Arial"/>
          <w:i/>
          <w:iCs/>
          <w:sz w:val="24"/>
          <w:szCs w:val="24"/>
        </w:rPr>
        <w:t xml:space="preserve">Diario Oficial El Peruano</w:t>
      </w:r>
      <w:r>
        <w:rPr>
          <w:rFonts w:ascii="Arial" w:cs="Arial" w:eastAsia="Arial" w:hAnsi="Arial"/>
          <w:sz w:val="24"/>
          <w:szCs w:val="24"/>
        </w:rPr>
        <w:t xml:space="preserve">. 5 de julio de 2023.</w:t>
      </w:r>
    </w:p>
    <w:p>
      <w:pPr>
        <w:spacing w:after="120" w:before="0" w:line="360"/>
        <w:ind w:left="709" w:hanging="709"/>
        <w:jc w:val="both"/>
      </w:pPr>
      <w:r>
        <w:rPr>
          <w:rFonts w:ascii="Arial" w:cs="Arial" w:eastAsia="Arial" w:hAnsi="Arial"/>
          <w:sz w:val="24"/>
          <w:szCs w:val="24"/>
        </w:rPr>
        <w:t xml:space="preserve">DAVIS, Fred D., 1989. Perceived usefulness, perceived ease of use, and user acceptance of information technology. </w:t>
      </w:r>
      <w:r>
        <w:rPr>
          <w:rFonts w:ascii="Arial" w:cs="Arial" w:eastAsia="Arial" w:hAnsi="Arial"/>
          <w:i/>
          <w:iCs/>
          <w:sz w:val="24"/>
          <w:szCs w:val="24"/>
        </w:rPr>
        <w:t xml:space="preserve">MIS Quarterly</w:t>
      </w:r>
      <w:r>
        <w:rPr>
          <w:rFonts w:ascii="Arial" w:cs="Arial" w:eastAsia="Arial" w:hAnsi="Arial"/>
          <w:sz w:val="24"/>
          <w:szCs w:val="24"/>
        </w:rPr>
        <w:t xml:space="preserve">. Vol. 13, n.° 3, pp. 319-340. DOI 10.2307/249008.</w:t>
      </w:r>
    </w:p>
    <w:p>
      <w:pPr>
        <w:spacing w:after="120" w:before="0" w:line="360"/>
        <w:ind w:left="709" w:hanging="709"/>
        <w:jc w:val="both"/>
      </w:pPr>
      <w:r>
        <w:rPr>
          <w:rFonts w:ascii="Arial" w:cs="Arial" w:eastAsia="Arial" w:hAnsi="Arial"/>
          <w:sz w:val="24"/>
          <w:szCs w:val="24"/>
        </w:rPr>
        <w:t xml:space="preserve">DELONE, William H. y MCLEAN, Ephraim R., 2003. The DeLone and McLean model of information systems success: a ten-year update. </w:t>
      </w:r>
      <w:r>
        <w:rPr>
          <w:rFonts w:ascii="Arial" w:cs="Arial" w:eastAsia="Arial" w:hAnsi="Arial"/>
          <w:i/>
          <w:iCs/>
          <w:sz w:val="24"/>
          <w:szCs w:val="24"/>
        </w:rPr>
        <w:t xml:space="preserve">Journal of Management Information Systems</w:t>
      </w:r>
      <w:r>
        <w:rPr>
          <w:rFonts w:ascii="Arial" w:cs="Arial" w:eastAsia="Arial" w:hAnsi="Arial"/>
          <w:sz w:val="24"/>
          <w:szCs w:val="24"/>
        </w:rPr>
        <w:t xml:space="preserve">. Vol. 19, n.° 4, pp. 9-30. DOI 10.1080/07421222.2003.11045748.</w:t>
      </w:r>
    </w:p>
    <w:p>
      <w:pPr>
        <w:spacing w:after="120" w:before="0" w:line="360"/>
        <w:ind w:left="709" w:hanging="709"/>
        <w:jc w:val="both"/>
      </w:pPr>
      <w:r>
        <w:rPr>
          <w:rFonts w:ascii="Arial" w:cs="Arial" w:eastAsia="Arial" w:hAnsi="Arial"/>
          <w:sz w:val="24"/>
          <w:szCs w:val="24"/>
        </w:rPr>
        <w:t xml:space="preserve">EL PERUANO, 2026. Perú avanza en adoptar la inteligencia artificial. </w:t>
      </w:r>
      <w:r>
        <w:rPr>
          <w:rFonts w:ascii="Arial" w:cs="Arial" w:eastAsia="Arial" w:hAnsi="Arial"/>
          <w:i/>
          <w:iCs/>
          <w:sz w:val="24"/>
          <w:szCs w:val="24"/>
        </w:rPr>
        <w:t xml:space="preserve">El Peruano</w:t>
      </w:r>
      <w:r>
        <w:rPr>
          <w:rFonts w:ascii="Arial" w:cs="Arial" w:eastAsia="Arial" w:hAnsi="Arial"/>
          <w:sz w:val="24"/>
          <w:szCs w:val="24"/>
        </w:rPr>
        <w:t xml:space="preserve"> [en línea]. 7 de abril de 2026. Disponible en: https://www.elperuano.pe/noticia/292915-peru-avanza-en-adoptar-la-inteligencia-artificial</w:t>
      </w:r>
    </w:p>
    <w:p>
      <w:pPr>
        <w:spacing w:after="120" w:before="0" w:line="360"/>
        <w:ind w:left="709" w:hanging="709"/>
        <w:jc w:val="both"/>
      </w:pPr>
      <w:r>
        <w:rPr>
          <w:rFonts w:ascii="Arial" w:cs="Arial" w:eastAsia="Arial" w:hAnsi="Arial"/>
          <w:sz w:val="24"/>
          <w:szCs w:val="24"/>
        </w:rPr>
        <w:t xml:space="preserve">GARTNER, 2022. Gartner predicts conversational AI will reduce contact center agent labor costs by $80 billion in 2026 [en línea]. Stamford: Gartner, Inc. 31 de agosto de 2022. Disponible en: https://www.gartner.com/en/newsroom/press-releases/2022-08-31-gartner-predicts-conversational-ai-will-reduce-contac</w:t>
      </w:r>
    </w:p>
    <w:p>
      <w:pPr>
        <w:spacing w:after="120" w:before="0" w:line="360"/>
        <w:ind w:left="709" w:hanging="709"/>
        <w:jc w:val="both"/>
      </w:pPr>
      <w:r>
        <w:rPr>
          <w:rFonts w:ascii="Arial" w:cs="Arial" w:eastAsia="Arial" w:hAnsi="Arial"/>
          <w:sz w:val="24"/>
          <w:szCs w:val="24"/>
        </w:rPr>
        <w:t xml:space="preserve">HSU, Chin-Lung y LIN, Judy Chuan-Chuan, 2023. Understanding the user satisfaction and loyalty of customer service chatbots. </w:t>
      </w:r>
      <w:r>
        <w:rPr>
          <w:rFonts w:ascii="Arial" w:cs="Arial" w:eastAsia="Arial" w:hAnsi="Arial"/>
          <w:i/>
          <w:iCs/>
          <w:sz w:val="24"/>
          <w:szCs w:val="24"/>
        </w:rPr>
        <w:t xml:space="preserve">Journal of Retailing and Consumer Services</w:t>
      </w:r>
      <w:r>
        <w:rPr>
          <w:rFonts w:ascii="Arial" w:cs="Arial" w:eastAsia="Arial" w:hAnsi="Arial"/>
          <w:sz w:val="24"/>
          <w:szCs w:val="24"/>
        </w:rPr>
        <w:t xml:space="preserve">. Vol. 71, art. 103211. DOI 10.1016/j.jretconser.2022.103211.</w:t>
      </w:r>
    </w:p>
    <w:p>
      <w:pPr>
        <w:spacing w:after="120" w:before="0" w:line="360"/>
        <w:ind w:left="709" w:hanging="709"/>
        <w:jc w:val="both"/>
      </w:pPr>
      <w:r>
        <w:rPr>
          <w:rFonts w:ascii="Arial" w:cs="Arial" w:eastAsia="Arial" w:hAnsi="Arial"/>
          <w:sz w:val="24"/>
          <w:szCs w:val="24"/>
        </w:rPr>
        <w:t xml:space="preserve">HUANG, Ming-Hui y RUST, Roland T., 2018. Artificial intelligence in service. </w:t>
      </w:r>
      <w:r>
        <w:rPr>
          <w:rFonts w:ascii="Arial" w:cs="Arial" w:eastAsia="Arial" w:hAnsi="Arial"/>
          <w:i/>
          <w:iCs/>
          <w:sz w:val="24"/>
          <w:szCs w:val="24"/>
        </w:rPr>
        <w:t xml:space="preserve">Journal of Service Research</w:t>
      </w:r>
      <w:r>
        <w:rPr>
          <w:rFonts w:ascii="Arial" w:cs="Arial" w:eastAsia="Arial" w:hAnsi="Arial"/>
          <w:sz w:val="24"/>
          <w:szCs w:val="24"/>
        </w:rPr>
        <w:t xml:space="preserve">. Vol. 21, n.° 2, pp. 155-172. DOI 10.1177/1094670517752459.</w:t>
      </w:r>
    </w:p>
    <w:p>
      <w:pPr>
        <w:spacing w:after="120" w:before="0" w:line="360"/>
        <w:ind w:left="709" w:hanging="709"/>
        <w:jc w:val="both"/>
      </w:pPr>
      <w:r>
        <w:rPr>
          <w:rFonts w:ascii="Arial" w:cs="Arial" w:eastAsia="Arial" w:hAnsi="Arial"/>
          <w:sz w:val="24"/>
          <w:szCs w:val="24"/>
        </w:rPr>
        <w:t xml:space="preserve">LEDRO, Cristina, NOSELLA, Anna y VINELLI, Andrea, 2022. Artificial intelligence in customer relationship management: literature review and future research directions. </w:t>
      </w:r>
      <w:r>
        <w:rPr>
          <w:rFonts w:ascii="Arial" w:cs="Arial" w:eastAsia="Arial" w:hAnsi="Arial"/>
          <w:i/>
          <w:iCs/>
          <w:sz w:val="24"/>
          <w:szCs w:val="24"/>
        </w:rPr>
        <w:t xml:space="preserve">Journal of Business &amp; Industrial Marketing</w:t>
      </w:r>
      <w:r>
        <w:rPr>
          <w:rFonts w:ascii="Arial" w:cs="Arial" w:eastAsia="Arial" w:hAnsi="Arial"/>
          <w:sz w:val="24"/>
          <w:szCs w:val="24"/>
        </w:rPr>
        <w:t xml:space="preserve">. Vol. 37, n.° 13, pp. 48-63. DOI 10.1108/JBIM-07-2021-0332.</w:t>
      </w:r>
    </w:p>
    <w:p>
      <w:pPr>
        <w:spacing w:after="120" w:before="0" w:line="360"/>
        <w:ind w:left="709" w:hanging="709"/>
        <w:jc w:val="both"/>
      </w:pPr>
      <w:r>
        <w:rPr>
          <w:rFonts w:ascii="Arial" w:cs="Arial" w:eastAsia="Arial" w:hAnsi="Arial"/>
          <w:sz w:val="24"/>
          <w:szCs w:val="24"/>
        </w:rPr>
        <w:t xml:space="preserve">LEDRO, Cristina, NOSELLA, Anna, VINELLI, Andrea, DALLA POZZA, Ilaria y SOUVERAIN, Thomas, 2025. Artificial intelligence in customer relationship management: a systematic framework for a successful integration. </w:t>
      </w:r>
      <w:r>
        <w:rPr>
          <w:rFonts w:ascii="Arial" w:cs="Arial" w:eastAsia="Arial" w:hAnsi="Arial"/>
          <w:i/>
          <w:iCs/>
          <w:sz w:val="24"/>
          <w:szCs w:val="24"/>
        </w:rPr>
        <w:t xml:space="preserve">Journal of Business Research</w:t>
      </w:r>
      <w:r>
        <w:rPr>
          <w:rFonts w:ascii="Arial" w:cs="Arial" w:eastAsia="Arial" w:hAnsi="Arial"/>
          <w:sz w:val="24"/>
          <w:szCs w:val="24"/>
        </w:rPr>
        <w:t xml:space="preserve">. Vol. 199, art. 115531. DOI 10.1016/j.jbusres.2025.115531.</w:t>
      </w:r>
    </w:p>
    <w:p>
      <w:pPr>
        <w:spacing w:after="120" w:before="0" w:line="360"/>
        <w:ind w:left="709" w:hanging="709"/>
        <w:jc w:val="both"/>
      </w:pPr>
      <w:r>
        <w:rPr>
          <w:rFonts w:ascii="Arial" w:cs="Arial" w:eastAsia="Arial" w:hAnsi="Arial"/>
          <w:sz w:val="24"/>
          <w:szCs w:val="24"/>
        </w:rPr>
        <w:t xml:space="preserve">LUO, Xueming, TONG, Siliang, FANG, Zheng y QU, Zhe, 2019. Frontiers: machines vs. humans: the impact of artificial intelligence chatbot disclosure on customer purchases. </w:t>
      </w:r>
      <w:r>
        <w:rPr>
          <w:rFonts w:ascii="Arial" w:cs="Arial" w:eastAsia="Arial" w:hAnsi="Arial"/>
          <w:i/>
          <w:iCs/>
          <w:sz w:val="24"/>
          <w:szCs w:val="24"/>
        </w:rPr>
        <w:t xml:space="preserve">Marketing Science</w:t>
      </w:r>
      <w:r>
        <w:rPr>
          <w:rFonts w:ascii="Arial" w:cs="Arial" w:eastAsia="Arial" w:hAnsi="Arial"/>
          <w:sz w:val="24"/>
          <w:szCs w:val="24"/>
        </w:rPr>
        <w:t xml:space="preserve">. Vol. 38, n.° 6, pp. 937-947. DOI 10.1287/mksc.2019.1192.</w:t>
      </w:r>
    </w:p>
    <w:p>
      <w:pPr>
        <w:spacing w:after="120" w:before="0" w:line="360"/>
        <w:ind w:left="709" w:hanging="709"/>
        <w:jc w:val="both"/>
      </w:pPr>
      <w:r>
        <w:rPr>
          <w:rFonts w:ascii="Arial" w:cs="Arial" w:eastAsia="Arial" w:hAnsi="Arial"/>
          <w:sz w:val="24"/>
          <w:szCs w:val="24"/>
        </w:rPr>
        <w:t xml:space="preserve">MADANCHIAN, Mitra, 2024. The impact of artificial intelligence marketing on e-commerce sales. </w:t>
      </w:r>
      <w:r>
        <w:rPr>
          <w:rFonts w:ascii="Arial" w:cs="Arial" w:eastAsia="Arial" w:hAnsi="Arial"/>
          <w:i/>
          <w:iCs/>
          <w:sz w:val="24"/>
          <w:szCs w:val="24"/>
        </w:rPr>
        <w:t xml:space="preserve">Systems</w:t>
      </w:r>
      <w:r>
        <w:rPr>
          <w:rFonts w:ascii="Arial" w:cs="Arial" w:eastAsia="Arial" w:hAnsi="Arial"/>
          <w:sz w:val="24"/>
          <w:szCs w:val="24"/>
        </w:rPr>
        <w:t xml:space="preserve">. Vol. 12, n.° 10, art. 429. DOI 10.3390/systems12100429.</w:t>
      </w:r>
    </w:p>
    <w:p>
      <w:pPr>
        <w:spacing w:after="120" w:before="0" w:line="360"/>
        <w:ind w:left="709" w:hanging="709"/>
        <w:jc w:val="both"/>
      </w:pPr>
      <w:r>
        <w:rPr>
          <w:rFonts w:ascii="Arial" w:cs="Arial" w:eastAsia="Arial" w:hAnsi="Arial"/>
          <w:sz w:val="24"/>
          <w:szCs w:val="24"/>
        </w:rPr>
        <w:t xml:space="preserve">MARJERISON, Rob Kim, ZHANG, Youran y ZHENG, Hanyi, 2022. AI in e-commerce: application of the use and gratification model to the acceptance of chatbots. </w:t>
      </w:r>
      <w:r>
        <w:rPr>
          <w:rFonts w:ascii="Arial" w:cs="Arial" w:eastAsia="Arial" w:hAnsi="Arial"/>
          <w:i/>
          <w:iCs/>
          <w:sz w:val="24"/>
          <w:szCs w:val="24"/>
        </w:rPr>
        <w:t xml:space="preserve">Sustainability</w:t>
      </w:r>
      <w:r>
        <w:rPr>
          <w:rFonts w:ascii="Arial" w:cs="Arial" w:eastAsia="Arial" w:hAnsi="Arial"/>
          <w:sz w:val="24"/>
          <w:szCs w:val="24"/>
        </w:rPr>
        <w:t xml:space="preserve">. Vol. 14, n.° 21, art. 14270. DOI 10.3390/su142114270.</w:t>
      </w:r>
    </w:p>
    <w:p>
      <w:pPr>
        <w:spacing w:after="120" w:before="0" w:line="360"/>
        <w:ind w:left="709" w:hanging="709"/>
        <w:jc w:val="both"/>
      </w:pPr>
      <w:r>
        <w:rPr>
          <w:rFonts w:ascii="Arial" w:cs="Arial" w:eastAsia="Arial" w:hAnsi="Arial"/>
          <w:sz w:val="24"/>
          <w:szCs w:val="24"/>
        </w:rPr>
        <w:t xml:space="preserve">MISISCHIA, Chiara Valentina, POECZE, Flora y STRAUSS, Christine, 2022. Chatbots in customer service: their relevance and impact on service quality. </w:t>
      </w:r>
      <w:r>
        <w:rPr>
          <w:rFonts w:ascii="Arial" w:cs="Arial" w:eastAsia="Arial" w:hAnsi="Arial"/>
          <w:i/>
          <w:iCs/>
          <w:sz w:val="24"/>
          <w:szCs w:val="24"/>
        </w:rPr>
        <w:t xml:space="preserve">Procedia Computer Science</w:t>
      </w:r>
      <w:r>
        <w:rPr>
          <w:rFonts w:ascii="Arial" w:cs="Arial" w:eastAsia="Arial" w:hAnsi="Arial"/>
          <w:sz w:val="24"/>
          <w:szCs w:val="24"/>
        </w:rPr>
        <w:t xml:space="preserve">. Vol. 201, pp. 421-428. DOI 10.1016/j.procs.2022.03.055.</w:t>
      </w:r>
    </w:p>
    <w:p>
      <w:pPr>
        <w:spacing w:after="120" w:before="0" w:line="360"/>
        <w:ind w:left="709" w:hanging="709"/>
        <w:jc w:val="both"/>
      </w:pPr>
      <w:r>
        <w:rPr>
          <w:rFonts w:ascii="Arial" w:cs="Arial" w:eastAsia="Arial" w:hAnsi="Arial"/>
          <w:sz w:val="24"/>
          <w:szCs w:val="24"/>
        </w:rPr>
        <w:t xml:space="preserve">NACIONES UNIDAS, 2015. </w:t>
      </w:r>
      <w:r>
        <w:rPr>
          <w:rFonts w:ascii="Arial" w:cs="Arial" w:eastAsia="Arial" w:hAnsi="Arial"/>
          <w:i/>
          <w:iCs/>
          <w:sz w:val="24"/>
          <w:szCs w:val="24"/>
        </w:rPr>
        <w:t xml:space="preserve">Transformar nuestro mundo: la Agenda 2030 para el Desarrollo Sostenible</w:t>
      </w:r>
      <w:r>
        <w:rPr>
          <w:rFonts w:ascii="Arial" w:cs="Arial" w:eastAsia="Arial" w:hAnsi="Arial"/>
          <w:sz w:val="24"/>
          <w:szCs w:val="24"/>
        </w:rPr>
        <w:t xml:space="preserve">. Resolución A/RES/70/1 aprobada por la Asamblea General el 25 de septiembre de 2015. Nueva York: Naciones Unidas.</w:t>
      </w:r>
    </w:p>
    <w:p>
      <w:pPr>
        <w:spacing w:after="120" w:before="0" w:line="360"/>
        <w:ind w:left="709" w:hanging="709"/>
        <w:jc w:val="both"/>
      </w:pPr>
      <w:r>
        <w:rPr>
          <w:rFonts w:ascii="Arial" w:cs="Arial" w:eastAsia="Arial" w:hAnsi="Arial"/>
          <w:sz w:val="24"/>
          <w:szCs w:val="24"/>
        </w:rPr>
        <w:t xml:space="preserve">OZAY, Dervis, JAHANBAKHT, Mohammad, SHOOMAL, Atefeh y WANG, Shouyi, 2024. Artificial intelligence (AI)-based customer relationship management (CRM): a comprehensive bibliometric and systematic literature review with outlook on future research. </w:t>
      </w:r>
      <w:r>
        <w:rPr>
          <w:rFonts w:ascii="Arial" w:cs="Arial" w:eastAsia="Arial" w:hAnsi="Arial"/>
          <w:i/>
          <w:iCs/>
          <w:sz w:val="24"/>
          <w:szCs w:val="24"/>
        </w:rPr>
        <w:t xml:space="preserve">Enterprise Information Systems</w:t>
      </w:r>
      <w:r>
        <w:rPr>
          <w:rFonts w:ascii="Arial" w:cs="Arial" w:eastAsia="Arial" w:hAnsi="Arial"/>
          <w:sz w:val="24"/>
          <w:szCs w:val="24"/>
        </w:rPr>
        <w:t xml:space="preserve">. Vol. 18, n.° 7, art. 2351869. DOI 10.1080/17517575.2024.2351869.</w:t>
      </w:r>
    </w:p>
    <w:p>
      <w:pPr>
        <w:spacing w:after="120" w:before="0" w:line="360"/>
        <w:ind w:left="709" w:hanging="709"/>
        <w:jc w:val="both"/>
      </w:pPr>
      <w:r>
        <w:rPr>
          <w:rFonts w:ascii="Arial" w:cs="Arial" w:eastAsia="Arial" w:hAnsi="Arial"/>
          <w:sz w:val="24"/>
          <w:szCs w:val="24"/>
        </w:rPr>
        <w:t xml:space="preserve">PRESIDENCIA DEL CONSEJO DE MINISTROS, 2025. Decreto Supremo N.° 115-2025-PCM que aprueba el Reglamento de la Ley N.° 31814 [en línea]. </w:t>
      </w:r>
      <w:r>
        <w:rPr>
          <w:rFonts w:ascii="Arial" w:cs="Arial" w:eastAsia="Arial" w:hAnsi="Arial"/>
          <w:i/>
          <w:iCs/>
          <w:sz w:val="24"/>
          <w:szCs w:val="24"/>
        </w:rPr>
        <w:t xml:space="preserve">Diario Oficial El Peruano</w:t>
      </w:r>
      <w:r>
        <w:rPr>
          <w:rFonts w:ascii="Arial" w:cs="Arial" w:eastAsia="Arial" w:hAnsi="Arial"/>
          <w:sz w:val="24"/>
          <w:szCs w:val="24"/>
        </w:rPr>
        <w:t xml:space="preserve">. 9 de septiembre de 2025. Disponible en: https://www.gob.pe/institucion/pcm/normas-legales/7133522-115-2025-pcm</w:t>
      </w:r>
    </w:p>
    <w:p>
      <w:pPr>
        <w:spacing w:after="120" w:before="0" w:line="360"/>
        <w:ind w:left="709" w:hanging="709"/>
        <w:jc w:val="both"/>
      </w:pPr>
      <w:r>
        <w:rPr>
          <w:rFonts w:ascii="Arial" w:cs="Arial" w:eastAsia="Arial" w:hAnsi="Arial"/>
          <w:sz w:val="24"/>
          <w:szCs w:val="24"/>
        </w:rPr>
        <w:t xml:space="preserve">RAMOS DE SANTIS, Pedro, 2024. Satisfacción del cliente en la logística: un análisis de chatbots en las empresas líderes de Colombia, Perú y Ecuador. </w:t>
      </w:r>
      <w:r>
        <w:rPr>
          <w:rFonts w:ascii="Arial" w:cs="Arial" w:eastAsia="Arial" w:hAnsi="Arial"/>
          <w:i/>
          <w:iCs/>
          <w:sz w:val="24"/>
          <w:szCs w:val="24"/>
        </w:rPr>
        <w:t xml:space="preserve">Retos. Revista de Ciencias de la Administración y Economía</w:t>
      </w:r>
      <w:r>
        <w:rPr>
          <w:rFonts w:ascii="Arial" w:cs="Arial" w:eastAsia="Arial" w:hAnsi="Arial"/>
          <w:sz w:val="24"/>
          <w:szCs w:val="24"/>
        </w:rPr>
        <w:t xml:space="preserve">. Vol. 14, n.° 27, pp. 115-130. DOI 10.17163/ret.n27.2024.08.</w:t>
      </w:r>
    </w:p>
    <w:p>
      <w:pPr>
        <w:spacing w:after="120" w:before="0" w:line="360"/>
        <w:ind w:left="709" w:hanging="709"/>
        <w:jc w:val="both"/>
      </w:pPr>
      <w:r>
        <w:rPr>
          <w:rFonts w:ascii="Arial" w:cs="Arial" w:eastAsia="Arial" w:hAnsi="Arial"/>
          <w:sz w:val="24"/>
          <w:szCs w:val="24"/>
        </w:rPr>
        <w:t xml:space="preserve">RANJAN, Ashwini y UPADHYAY, Ashwani Kumar, 2024. Value co-creation by interactive AI in fashion e-commerce. </w:t>
      </w:r>
      <w:r>
        <w:rPr>
          <w:rFonts w:ascii="Arial" w:cs="Arial" w:eastAsia="Arial" w:hAnsi="Arial"/>
          <w:i/>
          <w:iCs/>
          <w:sz w:val="24"/>
          <w:szCs w:val="24"/>
        </w:rPr>
        <w:t xml:space="preserve">Cogent Business &amp; Management</w:t>
      </w:r>
      <w:r>
        <w:rPr>
          <w:rFonts w:ascii="Arial" w:cs="Arial" w:eastAsia="Arial" w:hAnsi="Arial"/>
          <w:sz w:val="24"/>
          <w:szCs w:val="24"/>
        </w:rPr>
        <w:t xml:space="preserve">. Vol. 12, n.° 1, art. 2440127. DOI 10.1080/23311975.2024.2440127.</w:t>
      </w:r>
    </w:p>
    <w:p>
      <w:pPr>
        <w:spacing w:after="120" w:before="0" w:line="360"/>
        <w:ind w:left="709" w:hanging="709"/>
        <w:jc w:val="both"/>
      </w:pPr>
      <w:r>
        <w:rPr>
          <w:rFonts w:ascii="Arial" w:cs="Arial" w:eastAsia="Arial" w:hAnsi="Arial"/>
          <w:sz w:val="24"/>
          <w:szCs w:val="24"/>
        </w:rPr>
        <w:t xml:space="preserve">ROJAS AHUMADA, Kenner Alexander, LÓPEZ ZAVALETA, Verónica y MENDOZA DE LOS SANTOS, Alberto Carlos, 2023. El impacto de la inteligencia artificial en la mejora de la atención al cliente: una revisión sistémica. </w:t>
      </w:r>
      <w:r>
        <w:rPr>
          <w:rFonts w:ascii="Arial" w:cs="Arial" w:eastAsia="Arial" w:hAnsi="Arial"/>
          <w:i/>
          <w:iCs/>
          <w:sz w:val="24"/>
          <w:szCs w:val="24"/>
        </w:rPr>
        <w:t xml:space="preserve">Innovación y Software</w:t>
      </w:r>
      <w:r>
        <w:rPr>
          <w:rFonts w:ascii="Arial" w:cs="Arial" w:eastAsia="Arial" w:hAnsi="Arial"/>
          <w:sz w:val="24"/>
          <w:szCs w:val="24"/>
        </w:rPr>
        <w:t xml:space="preserve">. Vol. 4, n.° 2, pp. 201-222. DOI 10.48168/innosoft.s12.a90.</w:t>
      </w:r>
    </w:p>
    <w:p>
      <w:pPr>
        <w:spacing w:after="120" w:before="0" w:line="360"/>
        <w:ind w:left="709" w:hanging="709"/>
        <w:jc w:val="both"/>
      </w:pPr>
      <w:r>
        <w:rPr>
          <w:rFonts w:ascii="Arial" w:cs="Arial" w:eastAsia="Arial" w:hAnsi="Arial"/>
          <w:sz w:val="24"/>
          <w:szCs w:val="24"/>
        </w:rPr>
        <w:t xml:space="preserve">SHEEHAN, Ben, JIN, Hyun Seung y GOTTLIEB, Udo, 2020. Customer service chatbots: anthropomorphism and adoption. </w:t>
      </w:r>
      <w:r>
        <w:rPr>
          <w:rFonts w:ascii="Arial" w:cs="Arial" w:eastAsia="Arial" w:hAnsi="Arial"/>
          <w:i/>
          <w:iCs/>
          <w:sz w:val="24"/>
          <w:szCs w:val="24"/>
        </w:rPr>
        <w:t xml:space="preserve">Journal of Business Research</w:t>
      </w:r>
      <w:r>
        <w:rPr>
          <w:rFonts w:ascii="Arial" w:cs="Arial" w:eastAsia="Arial" w:hAnsi="Arial"/>
          <w:sz w:val="24"/>
          <w:szCs w:val="24"/>
        </w:rPr>
        <w:t xml:space="preserve">. Vol. 115, pp. 14-24. DOI 10.1016/j.jbusres.2020.04.030.</w:t>
      </w:r>
    </w:p>
    <w:p>
      <w:pPr>
        <w:spacing w:after="120" w:before="0" w:line="360"/>
        <w:ind w:left="709" w:hanging="709"/>
        <w:jc w:val="both"/>
      </w:pPr>
      <w:r>
        <w:rPr>
          <w:rFonts w:ascii="Arial" w:cs="Arial" w:eastAsia="Arial" w:hAnsi="Arial"/>
          <w:sz w:val="24"/>
          <w:szCs w:val="24"/>
        </w:rPr>
        <w:t xml:space="preserve">SIDLAUSKIENE, Justina, JOYE, Yannick y AURUSKEVICIENE, Vilte, 2023. AI-based chatbots in conversational commerce and their effects on product and price perceptions. </w:t>
      </w:r>
      <w:r>
        <w:rPr>
          <w:rFonts w:ascii="Arial" w:cs="Arial" w:eastAsia="Arial" w:hAnsi="Arial"/>
          <w:i/>
          <w:iCs/>
          <w:sz w:val="24"/>
          <w:szCs w:val="24"/>
        </w:rPr>
        <w:t xml:space="preserve">Electronic Markets</w:t>
      </w:r>
      <w:r>
        <w:rPr>
          <w:rFonts w:ascii="Arial" w:cs="Arial" w:eastAsia="Arial" w:hAnsi="Arial"/>
          <w:sz w:val="24"/>
          <w:szCs w:val="24"/>
        </w:rPr>
        <w:t xml:space="preserve">. Vol. 33, n.° 1, art. 24. DOI 10.1007/s12525-023-00633-8.</w:t>
      </w:r>
    </w:p>
    <w:sectPr>
      <w:footerReference w:type="default" r:id="rId6"/>
      <w:pgSz w:w="11906" w:h="16838" w:orient="portrait"/>
      <w:pgMar w:top="1418" w:right="1418" w:bottom="1418" w:left="141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2026-10-01T01:46:33.505Z</dcterms:created>
  <dcterms:modified xsi:type="dcterms:W3CDTF">2026-10-01T01:46:33.506Z</dcterms:modified>
</cp:coreProperties>
</file>

<file path=docProps/custom.xml><?xml version="1.0" encoding="utf-8"?>
<Properties xmlns="http://schemas.openxmlformats.org/officeDocument/2006/custom-properties" xmlns:vt="http://schemas.openxmlformats.org/officeDocument/2006/docPropsVTypes"/>
</file>