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360"/>
        <w:jc w:val="center"/>
      </w:pPr>
      <w:r>
        <w:rPr>
          <w:rFonts w:ascii="Arial" w:cs="Arial" w:eastAsia="Arial" w:hAnsi="Arial"/>
          <w:b/>
          <w:bCs/>
          <w:sz w:val="24"/>
          <w:szCs w:val="24"/>
        </w:rPr>
        <w:t xml:space="preserve">CAPÍTULO II. PROBLEMA Y JUSTIFICACIÓN</w:t>
      </w:r>
    </w:p>
    <w:p>
      <w:pPr>
        <w:keepNext/>
        <w:spacing w:after="120" w:before="240" w:line="360"/>
      </w:pPr>
      <w:r>
        <w:rPr>
          <w:rFonts w:ascii="Arial" w:cs="Arial" w:eastAsia="Arial" w:hAnsi="Arial"/>
          <w:b/>
          <w:bCs/>
          <w:sz w:val="24"/>
          <w:szCs w:val="24"/>
        </w:rPr>
        <w:t xml:space="preserve">2.1. Árbol del problema</w:t>
      </w:r>
    </w:p>
    <w:p>
      <w:pPr>
        <w:spacing w:after="0" w:before="0" w:line="360"/>
        <w:ind w:firstLine="709"/>
        <w:jc w:val="both"/>
      </w:pPr>
      <w:r>
        <w:rPr>
          <w:rFonts w:ascii="Arial" w:cs="Arial" w:eastAsia="Arial" w:hAnsi="Arial"/>
          <w:sz w:val="24"/>
          <w:szCs w:val="24"/>
        </w:rPr>
        <w:t xml:space="preserve">El árbol del problema permitió visualizar el problema central de la investigación, las causas que lo originaron y los efectos que produjo en las organizaciones que gestionan la atención y la venta mediante sistemas de gestión de relaciones con clientes. Su construcción se basó en la evidencia estadística nacional y en la literatura científica revisada, y sirvió como punto de partida para la formulación del problema, los objetivos y las hipótesis.</w:t>
      </w:r>
    </w:p>
    <w:p>
      <w:pPr>
        <w:spacing w:after="120" w:before="120"/>
        <w:jc w:val="center"/>
      </w:pPr>
      <w:r>
        <w:rPr>
          <w:rFonts w:ascii="Arial" w:cs="Arial" w:eastAsia="Arial" w:hAnsi="Arial"/>
          <w:b/>
          <w:bCs/>
          <w:sz w:val="24"/>
          <w:szCs w:val="24"/>
        </w:rPr>
        <w:t xml:space="preserve">Figura 1. Árbol del problema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4"/>
      </w:tblGrid>
      <w:tr>
        <w:tc>
          <w:tcPr>
            <w:tcW w:type="dxa" w:w="9070"/>
            <w:gridSpan w:val="3"/>
            <w:tcBorders>
              <w:top w:val="single" w:color="595959" w:sz="6"/>
              <w:left w:val="single" w:color="595959" w:sz="6"/>
              <w:bottom w:val="single" w:color="595959" w:sz="6"/>
              <w:right w:val="single" w:color="595959" w:sz="6"/>
            </w:tcBorders>
            <w:shd w:fill="D9D9D9" w:color="auto" w:val="clear"/>
            <w:tcMar>
              <w:top w:type="dxa" w:w="80"/>
              <w:left w:type="dxa" w:w="100"/>
              <w:bottom w:type="dxa" w:w="80"/>
              <w:right w:type="dxa" w:w="100"/>
            </w:tcMar>
            <w:vAlign w:val="center"/>
          </w:tcPr>
          <w:p>
            <w:pPr>
              <w:jc w:val="center"/>
            </w:pPr>
            <w:r>
              <w:rPr>
                <w:rFonts w:ascii="Arial" w:cs="Arial" w:eastAsia="Arial" w:hAnsi="Arial"/>
                <w:b/>
                <w:bCs/>
                <w:sz w:val="20"/>
                <w:szCs w:val="20"/>
              </w:rPr>
              <w:t xml:space="preserve">EFECTOS</w:t>
            </w:r>
          </w:p>
        </w:tc>
      </w:tr>
      <w:tr>
        <w:tc>
          <w:tcPr>
            <w:tcW w:type="dxa" w:w="3023"/>
            <w:gridSpan w:val="1"/>
            <w:tcBorders>
              <w:top w:val="single" w:color="595959" w:sz="6"/>
              <w:left w:val="single" w:color="595959" w:sz="6"/>
              <w:bottom w:val="single" w:color="595959" w:sz="6"/>
              <w:right w:val="single" w:color="595959" w:sz="6"/>
            </w:tcBorders>
            <w:shd w:fill="F2F2F2" w:color="auto" w:val="clear"/>
            <w:tcMar>
              <w:top w:type="dxa" w:w="80"/>
              <w:left w:type="dxa" w:w="100"/>
              <w:bottom w:type="dxa" w:w="80"/>
              <w:right w:type="dxa" w:w="100"/>
            </w:tcMar>
            <w:vAlign w:val="center"/>
          </w:tcPr>
          <w:p>
            <w:pPr>
              <w:jc w:val="center"/>
            </w:pPr>
            <w:r>
              <w:rPr>
                <w:rFonts w:ascii="Arial" w:cs="Arial" w:eastAsia="Arial" w:hAnsi="Arial"/>
                <w:b w:val="false"/>
                <w:bCs w:val="false"/>
                <w:sz w:val="20"/>
                <w:szCs w:val="20"/>
              </w:rPr>
              <w:t xml:space="preserve">E1. Tiempos de respuesta prolongados e insatisfacción del cliente</w:t>
            </w:r>
          </w:p>
        </w:tc>
        <w:tc>
          <w:tcPr>
            <w:tcW w:type="dxa" w:w="3023"/>
            <w:gridSpan w:val="1"/>
            <w:tcBorders>
              <w:top w:val="single" w:color="595959" w:sz="6"/>
              <w:left w:val="single" w:color="595959" w:sz="6"/>
              <w:bottom w:val="single" w:color="595959" w:sz="6"/>
              <w:right w:val="single" w:color="595959" w:sz="6"/>
            </w:tcBorders>
            <w:shd w:fill="F2F2F2" w:color="auto" w:val="clear"/>
            <w:tcMar>
              <w:top w:type="dxa" w:w="80"/>
              <w:left w:type="dxa" w:w="100"/>
              <w:bottom w:type="dxa" w:w="80"/>
              <w:right w:type="dxa" w:w="100"/>
            </w:tcMar>
            <w:vAlign w:val="center"/>
          </w:tcPr>
          <w:p>
            <w:pPr>
              <w:jc w:val="center"/>
            </w:pPr>
            <w:r>
              <w:rPr>
                <w:rFonts w:ascii="Arial" w:cs="Arial" w:eastAsia="Arial" w:hAnsi="Arial"/>
                <w:b w:val="false"/>
                <w:bCs w:val="false"/>
                <w:sz w:val="20"/>
                <w:szCs w:val="20"/>
              </w:rPr>
              <w:t xml:space="preserve">E2. Pérdida de oportunidades comerciales y baja tasa de conversión</w:t>
            </w:r>
          </w:p>
        </w:tc>
        <w:tc>
          <w:tcPr>
            <w:tcW w:type="dxa" w:w="3024"/>
            <w:gridSpan w:val="1"/>
            <w:tcBorders>
              <w:top w:val="single" w:color="595959" w:sz="6"/>
              <w:left w:val="single" w:color="595959" w:sz="6"/>
              <w:bottom w:val="single" w:color="595959" w:sz="6"/>
              <w:right w:val="single" w:color="595959" w:sz="6"/>
            </w:tcBorders>
            <w:shd w:fill="F2F2F2" w:color="auto" w:val="clear"/>
            <w:tcMar>
              <w:top w:type="dxa" w:w="80"/>
              <w:left w:type="dxa" w:w="100"/>
              <w:bottom w:type="dxa" w:w="80"/>
              <w:right w:type="dxa" w:w="100"/>
            </w:tcMar>
            <w:vAlign w:val="center"/>
          </w:tcPr>
          <w:p>
            <w:pPr>
              <w:jc w:val="center"/>
            </w:pPr>
            <w:r>
              <w:rPr>
                <w:rFonts w:ascii="Arial" w:cs="Arial" w:eastAsia="Arial" w:hAnsi="Arial"/>
                <w:b w:val="false"/>
                <w:bCs w:val="false"/>
                <w:sz w:val="20"/>
                <w:szCs w:val="20"/>
              </w:rPr>
              <w:t xml:space="preserve">E3. Sobrecarga operativa y baja productividad del personal</w:t>
            </w:r>
          </w:p>
        </w:tc>
      </w:tr>
      <w:tr>
        <w:tc>
          <w:tcPr>
            <w:tcW w:type="dxa" w:w="3023"/>
            <w:gridSpan w:val="1"/>
            <w:tcBorders>
              <w:top w:val="single" w:color="595959" w:sz="6"/>
              <w:left w:val="single" w:color="595959" w:sz="6"/>
              <w:bottom w:val="single" w:color="595959" w:sz="6"/>
              <w:right w:val="single" w:color="595959" w:sz="6"/>
            </w:tcBorders>
            <w:tcMar>
              <w:top w:type="dxa" w:w="80"/>
              <w:left w:type="dxa" w:w="100"/>
              <w:bottom w:type="dxa" w:w="80"/>
              <w:right w:type="dxa" w:w="100"/>
            </w:tcMar>
            <w:vAlign w:val="center"/>
          </w:tcPr>
          <w:p>
            <w:pPr>
              <w:jc w:val="center"/>
            </w:pPr>
            <w:r>
              <w:rPr>
                <w:rFonts w:ascii="Arial" w:cs="Arial" w:eastAsia="Arial" w:hAnsi="Arial"/>
                <w:b w:val="false"/>
                <w:bCs w:val="false"/>
                <w:sz w:val="20"/>
                <w:szCs w:val="20"/>
              </w:rPr>
              <w:t xml:space="preserve">▲</w:t>
            </w:r>
          </w:p>
        </w:tc>
        <w:tc>
          <w:tcPr>
            <w:tcW w:type="dxa" w:w="3023"/>
            <w:gridSpan w:val="1"/>
            <w:tcBorders>
              <w:top w:val="single" w:color="595959" w:sz="6"/>
              <w:left w:val="single" w:color="595959" w:sz="6"/>
              <w:bottom w:val="single" w:color="595959" w:sz="6"/>
              <w:right w:val="single" w:color="595959" w:sz="6"/>
            </w:tcBorders>
            <w:tcMar>
              <w:top w:type="dxa" w:w="80"/>
              <w:left w:type="dxa" w:w="100"/>
              <w:bottom w:type="dxa" w:w="80"/>
              <w:right w:type="dxa" w:w="100"/>
            </w:tcMar>
            <w:vAlign w:val="center"/>
          </w:tcPr>
          <w:p>
            <w:pPr>
              <w:jc w:val="center"/>
            </w:pPr>
            <w:r>
              <w:rPr>
                <w:rFonts w:ascii="Arial" w:cs="Arial" w:eastAsia="Arial" w:hAnsi="Arial"/>
                <w:b w:val="false"/>
                <w:bCs w:val="false"/>
                <w:sz w:val="20"/>
                <w:szCs w:val="20"/>
              </w:rPr>
              <w:t xml:space="preserve">▲</w:t>
            </w:r>
          </w:p>
        </w:tc>
        <w:tc>
          <w:tcPr>
            <w:tcW w:type="dxa" w:w="3024"/>
            <w:gridSpan w:val="1"/>
            <w:tcBorders>
              <w:top w:val="single" w:color="595959" w:sz="6"/>
              <w:left w:val="single" w:color="595959" w:sz="6"/>
              <w:bottom w:val="single" w:color="595959" w:sz="6"/>
              <w:right w:val="single" w:color="595959" w:sz="6"/>
            </w:tcBorders>
            <w:tcMar>
              <w:top w:type="dxa" w:w="80"/>
              <w:left w:type="dxa" w:w="100"/>
              <w:bottom w:type="dxa" w:w="80"/>
              <w:right w:type="dxa" w:w="100"/>
            </w:tcMar>
            <w:vAlign w:val="center"/>
          </w:tcPr>
          <w:p>
            <w:pPr>
              <w:jc w:val="center"/>
            </w:pPr>
            <w:r>
              <w:rPr>
                <w:rFonts w:ascii="Arial" w:cs="Arial" w:eastAsia="Arial" w:hAnsi="Arial"/>
                <w:b w:val="false"/>
                <w:bCs w:val="false"/>
                <w:sz w:val="20"/>
                <w:szCs w:val="20"/>
              </w:rPr>
              <w:t xml:space="preserve">▲</w:t>
            </w:r>
          </w:p>
        </w:tc>
      </w:tr>
      <w:tr>
        <w:tc>
          <w:tcPr>
            <w:tcW w:type="dxa" w:w="9070"/>
            <w:gridSpan w:val="3"/>
            <w:tcBorders>
              <w:top w:val="single" w:color="595959" w:sz="6"/>
              <w:left w:val="single" w:color="595959" w:sz="6"/>
              <w:bottom w:val="single" w:color="595959" w:sz="6"/>
              <w:right w:val="single" w:color="595959" w:sz="6"/>
            </w:tcBorders>
            <w:shd w:fill="D9D9D9" w:color="auto" w:val="clear"/>
            <w:tcMar>
              <w:top w:type="dxa" w:w="80"/>
              <w:left w:type="dxa" w:w="100"/>
              <w:bottom w:type="dxa" w:w="80"/>
              <w:right w:type="dxa" w:w="100"/>
            </w:tcMar>
            <w:vAlign w:val="center"/>
          </w:tcPr>
          <w:p>
            <w:pPr>
              <w:jc w:val="center"/>
            </w:pPr>
            <w:r>
              <w:rPr>
                <w:rFonts w:ascii="Arial" w:cs="Arial" w:eastAsia="Arial" w:hAnsi="Arial"/>
                <w:b/>
                <w:bCs/>
                <w:sz w:val="20"/>
                <w:szCs w:val="20"/>
              </w:rPr>
              <w:t xml:space="preserve">PROBLEMA CENTRAL</w:t>
            </w:r>
          </w:p>
        </w:tc>
      </w:tr>
      <w:tr>
        <w:tc>
          <w:tcPr>
            <w:tcW w:type="dxa" w:w="9070"/>
            <w:gridSpan w:val="3"/>
            <w:tcBorders>
              <w:top w:val="single" w:color="595959" w:sz="6"/>
              <w:left w:val="single" w:color="595959" w:sz="6"/>
              <w:bottom w:val="single" w:color="595959" w:sz="6"/>
              <w:right w:val="single" w:color="595959" w:sz="6"/>
            </w:tcBorders>
            <w:shd w:fill="FFFFFF" w:color="auto" w:val="clear"/>
            <w:tcMar>
              <w:top w:type="dxa" w:w="80"/>
              <w:left w:type="dxa" w:w="100"/>
              <w:bottom w:type="dxa" w:w="80"/>
              <w:right w:type="dxa" w:w="100"/>
            </w:tcMar>
            <w:vAlign w:val="center"/>
          </w:tcPr>
          <w:p>
            <w:pPr>
              <w:jc w:val="center"/>
            </w:pPr>
            <w:r>
              <w:rPr>
                <w:rFonts w:ascii="Arial" w:cs="Arial" w:eastAsia="Arial" w:hAnsi="Arial"/>
                <w:b/>
                <w:bCs/>
                <w:sz w:val="20"/>
                <w:szCs w:val="20"/>
              </w:rPr>
              <w:t xml:space="preserve">Deficiente capacidad de respuesta y baja conversión comercial en la atención al cliente gestionada mediante sistemas de gestión de relaciones con clientes en empresas comerciales de Piura</w:t>
            </w:r>
          </w:p>
        </w:tc>
      </w:tr>
      <w:tr>
        <w:tc>
          <w:tcPr>
            <w:tcW w:type="dxa" w:w="3023"/>
            <w:gridSpan w:val="1"/>
            <w:tcBorders>
              <w:top w:val="single" w:color="595959" w:sz="6"/>
              <w:left w:val="single" w:color="595959" w:sz="6"/>
              <w:bottom w:val="single" w:color="595959" w:sz="6"/>
              <w:right w:val="single" w:color="595959" w:sz="6"/>
            </w:tcBorders>
            <w:tcMar>
              <w:top w:type="dxa" w:w="80"/>
              <w:left w:type="dxa" w:w="100"/>
              <w:bottom w:type="dxa" w:w="80"/>
              <w:right w:type="dxa" w:w="100"/>
            </w:tcMar>
            <w:vAlign w:val="center"/>
          </w:tcPr>
          <w:p>
            <w:pPr>
              <w:jc w:val="center"/>
            </w:pPr>
            <w:r>
              <w:rPr>
                <w:rFonts w:ascii="Arial" w:cs="Arial" w:eastAsia="Arial" w:hAnsi="Arial"/>
                <w:b w:val="false"/>
                <w:bCs w:val="false"/>
                <w:sz w:val="20"/>
                <w:szCs w:val="20"/>
              </w:rPr>
              <w:t xml:space="preserve">▲</w:t>
            </w:r>
          </w:p>
        </w:tc>
        <w:tc>
          <w:tcPr>
            <w:tcW w:type="dxa" w:w="3023"/>
            <w:gridSpan w:val="1"/>
            <w:tcBorders>
              <w:top w:val="single" w:color="595959" w:sz="6"/>
              <w:left w:val="single" w:color="595959" w:sz="6"/>
              <w:bottom w:val="single" w:color="595959" w:sz="6"/>
              <w:right w:val="single" w:color="595959" w:sz="6"/>
            </w:tcBorders>
            <w:tcMar>
              <w:top w:type="dxa" w:w="80"/>
              <w:left w:type="dxa" w:w="100"/>
              <w:bottom w:type="dxa" w:w="80"/>
              <w:right w:type="dxa" w:w="100"/>
            </w:tcMar>
            <w:vAlign w:val="center"/>
          </w:tcPr>
          <w:p>
            <w:pPr>
              <w:jc w:val="center"/>
            </w:pPr>
            <w:r>
              <w:rPr>
                <w:rFonts w:ascii="Arial" w:cs="Arial" w:eastAsia="Arial" w:hAnsi="Arial"/>
                <w:b w:val="false"/>
                <w:bCs w:val="false"/>
                <w:sz w:val="20"/>
                <w:szCs w:val="20"/>
              </w:rPr>
              <w:t xml:space="preserve">▲</w:t>
            </w:r>
          </w:p>
        </w:tc>
        <w:tc>
          <w:tcPr>
            <w:tcW w:type="dxa" w:w="3024"/>
            <w:gridSpan w:val="1"/>
            <w:tcBorders>
              <w:top w:val="single" w:color="595959" w:sz="6"/>
              <w:left w:val="single" w:color="595959" w:sz="6"/>
              <w:bottom w:val="single" w:color="595959" w:sz="6"/>
              <w:right w:val="single" w:color="595959" w:sz="6"/>
            </w:tcBorders>
            <w:tcMar>
              <w:top w:type="dxa" w:w="80"/>
              <w:left w:type="dxa" w:w="100"/>
              <w:bottom w:type="dxa" w:w="80"/>
              <w:right w:type="dxa" w:w="100"/>
            </w:tcMar>
            <w:vAlign w:val="center"/>
          </w:tcPr>
          <w:p>
            <w:pPr>
              <w:jc w:val="center"/>
            </w:pPr>
            <w:r>
              <w:rPr>
                <w:rFonts w:ascii="Arial" w:cs="Arial" w:eastAsia="Arial" w:hAnsi="Arial"/>
                <w:b w:val="false"/>
                <w:bCs w:val="false"/>
                <w:sz w:val="20"/>
                <w:szCs w:val="20"/>
              </w:rPr>
              <w:t xml:space="preserve">▲</w:t>
            </w:r>
          </w:p>
        </w:tc>
      </w:tr>
      <w:tr>
        <w:tc>
          <w:tcPr>
            <w:tcW w:type="dxa" w:w="9070"/>
            <w:gridSpan w:val="3"/>
            <w:tcBorders>
              <w:top w:val="single" w:color="595959" w:sz="6"/>
              <w:left w:val="single" w:color="595959" w:sz="6"/>
              <w:bottom w:val="single" w:color="595959" w:sz="6"/>
              <w:right w:val="single" w:color="595959" w:sz="6"/>
            </w:tcBorders>
            <w:shd w:fill="D9D9D9" w:color="auto" w:val="clear"/>
            <w:tcMar>
              <w:top w:type="dxa" w:w="80"/>
              <w:left w:type="dxa" w:w="100"/>
              <w:bottom w:type="dxa" w:w="80"/>
              <w:right w:type="dxa" w:w="100"/>
            </w:tcMar>
            <w:vAlign w:val="center"/>
          </w:tcPr>
          <w:p>
            <w:pPr>
              <w:jc w:val="center"/>
            </w:pPr>
            <w:r>
              <w:rPr>
                <w:rFonts w:ascii="Arial" w:cs="Arial" w:eastAsia="Arial" w:hAnsi="Arial"/>
                <w:b/>
                <w:bCs/>
                <w:sz w:val="20"/>
                <w:szCs w:val="20"/>
              </w:rPr>
              <w:t xml:space="preserve">CAUSAS</w:t>
            </w:r>
          </w:p>
        </w:tc>
      </w:tr>
      <w:tr>
        <w:tc>
          <w:tcPr>
            <w:tcW w:type="dxa" w:w="3023"/>
            <w:gridSpan w:val="1"/>
            <w:tcBorders>
              <w:top w:val="single" w:color="595959" w:sz="6"/>
              <w:left w:val="single" w:color="595959" w:sz="6"/>
              <w:bottom w:val="single" w:color="595959" w:sz="6"/>
              <w:right w:val="single" w:color="595959" w:sz="6"/>
            </w:tcBorders>
            <w:shd w:fill="F2F2F2" w:color="auto" w:val="clear"/>
            <w:tcMar>
              <w:top w:type="dxa" w:w="80"/>
              <w:left w:type="dxa" w:w="100"/>
              <w:bottom w:type="dxa" w:w="80"/>
              <w:right w:type="dxa" w:w="100"/>
            </w:tcMar>
            <w:vAlign w:val="center"/>
          </w:tcPr>
          <w:p>
            <w:pPr>
              <w:jc w:val="center"/>
            </w:pPr>
            <w:r>
              <w:rPr>
                <w:rFonts w:ascii="Arial" w:cs="Arial" w:eastAsia="Arial" w:hAnsi="Arial"/>
                <w:b w:val="false"/>
                <w:bCs w:val="false"/>
                <w:sz w:val="20"/>
                <w:szCs w:val="20"/>
              </w:rPr>
              <w:t xml:space="preserve">C1. Atención dependiente exclusivamente de personal humano, con capacidad limitada por horario y volumen</w:t>
            </w:r>
          </w:p>
        </w:tc>
        <w:tc>
          <w:tcPr>
            <w:tcW w:type="dxa" w:w="3023"/>
            <w:gridSpan w:val="1"/>
            <w:tcBorders>
              <w:top w:val="single" w:color="595959" w:sz="6"/>
              <w:left w:val="single" w:color="595959" w:sz="6"/>
              <w:bottom w:val="single" w:color="595959" w:sz="6"/>
              <w:right w:val="single" w:color="595959" w:sz="6"/>
            </w:tcBorders>
            <w:shd w:fill="F2F2F2" w:color="auto" w:val="clear"/>
            <w:tcMar>
              <w:top w:type="dxa" w:w="80"/>
              <w:left w:type="dxa" w:w="100"/>
              <w:bottom w:type="dxa" w:w="80"/>
              <w:right w:type="dxa" w:w="100"/>
            </w:tcMar>
            <w:vAlign w:val="center"/>
          </w:tcPr>
          <w:p>
            <w:pPr>
              <w:jc w:val="center"/>
            </w:pPr>
            <w:r>
              <w:rPr>
                <w:rFonts w:ascii="Arial" w:cs="Arial" w:eastAsia="Arial" w:hAnsi="Arial"/>
                <w:b w:val="false"/>
                <w:bCs w:val="false"/>
                <w:sz w:val="20"/>
                <w:szCs w:val="20"/>
              </w:rPr>
              <w:t xml:space="preserve">C2. Subutilización del sistema de gestión de relaciones con clientes como herramienta de respuesta y venta</w:t>
            </w:r>
          </w:p>
        </w:tc>
        <w:tc>
          <w:tcPr>
            <w:tcW w:type="dxa" w:w="3024"/>
            <w:gridSpan w:val="1"/>
            <w:tcBorders>
              <w:top w:val="single" w:color="595959" w:sz="6"/>
              <w:left w:val="single" w:color="595959" w:sz="6"/>
              <w:bottom w:val="single" w:color="595959" w:sz="6"/>
              <w:right w:val="single" w:color="595959" w:sz="6"/>
            </w:tcBorders>
            <w:shd w:fill="F2F2F2" w:color="auto" w:val="clear"/>
            <w:tcMar>
              <w:top w:type="dxa" w:w="80"/>
              <w:left w:type="dxa" w:w="100"/>
              <w:bottom w:type="dxa" w:w="80"/>
              <w:right w:type="dxa" w:w="100"/>
            </w:tcMar>
            <w:vAlign w:val="center"/>
          </w:tcPr>
          <w:p>
            <w:pPr>
              <w:jc w:val="center"/>
            </w:pPr>
            <w:r>
              <w:rPr>
                <w:rFonts w:ascii="Arial" w:cs="Arial" w:eastAsia="Arial" w:hAnsi="Arial"/>
                <w:b w:val="false"/>
                <w:bCs w:val="false"/>
                <w:sz w:val="20"/>
                <w:szCs w:val="20"/>
              </w:rPr>
              <w:t xml:space="preserve">C3. Limitada capacidad tecnológica y escaso talento digital en las micro, pequeñas y medianas empresas</w:t>
            </w:r>
          </w:p>
        </w:tc>
      </w:tr>
    </w:tbl>
    <w:p>
      <w:pPr>
        <w:spacing w:after="120"/>
      </w:pPr>
      <w:r>
        <w:rPr>
          <w:rFonts w:ascii="Arial" w:cs="Arial" w:eastAsia="Arial" w:hAnsi="Arial"/>
          <w:sz w:val="20"/>
          <w:szCs w:val="20"/>
        </w:rPr>
        <w:t xml:space="preserve">Nota. Elaboración propia a partir de la evidencia revisada.</w:t>
      </w:r>
    </w:p>
    <w:p>
      <w:pPr>
        <w:keepNext/>
        <w:spacing w:after="120" w:before="120" w:line="360"/>
      </w:pPr>
      <w:r>
        <w:rPr>
          <w:rFonts w:ascii="Arial" w:cs="Arial" w:eastAsia="Arial" w:hAnsi="Arial"/>
          <w:b/>
          <w:bCs/>
          <w:sz w:val="24"/>
          <w:szCs w:val="24"/>
        </w:rPr>
        <w:t xml:space="preserve">2.1.1. Problema central</w:t>
      </w:r>
    </w:p>
    <w:p>
      <w:pPr>
        <w:spacing w:after="0" w:before="0" w:line="360"/>
        <w:ind w:firstLine="709"/>
        <w:jc w:val="both"/>
      </w:pPr>
      <w:r>
        <w:rPr>
          <w:rFonts w:ascii="Arial" w:cs="Arial" w:eastAsia="Arial" w:hAnsi="Arial"/>
          <w:sz w:val="24"/>
          <w:szCs w:val="24"/>
        </w:rPr>
        <w:t xml:space="preserve">Deficiente capacidad de respuesta y baja conversión comercial en la atención al cliente gestionada mediante sistemas de gestión de relaciones con clientes en empresas comerciales de Piura.</w:t>
      </w:r>
    </w:p>
    <w:p>
      <w:pPr>
        <w:keepNext/>
        <w:spacing w:after="120" w:before="120" w:line="360"/>
      </w:pPr>
      <w:r>
        <w:rPr>
          <w:rFonts w:ascii="Arial" w:cs="Arial" w:eastAsia="Arial" w:hAnsi="Arial"/>
          <w:b/>
          <w:bCs/>
          <w:sz w:val="24"/>
          <w:szCs w:val="24"/>
        </w:rPr>
        <w:t xml:space="preserve">2.1.2. Causas principales (lista priorizada)</w:t>
      </w:r>
    </w:p>
    <w:p>
      <w:pPr>
        <w:pStyle w:val="ListParagraph"/>
        <w:numPr>
          <w:ilvl w:val="0"/>
          <w:numId w:val="2"/>
        </w:numPr>
        <w:spacing w:after="60" w:before="0" w:line="360"/>
        <w:jc w:val="both"/>
      </w:pPr>
      <w:r>
        <w:rPr>
          <w:rFonts w:ascii="Arial" w:cs="Arial" w:eastAsia="Arial" w:hAnsi="Arial"/>
          <w:sz w:val="24"/>
          <w:szCs w:val="24"/>
        </w:rPr>
        <w:t xml:space="preserve">Atención dependiente exclusivamente de personal humano, con capacidad limitada por horario y volumen. Constituyó la causa de mayor peso, porque determinó directamente los tiempos de espera y la saturación de los canales digitales. Gartner estimó que los costos laborales podían representar hasta el 95 % de los costos de un centro de contacto y que apenas alrededor del 1,6 % de las interacciones se encontraba automatizado mediante inteligencia artificial [1], mientras que en el Perú el 45,6 % de las empresas que utilizaron internet lo empleó para ofrecer servicio al cliente [28], lo que evidenció una demanda digital creciente atendida con recursos humanos limitados.</w:t>
      </w:r>
    </w:p>
    <w:p>
      <w:pPr>
        <w:pStyle w:val="ListParagraph"/>
        <w:numPr>
          <w:ilvl w:val="0"/>
          <w:numId w:val="2"/>
        </w:numPr>
        <w:spacing w:after="60" w:before="0" w:line="360"/>
        <w:jc w:val="both"/>
      </w:pPr>
      <w:r>
        <w:rPr>
          <w:rFonts w:ascii="Arial" w:cs="Arial" w:eastAsia="Arial" w:hAnsi="Arial"/>
          <w:sz w:val="24"/>
          <w:szCs w:val="24"/>
        </w:rPr>
        <w:t xml:space="preserve">Subutilización del sistema de gestión de relaciones con clientes. Los sistemas se emplearon principalmente como repositorios de datos y no como herramientas capaces de responder, recomendar o vender de forma automática a partir del historial del cliente. A nivel nacional, solo el 4,8 % de las empresas utilizó un software de gestión de relaciones con el cliente y apenas el 1,7 % realizó análisis de grandes volúmenes de datos [28], lo que reflejó un aprovechamiento incipiente de la información comercial.</w:t>
      </w:r>
    </w:p>
    <w:p>
      <w:pPr>
        <w:pStyle w:val="ListParagraph"/>
        <w:numPr>
          <w:ilvl w:val="0"/>
          <w:numId w:val="2"/>
        </w:numPr>
        <w:spacing w:after="60" w:before="0" w:line="360"/>
        <w:jc w:val="both"/>
      </w:pPr>
      <w:r>
        <w:rPr>
          <w:rFonts w:ascii="Arial" w:cs="Arial" w:eastAsia="Arial" w:hAnsi="Arial"/>
          <w:sz w:val="24"/>
          <w:szCs w:val="24"/>
        </w:rPr>
        <w:t xml:space="preserve">Limitada capacidad tecnológica y escaso talento digital en las micro, pequeñas y medianas empresas. Solo el 22,6 % de las empresas capacitó a sus trabajadores en el uso de tecnologías de la información y la comunicación [28], y el Perú se ubicó en la séptima posición del Índice Latinoamericano de Inteligencia Artificial [5], [7], lo que restringió la incorporación de soluciones de automatización inteligente.</w:t>
      </w:r>
    </w:p>
    <w:p>
      <w:pPr>
        <w:keepNext/>
        <w:spacing w:after="120" w:before="120" w:line="360"/>
      </w:pPr>
      <w:r>
        <w:rPr>
          <w:rFonts w:ascii="Arial" w:cs="Arial" w:eastAsia="Arial" w:hAnsi="Arial"/>
          <w:b/>
          <w:bCs/>
          <w:sz w:val="24"/>
          <w:szCs w:val="24"/>
        </w:rPr>
        <w:t xml:space="preserve">2.1.3. Efectos principales</w:t>
      </w:r>
    </w:p>
    <w:p>
      <w:pPr>
        <w:pStyle w:val="ListParagraph"/>
        <w:numPr>
          <w:ilvl w:val="0"/>
          <w:numId w:val="3"/>
        </w:numPr>
        <w:spacing w:after="60" w:before="0" w:line="360"/>
        <w:jc w:val="both"/>
      </w:pPr>
      <w:r>
        <w:rPr>
          <w:rFonts w:ascii="Arial" w:cs="Arial" w:eastAsia="Arial" w:hAnsi="Arial"/>
          <w:sz w:val="24"/>
          <w:szCs w:val="24"/>
        </w:rPr>
        <w:t xml:space="preserve">Tiempos de respuesta prolongados e insatisfacción del cliente, dado que la satisfacción con los canales conversacionales dependió de la calidad y la oportunidad de las respuestas [4].</w:t>
      </w:r>
    </w:p>
    <w:p>
      <w:pPr>
        <w:pStyle w:val="ListParagraph"/>
        <w:numPr>
          <w:ilvl w:val="0"/>
          <w:numId w:val="3"/>
        </w:numPr>
        <w:spacing w:after="60" w:before="0" w:line="360"/>
        <w:jc w:val="both"/>
      </w:pPr>
      <w:r>
        <w:rPr>
          <w:rFonts w:ascii="Arial" w:cs="Arial" w:eastAsia="Arial" w:hAnsi="Arial"/>
          <w:sz w:val="24"/>
          <w:szCs w:val="24"/>
        </w:rPr>
        <w:t xml:space="preserve">Pérdida de oportunidades comerciales y baja tasa de conversión, por cuanto las consultas no atendidas a tiempo no se transformaron en ventas; en el país, solo el 7,5 % de las empresas vendió sus productos o servicios a través de internet [28].</w:t>
      </w:r>
    </w:p>
    <w:p>
      <w:pPr>
        <w:pStyle w:val="ListParagraph"/>
        <w:numPr>
          <w:ilvl w:val="0"/>
          <w:numId w:val="3"/>
        </w:numPr>
        <w:spacing w:after="60" w:before="0" w:line="360"/>
        <w:jc w:val="both"/>
      </w:pPr>
      <w:r>
        <w:rPr>
          <w:rFonts w:ascii="Arial" w:cs="Arial" w:eastAsia="Arial" w:hAnsi="Arial"/>
          <w:sz w:val="24"/>
          <w:szCs w:val="24"/>
        </w:rPr>
        <w:t xml:space="preserve">Sobrecarga operativa y baja productividad del personal de atención, que dedicó su tiempo a consultas repetitivas en lugar de actividades de mayor valor, en contraste con el incremento de productividad observado cuando el personal fue asistido por inteligencia artificial [3].</w:t>
      </w:r>
    </w:p>
    <w:p>
      <w:pPr>
        <w:keepNext/>
        <w:spacing w:after="120" w:before="120" w:line="360"/>
      </w:pPr>
      <w:r>
        <w:rPr>
          <w:rFonts w:ascii="Arial" w:cs="Arial" w:eastAsia="Arial" w:hAnsi="Arial"/>
          <w:b/>
          <w:bCs/>
          <w:sz w:val="24"/>
          <w:szCs w:val="24"/>
        </w:rPr>
        <w:t xml:space="preserve">2.1.4. Supuestos que deben cumplirse</w:t>
      </w:r>
    </w:p>
    <w:p>
      <w:pPr>
        <w:pStyle w:val="ListParagraph"/>
        <w:numPr>
          <w:ilvl w:val="0"/>
          <w:numId w:val="4"/>
        </w:numPr>
        <w:spacing w:after="60" w:before="0" w:line="360"/>
        <w:jc w:val="both"/>
      </w:pPr>
      <w:r>
        <w:rPr>
          <w:rFonts w:ascii="Arial" w:cs="Arial" w:eastAsia="Arial" w:hAnsi="Arial"/>
          <w:sz w:val="24"/>
          <w:szCs w:val="24"/>
        </w:rPr>
        <w:t xml:space="preserve">La empresa en estudio dispone de un sistema de gestión de relaciones con clientes operativo, con registros históricos suficientes de interacciones, tiempos de respuesta y ventas para construir la línea base.</w:t>
      </w:r>
    </w:p>
    <w:p>
      <w:pPr>
        <w:pStyle w:val="ListParagraph"/>
        <w:numPr>
          <w:ilvl w:val="0"/>
          <w:numId w:val="4"/>
        </w:numPr>
        <w:spacing w:after="60" w:before="0" w:line="360"/>
        <w:jc w:val="both"/>
      </w:pPr>
      <w:r>
        <w:rPr>
          <w:rFonts w:ascii="Arial" w:cs="Arial" w:eastAsia="Arial" w:hAnsi="Arial"/>
          <w:sz w:val="24"/>
          <w:szCs w:val="24"/>
        </w:rPr>
        <w:t xml:space="preserve">Los canales digitales de la empresa, como mensajería instantánea y sitio web, reciben un volumen de consultas suficiente para medir cambios estadísticamente significativos antes y después de la implementación.</w:t>
      </w:r>
    </w:p>
    <w:p>
      <w:pPr>
        <w:pStyle w:val="ListParagraph"/>
        <w:numPr>
          <w:ilvl w:val="0"/>
          <w:numId w:val="4"/>
        </w:numPr>
        <w:spacing w:after="60" w:before="0" w:line="360"/>
        <w:jc w:val="both"/>
      </w:pPr>
      <w:r>
        <w:rPr>
          <w:rFonts w:ascii="Arial" w:cs="Arial" w:eastAsia="Arial" w:hAnsi="Arial"/>
          <w:sz w:val="24"/>
          <w:szCs w:val="24"/>
        </w:rPr>
        <w:t xml:space="preserve">La empresa autoriza el acceso a sus datos y la integración técnica del agente de respuesta, manteniendo la reserva de su identidad institucional.</w:t>
      </w:r>
    </w:p>
    <w:p>
      <w:pPr>
        <w:pStyle w:val="ListParagraph"/>
        <w:numPr>
          <w:ilvl w:val="0"/>
          <w:numId w:val="4"/>
        </w:numPr>
        <w:spacing w:after="60" w:before="0" w:line="360"/>
        <w:jc w:val="both"/>
      </w:pPr>
      <w:r>
        <w:rPr>
          <w:rFonts w:ascii="Arial" w:cs="Arial" w:eastAsia="Arial" w:hAnsi="Arial"/>
          <w:sz w:val="24"/>
          <w:szCs w:val="24"/>
        </w:rPr>
        <w:t xml:space="preserve">El tratamiento de los datos de los clientes cumple la Ley N.° 29733, de Protección de Datos Personales [29], y los principios de uso responsable, ético, seguro y transparente de la inteligencia artificial establecidos en la Ley N.° 31814 y su reglamento [8], [9].</w:t>
      </w:r>
    </w:p>
    <w:p>
      <w:pPr>
        <w:pStyle w:val="ListParagraph"/>
        <w:numPr>
          <w:ilvl w:val="0"/>
          <w:numId w:val="4"/>
        </w:numPr>
        <w:spacing w:after="60" w:before="0" w:line="360"/>
        <w:jc w:val="both"/>
      </w:pPr>
      <w:r>
        <w:rPr>
          <w:rFonts w:ascii="Arial" w:cs="Arial" w:eastAsia="Arial" w:hAnsi="Arial"/>
          <w:sz w:val="24"/>
          <w:szCs w:val="24"/>
        </w:rPr>
        <w:t xml:space="preserve">Las condiciones comerciales se mantienen estables entre la medición previa y la posterior, sin campañas extraordinarias ni cambios de precios que distorsionen los indicadores de venta.</w:t>
      </w:r>
    </w:p>
    <w:p>
      <w:pPr>
        <w:pStyle w:val="ListParagraph"/>
        <w:numPr>
          <w:ilvl w:val="0"/>
          <w:numId w:val="4"/>
        </w:numPr>
        <w:spacing w:after="60" w:before="0" w:line="360"/>
        <w:jc w:val="both"/>
      </w:pPr>
      <w:r>
        <w:rPr>
          <w:rFonts w:ascii="Arial" w:cs="Arial" w:eastAsia="Arial" w:hAnsi="Arial"/>
          <w:sz w:val="24"/>
          <w:szCs w:val="24"/>
        </w:rPr>
        <w:t xml:space="preserve">El personal de atención acepta operar bajo un modelo híbrido en el que el agente deriva a una persona las consultas que exceden su capacidad.</w:t>
      </w:r>
    </w:p>
    <w:p>
      <w:pPr>
        <w:keepNext/>
        <w:spacing w:after="120" w:before="240" w:line="360"/>
      </w:pPr>
      <w:r>
        <w:rPr>
          <w:rFonts w:ascii="Arial" w:cs="Arial" w:eastAsia="Arial" w:hAnsi="Arial"/>
          <w:b/>
          <w:bCs/>
          <w:sz w:val="24"/>
          <w:szCs w:val="24"/>
        </w:rPr>
        <w:t xml:space="preserve">2.2. Planteamiento del problema</w:t>
      </w:r>
    </w:p>
    <w:p>
      <w:pPr>
        <w:spacing w:after="120" w:before="0" w:line="360"/>
      </w:pPr>
      <w:r>
        <w:rPr>
          <w:rFonts w:ascii="Arial" w:cs="Arial" w:eastAsia="Arial" w:hAnsi="Arial"/>
          <w:b/>
          <w:bCs/>
          <w:sz w:val="24"/>
          <w:szCs w:val="24"/>
        </w:rPr>
        <w:t xml:space="preserve">Información de entrada: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c>
          <w:tcPr>
            <w:tcW w:type="dxa" w:w="2600"/>
            <w:tcBorders>
              <w:top w:val="single" w:color="595959" w:sz="6"/>
              <w:left w:val="single" w:color="595959" w:sz="6"/>
              <w:bottom w:val="single" w:color="595959" w:sz="6"/>
              <w:right w:val="single" w:color="595959" w:sz="6"/>
            </w:tcBorders>
            <w:shd w:fill="F2F2F2" w:color="auto" w:val="clear"/>
            <w:tcMar>
              <w:top w:type="dxa" w:w="60"/>
              <w:left w:type="dxa" w:w="100"/>
              <w:bottom w:type="dxa" w:w="60"/>
              <w:right w:type="dxa" w:w="100"/>
            </w:tcMar>
          </w:tcPr>
          <w:p>
            <w:r>
              <w:rPr>
                <w:rFonts w:ascii="Arial" w:cs="Arial" w:eastAsia="Arial" w:hAnsi="Arial"/>
                <w:b/>
                <w:bCs/>
                <w:sz w:val="22"/>
                <w:szCs w:val="22"/>
              </w:rPr>
              <w:t xml:space="preserve">Tema de investigación</w:t>
            </w:r>
          </w:p>
        </w:tc>
        <w:tc>
          <w:tcPr>
            <w:tcW w:type="dxa" w:w="6470"/>
            <w:tcBorders>
              <w:top w:val="single" w:color="595959" w:sz="6"/>
              <w:left w:val="single" w:color="595959" w:sz="6"/>
              <w:bottom w:val="single" w:color="595959" w:sz="6"/>
              <w:right w:val="single" w:color="595959" w:sz="6"/>
            </w:tcBorders>
            <w:tcMar>
              <w:top w:type="dxa" w:w="60"/>
              <w:left w:type="dxa" w:w="100"/>
              <w:bottom w:type="dxa" w:w="60"/>
              <w:right w:type="dxa" w:w="100"/>
            </w:tcMar>
          </w:tcPr>
          <w:p>
            <w:r>
              <w:rPr>
                <w:rFonts w:ascii="Arial" w:cs="Arial" w:eastAsia="Arial" w:hAnsi="Arial"/>
                <w:sz w:val="22"/>
                <w:szCs w:val="22"/>
              </w:rPr>
              <w:t xml:space="preserve">Implementación de inteligencia artificial como agente de respuesta para atención al cliente y ventas en un sistema de gestión de relaciones con clientes</w:t>
            </w:r>
          </w:p>
        </w:tc>
      </w:tr>
      <w:tr>
        <w:tc>
          <w:tcPr>
            <w:tcW w:type="dxa" w:w="2600"/>
            <w:tcBorders>
              <w:top w:val="single" w:color="595959" w:sz="6"/>
              <w:left w:val="single" w:color="595959" w:sz="6"/>
              <w:bottom w:val="single" w:color="595959" w:sz="6"/>
              <w:right w:val="single" w:color="595959" w:sz="6"/>
            </w:tcBorders>
            <w:shd w:fill="F2F2F2" w:color="auto" w:val="clear"/>
            <w:tcMar>
              <w:top w:type="dxa" w:w="60"/>
              <w:left w:type="dxa" w:w="100"/>
              <w:bottom w:type="dxa" w:w="60"/>
              <w:right w:type="dxa" w:w="100"/>
            </w:tcMar>
          </w:tcPr>
          <w:p>
            <w:r>
              <w:rPr>
                <w:rFonts w:ascii="Arial" w:cs="Arial" w:eastAsia="Arial" w:hAnsi="Arial"/>
                <w:b/>
                <w:bCs/>
                <w:sz w:val="22"/>
                <w:szCs w:val="22"/>
              </w:rPr>
              <w:t xml:space="preserve">Título tentativo</w:t>
            </w:r>
          </w:p>
        </w:tc>
        <w:tc>
          <w:tcPr>
            <w:tcW w:type="dxa" w:w="6470"/>
            <w:tcBorders>
              <w:top w:val="single" w:color="595959" w:sz="6"/>
              <w:left w:val="single" w:color="595959" w:sz="6"/>
              <w:bottom w:val="single" w:color="595959" w:sz="6"/>
              <w:right w:val="single" w:color="595959" w:sz="6"/>
            </w:tcBorders>
            <w:tcMar>
              <w:top w:type="dxa" w:w="60"/>
              <w:left w:type="dxa" w:w="100"/>
              <w:bottom w:type="dxa" w:w="60"/>
              <w:right w:type="dxa" w:w="100"/>
            </w:tcMar>
          </w:tcPr>
          <w:p>
            <w:r>
              <w:rPr>
                <w:rFonts w:ascii="Arial" w:cs="Arial" w:eastAsia="Arial" w:hAnsi="Arial"/>
                <w:sz w:val="22"/>
                <w:szCs w:val="22"/>
              </w:rPr>
              <w:t xml:space="preserve">Implementación de inteligencia artificial como agente de respuesta para atención al cliente y ventas en sistemas de gestión de relaciones con clientes en Piura durante 2026</w:t>
            </w:r>
          </w:p>
        </w:tc>
      </w:tr>
      <w:tr>
        <w:tc>
          <w:tcPr>
            <w:tcW w:type="dxa" w:w="2600"/>
            <w:tcBorders>
              <w:top w:val="single" w:color="595959" w:sz="6"/>
              <w:left w:val="single" w:color="595959" w:sz="6"/>
              <w:bottom w:val="single" w:color="595959" w:sz="6"/>
              <w:right w:val="single" w:color="595959" w:sz="6"/>
            </w:tcBorders>
            <w:shd w:fill="F2F2F2" w:color="auto" w:val="clear"/>
            <w:tcMar>
              <w:top w:type="dxa" w:w="60"/>
              <w:left w:type="dxa" w:w="100"/>
              <w:bottom w:type="dxa" w:w="60"/>
              <w:right w:type="dxa" w:w="100"/>
            </w:tcMar>
          </w:tcPr>
          <w:p>
            <w:r>
              <w:rPr>
                <w:rFonts w:ascii="Arial" w:cs="Arial" w:eastAsia="Arial" w:hAnsi="Arial"/>
                <w:b/>
                <w:bCs/>
                <w:sz w:val="22"/>
                <w:szCs w:val="22"/>
              </w:rPr>
              <w:t xml:space="preserve">Carrera profesional</w:t>
            </w:r>
          </w:p>
        </w:tc>
        <w:tc>
          <w:tcPr>
            <w:tcW w:type="dxa" w:w="6470"/>
            <w:tcBorders>
              <w:top w:val="single" w:color="595959" w:sz="6"/>
              <w:left w:val="single" w:color="595959" w:sz="6"/>
              <w:bottom w:val="single" w:color="595959" w:sz="6"/>
              <w:right w:val="single" w:color="595959" w:sz="6"/>
            </w:tcBorders>
            <w:tcMar>
              <w:top w:type="dxa" w:w="60"/>
              <w:left w:type="dxa" w:w="100"/>
              <w:bottom w:type="dxa" w:w="60"/>
              <w:right w:type="dxa" w:w="100"/>
            </w:tcMar>
          </w:tcPr>
          <w:p>
            <w:r>
              <w:rPr>
                <w:rFonts w:ascii="Arial" w:cs="Arial" w:eastAsia="Arial" w:hAnsi="Arial"/>
                <w:sz w:val="22"/>
                <w:szCs w:val="22"/>
              </w:rPr>
              <w:t xml:space="preserve">Ingeniería de Sistemas e Informática</w:t>
            </w:r>
          </w:p>
        </w:tc>
      </w:tr>
      <w:tr>
        <w:tc>
          <w:tcPr>
            <w:tcW w:type="dxa" w:w="2600"/>
            <w:tcBorders>
              <w:top w:val="single" w:color="595959" w:sz="6"/>
              <w:left w:val="single" w:color="595959" w:sz="6"/>
              <w:bottom w:val="single" w:color="595959" w:sz="6"/>
              <w:right w:val="single" w:color="595959" w:sz="6"/>
            </w:tcBorders>
            <w:shd w:fill="F2F2F2" w:color="auto" w:val="clear"/>
            <w:tcMar>
              <w:top w:type="dxa" w:w="60"/>
              <w:left w:type="dxa" w:w="100"/>
              <w:bottom w:type="dxa" w:w="60"/>
              <w:right w:type="dxa" w:w="100"/>
            </w:tcMar>
          </w:tcPr>
          <w:p>
            <w:r>
              <w:rPr>
                <w:rFonts w:ascii="Arial" w:cs="Arial" w:eastAsia="Arial" w:hAnsi="Arial"/>
                <w:b/>
                <w:bCs/>
                <w:sz w:val="22"/>
                <w:szCs w:val="22"/>
              </w:rPr>
              <w:t xml:space="preserve">Lugar de estudio</w:t>
            </w:r>
          </w:p>
        </w:tc>
        <w:tc>
          <w:tcPr>
            <w:tcW w:type="dxa" w:w="6470"/>
            <w:tcBorders>
              <w:top w:val="single" w:color="595959" w:sz="6"/>
              <w:left w:val="single" w:color="595959" w:sz="6"/>
              <w:bottom w:val="single" w:color="595959" w:sz="6"/>
              <w:right w:val="single" w:color="595959" w:sz="6"/>
            </w:tcBorders>
            <w:tcMar>
              <w:top w:type="dxa" w:w="60"/>
              <w:left w:type="dxa" w:w="100"/>
              <w:bottom w:type="dxa" w:w="60"/>
              <w:right w:type="dxa" w:w="100"/>
            </w:tcMar>
          </w:tcPr>
          <w:p>
            <w:r>
              <w:rPr>
                <w:rFonts w:ascii="Arial" w:cs="Arial" w:eastAsia="Arial" w:hAnsi="Arial"/>
                <w:sz w:val="22"/>
                <w:szCs w:val="22"/>
              </w:rPr>
              <w:t xml:space="preserve">Piura, Perú</w:t>
            </w:r>
          </w:p>
        </w:tc>
      </w:tr>
      <w:tr>
        <w:tc>
          <w:tcPr>
            <w:tcW w:type="dxa" w:w="2600"/>
            <w:tcBorders>
              <w:top w:val="single" w:color="595959" w:sz="6"/>
              <w:left w:val="single" w:color="595959" w:sz="6"/>
              <w:bottom w:val="single" w:color="595959" w:sz="6"/>
              <w:right w:val="single" w:color="595959" w:sz="6"/>
            </w:tcBorders>
            <w:shd w:fill="F2F2F2" w:color="auto" w:val="clear"/>
            <w:tcMar>
              <w:top w:type="dxa" w:w="60"/>
              <w:left w:type="dxa" w:w="100"/>
              <w:bottom w:type="dxa" w:w="60"/>
              <w:right w:type="dxa" w:w="100"/>
            </w:tcMar>
          </w:tcPr>
          <w:p>
            <w:r>
              <w:rPr>
                <w:rFonts w:ascii="Arial" w:cs="Arial" w:eastAsia="Arial" w:hAnsi="Arial"/>
                <w:b/>
                <w:bCs/>
                <w:sz w:val="22"/>
                <w:szCs w:val="22"/>
              </w:rPr>
              <w:t xml:space="preserve">Año</w:t>
            </w:r>
          </w:p>
        </w:tc>
        <w:tc>
          <w:tcPr>
            <w:tcW w:type="dxa" w:w="6470"/>
            <w:tcBorders>
              <w:top w:val="single" w:color="595959" w:sz="6"/>
              <w:left w:val="single" w:color="595959" w:sz="6"/>
              <w:bottom w:val="single" w:color="595959" w:sz="6"/>
              <w:right w:val="single" w:color="595959" w:sz="6"/>
            </w:tcBorders>
            <w:tcMar>
              <w:top w:type="dxa" w:w="60"/>
              <w:left w:type="dxa" w:w="100"/>
              <w:bottom w:type="dxa" w:w="60"/>
              <w:right w:type="dxa" w:w="100"/>
            </w:tcMar>
          </w:tcPr>
          <w:p>
            <w:r>
              <w:rPr>
                <w:rFonts w:ascii="Arial" w:cs="Arial" w:eastAsia="Arial" w:hAnsi="Arial"/>
                <w:sz w:val="22"/>
                <w:szCs w:val="22"/>
              </w:rPr>
              <w:t xml:space="preserve">2026</w:t>
            </w:r>
          </w:p>
        </w:tc>
      </w:tr>
      <w:tr>
        <w:tc>
          <w:tcPr>
            <w:tcW w:type="dxa" w:w="2600"/>
            <w:tcBorders>
              <w:top w:val="single" w:color="595959" w:sz="6"/>
              <w:left w:val="single" w:color="595959" w:sz="6"/>
              <w:bottom w:val="single" w:color="595959" w:sz="6"/>
              <w:right w:val="single" w:color="595959" w:sz="6"/>
            </w:tcBorders>
            <w:shd w:fill="F2F2F2" w:color="auto" w:val="clear"/>
            <w:tcMar>
              <w:top w:type="dxa" w:w="60"/>
              <w:left w:type="dxa" w:w="100"/>
              <w:bottom w:type="dxa" w:w="60"/>
              <w:right w:type="dxa" w:w="100"/>
            </w:tcMar>
          </w:tcPr>
          <w:p>
            <w:r>
              <w:rPr>
                <w:rFonts w:ascii="Arial" w:cs="Arial" w:eastAsia="Arial" w:hAnsi="Arial"/>
                <w:b/>
                <w:bCs/>
                <w:sz w:val="22"/>
                <w:szCs w:val="22"/>
              </w:rPr>
              <w:t xml:space="preserve">ODS relacionado</w:t>
            </w:r>
          </w:p>
        </w:tc>
        <w:tc>
          <w:tcPr>
            <w:tcW w:type="dxa" w:w="6470"/>
            <w:tcBorders>
              <w:top w:val="single" w:color="595959" w:sz="6"/>
              <w:left w:val="single" w:color="595959" w:sz="6"/>
              <w:bottom w:val="single" w:color="595959" w:sz="6"/>
              <w:right w:val="single" w:color="595959" w:sz="6"/>
            </w:tcBorders>
            <w:tcMar>
              <w:top w:type="dxa" w:w="60"/>
              <w:left w:type="dxa" w:w="100"/>
              <w:bottom w:type="dxa" w:w="60"/>
              <w:right w:type="dxa" w:w="100"/>
            </w:tcMar>
          </w:tcPr>
          <w:p>
            <w:r>
              <w:rPr>
                <w:rFonts w:ascii="Arial" w:cs="Arial" w:eastAsia="Arial" w:hAnsi="Arial"/>
                <w:sz w:val="22"/>
                <w:szCs w:val="22"/>
              </w:rPr>
              <w:t xml:space="preserve">ODS 9: Industria, innovación e infraestructura (metas 9.5 y 9.c); complementariamente, ODS 8: Trabajo decente y crecimiento económico (metas 8.2 y 8.3)</w:t>
            </w:r>
          </w:p>
        </w:tc>
      </w:tr>
      <w:tr>
        <w:tc>
          <w:tcPr>
            <w:tcW w:type="dxa" w:w="2600"/>
            <w:tcBorders>
              <w:top w:val="single" w:color="595959" w:sz="6"/>
              <w:left w:val="single" w:color="595959" w:sz="6"/>
              <w:bottom w:val="single" w:color="595959" w:sz="6"/>
              <w:right w:val="single" w:color="595959" w:sz="6"/>
            </w:tcBorders>
            <w:shd w:fill="F2F2F2" w:color="auto" w:val="clear"/>
            <w:tcMar>
              <w:top w:type="dxa" w:w="60"/>
              <w:left w:type="dxa" w:w="100"/>
              <w:bottom w:type="dxa" w:w="60"/>
              <w:right w:type="dxa" w:w="100"/>
            </w:tcMar>
          </w:tcPr>
          <w:p>
            <w:r>
              <w:rPr>
                <w:rFonts w:ascii="Arial" w:cs="Arial" w:eastAsia="Arial" w:hAnsi="Arial"/>
                <w:b/>
                <w:bCs/>
                <w:sz w:val="22"/>
                <w:szCs w:val="22"/>
              </w:rPr>
              <w:t xml:space="preserve">Unidad de análisis</w:t>
            </w:r>
          </w:p>
        </w:tc>
        <w:tc>
          <w:tcPr>
            <w:tcW w:type="dxa" w:w="6470"/>
            <w:tcBorders>
              <w:top w:val="single" w:color="595959" w:sz="6"/>
              <w:left w:val="single" w:color="595959" w:sz="6"/>
              <w:bottom w:val="single" w:color="595959" w:sz="6"/>
              <w:right w:val="single" w:color="595959" w:sz="6"/>
            </w:tcBorders>
            <w:tcMar>
              <w:top w:type="dxa" w:w="60"/>
              <w:left w:type="dxa" w:w="100"/>
              <w:bottom w:type="dxa" w:w="60"/>
              <w:right w:type="dxa" w:w="100"/>
            </w:tcMar>
          </w:tcPr>
          <w:p>
            <w:r>
              <w:rPr>
                <w:rFonts w:ascii="Arial" w:cs="Arial" w:eastAsia="Arial" w:hAnsi="Arial"/>
                <w:sz w:val="22"/>
                <w:szCs w:val="22"/>
              </w:rPr>
              <w:t xml:space="preserve">Interacciones de atención y venta registradas en el sistema de gestión de relaciones con clientes de una empresa comercial de Piura, y los clientes que las realizan</w:t>
            </w:r>
          </w:p>
        </w:tc>
      </w:tr>
    </w:tbl>
    <w:p>
      <w:pPr>
        <w:spacing w:after="120"/>
      </w:pPr>
    </w:p>
    <w:p>
      <w:pPr>
        <w:keepNext/>
        <w:spacing w:after="120" w:before="120" w:line="360"/>
      </w:pPr>
      <w:r>
        <w:rPr>
          <w:rFonts w:ascii="Arial" w:cs="Arial" w:eastAsia="Arial" w:hAnsi="Arial"/>
          <w:b/>
          <w:bCs/>
          <w:sz w:val="24"/>
          <w:szCs w:val="24"/>
        </w:rPr>
        <w:t xml:space="preserve">2.2.1. Realidad problemática internacional</w:t>
      </w:r>
    </w:p>
    <w:p>
      <w:pPr>
        <w:spacing w:after="0" w:before="0" w:line="360"/>
        <w:ind w:firstLine="709"/>
        <w:jc w:val="both"/>
      </w:pPr>
      <w:r>
        <w:rPr>
          <w:rFonts w:ascii="Arial" w:cs="Arial" w:eastAsia="Arial" w:hAnsi="Arial"/>
          <w:sz w:val="24"/>
          <w:szCs w:val="24"/>
        </w:rPr>
        <w:t xml:space="preserve">A nivel internacional, la atención al cliente y la gestión comercial se consolidaron como uno de los principales frentes de aplicación empresarial de la inteligencia artificial. Gartner estimó que existían alrededor de diecisiete millones de agentes de centros de contacto en el mundo y proyectó que, hacia 2026, una de cada diez interacciones sería automatizada, con una reducción de ochenta mil millones de dólares en costos laborales [1]. De manera convergente, Chui et al. estimaron que la inteligencia artificial generativa podría aportar entre 2,6 y 4,4 billones de dólares anuales a la economía mundial y que cerca del 75 % de ese valor se concentraría en cuatro funciones, entre ellas las operaciones de atención al cliente y las de marketing y ventas [2].</w:t>
      </w:r>
    </w:p>
    <w:p>
      <w:pPr>
        <w:spacing w:after="0" w:before="0" w:line="360"/>
        <w:ind w:firstLine="709"/>
        <w:jc w:val="both"/>
      </w:pPr>
      <w:r>
        <w:rPr>
          <w:rFonts w:ascii="Arial" w:cs="Arial" w:eastAsia="Arial" w:hAnsi="Arial"/>
          <w:sz w:val="24"/>
          <w:szCs w:val="24"/>
        </w:rPr>
        <w:t xml:space="preserve">Sin embargo, la evidencia científica no fue concluyente respecto de los efectos de esta tecnología. Brynjolfsson, Li y Raymond demostraron que un asistente basado en inteligencia artificial generativa incrementó en 15 % la productividad, medida en casos resueltos por hora, de 5172 agentes de atención al cliente [3], pero otros estudios evidenciaron que la satisfacción y la adopción dependieron de la calidad conversacional y de la capacidad de recuperación ante fallas [4], y que los errores no resueltos redujeron la intención de uso de los clientes [19]. A ello se sumó que las revisiones sobre inteligencia artificial en la gestión de relaciones con clientes advirtieron la escasez de estudios sobre la implementación organizacional y sus resultados [12], así como la falta de estudios sistemáticos integrales en un campo de crecimiento acelerado [13].</w:t>
      </w:r>
    </w:p>
    <w:p>
      <w:pPr>
        <w:keepNext/>
        <w:spacing w:after="120" w:before="120" w:line="360"/>
      </w:pPr>
      <w:r>
        <w:rPr>
          <w:rFonts w:ascii="Arial" w:cs="Arial" w:eastAsia="Arial" w:hAnsi="Arial"/>
          <w:b/>
          <w:bCs/>
          <w:sz w:val="24"/>
          <w:szCs w:val="24"/>
        </w:rPr>
        <w:t xml:space="preserve">2.2.2. Realidad problemática nacional</w:t>
      </w:r>
    </w:p>
    <w:p>
      <w:pPr>
        <w:spacing w:after="0" w:before="0" w:line="360"/>
        <w:ind w:firstLine="709"/>
        <w:jc w:val="both"/>
      </w:pPr>
      <w:r>
        <w:rPr>
          <w:rFonts w:ascii="Arial" w:cs="Arial" w:eastAsia="Arial" w:hAnsi="Arial"/>
          <w:sz w:val="24"/>
          <w:szCs w:val="24"/>
        </w:rPr>
        <w:t xml:space="preserve">En el Perú, el entorno institucional avanzó con rapidez. El país ascendió a la séptima posición del Índice Latinoamericano de Inteligencia Artificial en 2025, con 51,93 puntos [7], y se dotó de un marco normativo específico mediante la Ley N.° 31814 [8] y su reglamento, aprobado por el Decreto Supremo N.° 115-2025-PCM [9]. No obstante, la adopción tecnológica en las empresas se mantuvo rezagada. Según el Instituto Nacional de Estadística e Informática, en 2023 solo el 23,8 % de las empresas contó con un sitio web, el 7,5 % vendió a través de internet y el 4,8 % utilizó software de gestión de relaciones con el cliente; en el sector comercio, apenas el 18,6 % de las empresas tuvo presencia en un sitio web [28]. Estas cifras correspondieron a empresas con ventas iguales o superiores a cincuenta unidades impositivas tributarias, por lo que la brecha en las microempresas de menor tamaño fue presumiblemente mayor.</w:t>
      </w:r>
    </w:p>
    <w:p>
      <w:pPr>
        <w:spacing w:after="0" w:before="0" w:line="360"/>
        <w:ind w:firstLine="709"/>
        <w:jc w:val="both"/>
      </w:pPr>
      <w:r>
        <w:rPr>
          <w:rFonts w:ascii="Arial" w:cs="Arial" w:eastAsia="Arial" w:hAnsi="Arial"/>
          <w:sz w:val="24"/>
          <w:szCs w:val="24"/>
        </w:rPr>
        <w:t xml:space="preserve">El tejido empresarial peruano estuvo dominado por micro y pequeñas empresas, que representaron el 99,1 % de las empresas formales, aportaron el 20,2 % del producto bruto interno y concentraron 10,2 millones de empleos, con un 82,3 % de empleo informal [30]. En este contexto, la evidencia nacional sobre agentes conversacionales se limitó principalmente a revisiones de literatura [10] y a estudios correlacionales de percepción, como el de Lavanda Reyes et al., quienes, con una muestra de 600 clientes, concluyeron que el uso de agentes conversacionales influyó significativamente en la satisfacción [31], y el de López Leonardo y Lozada Tiglla, que analizó la percepción del impacto de un agente conversacional en la venta digital de una empresa de transportes [32]. Ninguno de estos estudios midió, con datos objetivos del sistema, el efecto simultáneo sobre los tiempos de respuesta y la conversión comercial.</w:t>
      </w:r>
    </w:p>
    <w:p>
      <w:pPr>
        <w:keepNext/>
        <w:spacing w:after="120" w:before="120" w:line="360"/>
      </w:pPr>
      <w:r>
        <w:rPr>
          <w:rFonts w:ascii="Arial" w:cs="Arial" w:eastAsia="Arial" w:hAnsi="Arial"/>
          <w:b/>
          <w:bCs/>
          <w:sz w:val="24"/>
          <w:szCs w:val="24"/>
        </w:rPr>
        <w:t xml:space="preserve">2.2.3. Realidad problemática local</w:t>
      </w:r>
    </w:p>
    <w:p>
      <w:pPr>
        <w:spacing w:after="0" w:before="0" w:line="360"/>
        <w:ind w:firstLine="709"/>
        <w:jc w:val="both"/>
      </w:pPr>
      <w:r>
        <w:rPr>
          <w:rFonts w:ascii="Arial" w:cs="Arial" w:eastAsia="Arial" w:hAnsi="Arial"/>
          <w:sz w:val="24"/>
          <w:szCs w:val="24"/>
        </w:rPr>
        <w:t xml:space="preserve">En el ámbito local, la región Piura concentró 94 298 micro y pequeñas empresas formales, el 4,1 % del total nacional, lo que la ubicó entre las cinco regiones con mayor número de este tipo de empresas, junto con Lima, Arequipa, La Libertad y Cusco [30]. Considerando que, a nivel nacional, el 45,6 % de las empresas que utilizaron internet lo empleó para ofrecer servicio al cliente [28], los canales digitales se convirtieron también para las empresas comerciales de la región en un medio central de contacto con el cliente. En este tipo de organizaciones, la atención dependió del personal disponible y del horario laboral, de modo que las consultas recibidas en horas de alta demanda o fuera de la jornada quedaron sin respuesta oportuna, y la información registrada en el sistema de gestión de relaciones con clientes no se aprovechó para responder ni para impulsar la venta.</w:t>
      </w:r>
    </w:p>
    <w:p>
      <w:pPr>
        <w:spacing w:after="0" w:before="0" w:line="360"/>
        <w:ind w:firstLine="709"/>
        <w:jc w:val="both"/>
      </w:pPr>
      <w:r>
        <w:rPr>
          <w:rFonts w:ascii="Arial" w:cs="Arial" w:eastAsia="Arial" w:hAnsi="Arial"/>
          <w:sz w:val="24"/>
          <w:szCs w:val="24"/>
        </w:rPr>
        <w:t xml:space="preserve">En la revisión de literatura realizada no se identificaron estudios científicos que evaluaran la implementación de agentes de respuesta basados en inteligencia artificial en empresas de Piura, por lo que las decisiones de inversión tecnológica en la región carecieron de evidencia contextualizada. Esta ausencia resultó relevante, porque los hallazgos obtenidos en Lima o en otros países no necesariamente fueron trasladables a un mercado regional con características propias de digitalización, de formalidad y de comportamiento del consumidor.</w:t>
      </w:r>
    </w:p>
    <w:p>
      <w:pPr>
        <w:keepNext/>
        <w:spacing w:after="120" w:before="120" w:line="360"/>
      </w:pPr>
      <w:r>
        <w:rPr>
          <w:rFonts w:ascii="Arial" w:cs="Arial" w:eastAsia="Arial" w:hAnsi="Arial"/>
          <w:b/>
          <w:bCs/>
          <w:sz w:val="24"/>
          <w:szCs w:val="24"/>
        </w:rPr>
        <w:t xml:space="preserve">2.2.4. Relación con el Objetivo de Desarrollo Sostenible</w:t>
      </w:r>
    </w:p>
    <w:p>
      <w:pPr>
        <w:spacing w:after="0" w:before="0" w:line="360"/>
        <w:ind w:firstLine="709"/>
        <w:jc w:val="both"/>
      </w:pPr>
      <w:r>
        <w:rPr>
          <w:rFonts w:ascii="Arial" w:cs="Arial" w:eastAsia="Arial" w:hAnsi="Arial"/>
          <w:sz w:val="24"/>
          <w:szCs w:val="24"/>
        </w:rPr>
        <w:t xml:space="preserve">La problemática se vinculó de manera principal con el Objetivo de Desarrollo Sostenible 9, Industria, innovación e infraestructura, en particular con la meta 9.5, orientada a aumentar la investigación científica y mejorar la capacidad tecnológica de los sectores productivos, y con la meta 9.c, dirigida a ampliar el acceso a las tecnologías de la información y las comunicaciones [33]. De forma complementaria, se relacionó con el Objetivo de Desarrollo Sostenible 8, Trabajo decente y crecimiento económico, mediante la meta 8.2, que buscó elevar la productividad a través de la modernización tecnológica y la innovación, y la meta 8.3, que promovió la formalización y el crecimiento de las micro, pequeñas y medianas empresas [33]. La implementación de un agente de respuesta inteligente en una empresa comercial de Piura contribuyó a estas metas al incorporar innovación tecnológica en un segmento empresarial con baja adopción digital y al liberar al personal de tareas repetitivas.</w:t>
      </w:r>
    </w:p>
    <w:p>
      <w:pPr>
        <w:keepNext/>
        <w:spacing w:after="120" w:before="120" w:line="360"/>
      </w:pPr>
      <w:r>
        <w:rPr>
          <w:rFonts w:ascii="Arial" w:cs="Arial" w:eastAsia="Arial" w:hAnsi="Arial"/>
          <w:b/>
          <w:bCs/>
          <w:sz w:val="24"/>
          <w:szCs w:val="24"/>
        </w:rPr>
        <w:t xml:space="preserve">2.2.5. Fundamentación del problema</w:t>
      </w:r>
    </w:p>
    <w:p>
      <w:pPr>
        <w:spacing w:after="0" w:before="0" w:line="360"/>
        <w:ind w:firstLine="709"/>
        <w:jc w:val="both"/>
      </w:pPr>
      <w:r>
        <w:rPr>
          <w:rFonts w:ascii="Arial" w:cs="Arial" w:eastAsia="Arial" w:hAnsi="Arial"/>
          <w:sz w:val="24"/>
          <w:szCs w:val="24"/>
        </w:rPr>
        <w:t xml:space="preserve">La necesidad de investigar el problema se fundamentó en cinco tipos de brecha. En primer lugar, existió un vacío de conocimiento, ya que no se encontraron estudios que midieran el efecto de agentes de respuesta basados en inteligencia artificial integrados a sistemas de gestión de relaciones con clientes en empresas de Piura, y la literatura sobre inteligencia artificial en este tipo de sistemas reconoció la escasez de evaluaciones de resultados organizacionales [12], [14]. En segundo lugar, se identificó una inconsistencia teórica, pues mientras algunos estudios demostraron incrementos de productividad [3], otros evidenciaron que la calidad deficiente de la conversación y los errores no resueltos deterioraron la satisfacción y la adopción [4], [19], sin que los modelos de aceptación tecnológica explicaran por completo esta tensión [26].</w:t>
      </w:r>
    </w:p>
    <w:p>
      <w:pPr>
        <w:spacing w:after="0" w:before="0" w:line="360"/>
        <w:ind w:firstLine="709"/>
        <w:jc w:val="both"/>
      </w:pPr>
      <w:r>
        <w:rPr>
          <w:rFonts w:ascii="Arial" w:cs="Arial" w:eastAsia="Arial" w:hAnsi="Arial"/>
          <w:sz w:val="24"/>
          <w:szCs w:val="24"/>
        </w:rPr>
        <w:t xml:space="preserve">En tercer lugar, se observaron limitaciones metodológicas, dado que la mayoría de los antecedentes nacionales empleó diseños no experimentales basados en encuestas de percepción [31], [32], sin recurrir a los registros objetivos del sistema ni a mediciones antes y después de la implementación. En cuarto lugar, se constató una falta de contextualización, porque la evidencia más sólida provino de grandes empresas de Norteamérica, Europa y Asia, cuyas condiciones difirieron de las micro y pequeñas empresas de una región peruana con elevada informalidad [30]. Finalmente, se advirtió una escasa aplicabilidad práctica, ya que buena parte de la literatura evaluó agentes conversacionales basados en reglas y no soluciones integradas al sistema de gestión de relaciones con clientes que aprovecharan el historial del cliente y los modelos de lenguaje generativos; experiencias recientes, como la de Bravo Maruri et al., que reportaron una reducción del 30 % en los tiempos promedio de atención tras integrar un agente conversacional con inteligencia artificial al sistema de una empresa tecnológica [34], mostraron el potencial de este enfoque, pero no midieron su efecto sobre las ventas.</w:t>
      </w:r>
    </w:p>
    <w:p>
      <w:pPr>
        <w:spacing w:after="0" w:before="0" w:line="360"/>
        <w:ind w:firstLine="709"/>
        <w:jc w:val="both"/>
      </w:pPr>
      <w:r>
        <w:rPr>
          <w:rFonts w:ascii="Arial" w:cs="Arial" w:eastAsia="Arial" w:hAnsi="Arial"/>
          <w:sz w:val="24"/>
          <w:szCs w:val="24"/>
        </w:rPr>
        <w:t xml:space="preserve">En consecuencia, el problema requirió ser investigado en el contexto actual, debido a la entrada en vigencia del reglamento de la Ley N.° 31814 en 2026 [9], a la disponibilidad de modelos de lenguaje generativos accesibles para las empresas de menor tamaño y a la necesidad de que las organizaciones de Piura tomaran decisiones de transformación digital basadas en evidencia.</w:t>
      </w:r>
    </w:p>
    <w:p>
      <w:pPr>
        <w:keepNext/>
        <w:spacing w:after="120" w:before="120" w:line="360"/>
      </w:pPr>
      <w:r>
        <w:rPr>
          <w:rFonts w:ascii="Arial" w:cs="Arial" w:eastAsia="Arial" w:hAnsi="Arial"/>
          <w:b/>
          <w:bCs/>
          <w:sz w:val="24"/>
          <w:szCs w:val="24"/>
        </w:rPr>
        <w:t xml:space="preserve">2.2.6. Formulación del problema</w:t>
      </w:r>
    </w:p>
    <w:p>
      <w:pPr>
        <w:spacing w:after="120" w:before="0" w:line="360"/>
        <w:ind w:left="709" w:right="709"/>
        <w:jc w:val="both"/>
      </w:pPr>
      <w:r>
        <w:rPr>
          <w:rFonts w:ascii="Arial" w:cs="Arial" w:eastAsia="Arial" w:hAnsi="Arial"/>
          <w:b/>
          <w:bCs/>
          <w:sz w:val="24"/>
          <w:szCs w:val="24"/>
        </w:rPr>
        <w:t xml:space="preserve">Problema general: </w:t>
      </w:r>
      <w:r>
        <w:rPr>
          <w:rFonts w:ascii="Arial" w:cs="Arial" w:eastAsia="Arial" w:hAnsi="Arial"/>
          <w:sz w:val="24"/>
          <w:szCs w:val="24"/>
        </w:rPr>
        <w:t xml:space="preserve">¿Cuál es el efecto de la implementación de un agente de respuesta basado en inteligencia artificial, integrado a un sistema de gestión de relaciones con clientes, sobre la atención al cliente y las ventas en una empresa comercial de Piura durante 2026?</w:t>
      </w:r>
    </w:p>
    <w:p>
      <w:pPr>
        <w:spacing w:after="0" w:before="60" w:line="360"/>
        <w:jc w:val="both"/>
      </w:pPr>
      <w:r>
        <w:rPr>
          <w:rFonts w:ascii="Arial" w:cs="Arial" w:eastAsia="Arial" w:hAnsi="Arial"/>
          <w:b/>
          <w:bCs/>
          <w:sz w:val="24"/>
          <w:szCs w:val="24"/>
        </w:rPr>
        <w:t xml:space="preserve">Problemas específicos:</w:t>
      </w:r>
    </w:p>
    <w:p>
      <w:pPr>
        <w:pStyle w:val="ListParagraph"/>
        <w:numPr>
          <w:ilvl w:val="0"/>
          <w:numId w:val="5"/>
        </w:numPr>
        <w:spacing w:after="60" w:before="0" w:line="360"/>
        <w:jc w:val="both"/>
      </w:pPr>
      <w:r>
        <w:rPr>
          <w:rFonts w:ascii="Arial" w:cs="Arial" w:eastAsia="Arial" w:hAnsi="Arial"/>
          <w:sz w:val="24"/>
          <w:szCs w:val="24"/>
        </w:rPr>
        <w:t xml:space="preserve">¿Cuál es el efecto de la implementación del agente de respuesta sobre el tiempo de respuesta al cliente?</w:t>
      </w:r>
    </w:p>
    <w:p>
      <w:pPr>
        <w:pStyle w:val="ListParagraph"/>
        <w:numPr>
          <w:ilvl w:val="0"/>
          <w:numId w:val="5"/>
        </w:numPr>
        <w:spacing w:after="60" w:before="0" w:line="360"/>
        <w:jc w:val="both"/>
      </w:pPr>
      <w:r>
        <w:rPr>
          <w:rFonts w:ascii="Arial" w:cs="Arial" w:eastAsia="Arial" w:hAnsi="Arial"/>
          <w:sz w:val="24"/>
          <w:szCs w:val="24"/>
        </w:rPr>
        <w:t xml:space="preserve">¿Cuál es el efecto de la implementación del agente de respuesta sobre el nivel de satisfacción del cliente?</w:t>
      </w:r>
    </w:p>
    <w:p>
      <w:pPr>
        <w:pStyle w:val="ListParagraph"/>
        <w:numPr>
          <w:ilvl w:val="0"/>
          <w:numId w:val="5"/>
        </w:numPr>
        <w:spacing w:after="60" w:before="0" w:line="360"/>
        <w:jc w:val="both"/>
      </w:pPr>
      <w:r>
        <w:rPr>
          <w:rFonts w:ascii="Arial" w:cs="Arial" w:eastAsia="Arial" w:hAnsi="Arial"/>
          <w:sz w:val="24"/>
          <w:szCs w:val="24"/>
        </w:rPr>
        <w:t xml:space="preserve">¿Cuál es el efecto de la implementación del agente de respuesta sobre la tasa de conversión comercial?</w:t>
      </w:r>
    </w:p>
    <w:p>
      <w:pPr>
        <w:pStyle w:val="ListParagraph"/>
        <w:numPr>
          <w:ilvl w:val="0"/>
          <w:numId w:val="5"/>
        </w:numPr>
        <w:spacing w:after="60" w:before="0" w:line="360"/>
        <w:jc w:val="both"/>
      </w:pPr>
      <w:r>
        <w:rPr>
          <w:rFonts w:ascii="Arial" w:cs="Arial" w:eastAsia="Arial" w:hAnsi="Arial"/>
          <w:sz w:val="24"/>
          <w:szCs w:val="24"/>
        </w:rPr>
        <w:t xml:space="preserve">¿Cuál es el efecto de la implementación del agente de respuesta sobre la eficiencia operativa del proceso de atención?</w:t>
      </w:r>
    </w:p>
    <w:p>
      <w:pPr>
        <w:keepNext/>
        <w:spacing w:after="120" w:before="240" w:line="360"/>
      </w:pPr>
      <w:r>
        <w:rPr>
          <w:rFonts w:ascii="Arial" w:cs="Arial" w:eastAsia="Arial" w:hAnsi="Arial"/>
          <w:b/>
          <w:bCs/>
          <w:sz w:val="24"/>
          <w:szCs w:val="24"/>
        </w:rPr>
        <w:t xml:space="preserve">2.3. Justificación de la investigación</w:t>
      </w:r>
    </w:p>
    <w:p>
      <w:pPr>
        <w:keepNext/>
        <w:spacing w:after="120" w:before="120" w:line="360"/>
      </w:pPr>
      <w:r>
        <w:rPr>
          <w:rFonts w:ascii="Arial" w:cs="Arial" w:eastAsia="Arial" w:hAnsi="Arial"/>
          <w:b/>
          <w:bCs/>
          <w:sz w:val="24"/>
          <w:szCs w:val="24"/>
        </w:rPr>
        <w:t xml:space="preserve">2.3.1. Justificación teórica</w:t>
      </w:r>
    </w:p>
    <w:p>
      <w:pPr>
        <w:spacing w:after="0" w:before="0" w:line="360"/>
        <w:ind w:firstLine="709"/>
        <w:jc w:val="both"/>
      </w:pPr>
      <w:r>
        <w:rPr>
          <w:rFonts w:ascii="Arial" w:cs="Arial" w:eastAsia="Arial" w:hAnsi="Arial"/>
          <w:sz w:val="24"/>
          <w:szCs w:val="24"/>
        </w:rPr>
        <w:t xml:space="preserve">La investigación contribuyó al conocimiento existente al contrastar, en el contexto de una empresa comercial de una región peruana, la teoría de la inteligencia artificial en los servicios [25], el modelo de aceptación tecnológica [26] y el modelo de éxito de los sistemas de información [27], con el propósito de explicar si la calidad de un agente de respuesta se tradujo en beneficios netos medibles para la organización y el cliente.</w:t>
      </w:r>
    </w:p>
    <w:p>
      <w:pPr>
        <w:spacing w:after="0" w:before="60" w:line="360"/>
        <w:jc w:val="both"/>
      </w:pPr>
      <w:r>
        <w:rPr>
          <w:rFonts w:ascii="Arial" w:cs="Arial" w:eastAsia="Arial" w:hAnsi="Arial"/>
          <w:b/>
          <w:bCs/>
          <w:sz w:val="24"/>
          <w:szCs w:val="24"/>
        </w:rPr>
        <w:t xml:space="preserve">Evidencias:</w:t>
      </w:r>
    </w:p>
    <w:p>
      <w:pPr>
        <w:pStyle w:val="ListParagraph"/>
        <w:numPr>
          <w:ilvl w:val="0"/>
          <w:numId w:val="4"/>
        </w:numPr>
        <w:spacing w:after="60" w:before="0" w:line="360"/>
        <w:jc w:val="both"/>
      </w:pPr>
      <w:r>
        <w:rPr>
          <w:rFonts w:ascii="Arial" w:cs="Arial" w:eastAsia="Arial" w:hAnsi="Arial"/>
          <w:sz w:val="24"/>
          <w:szCs w:val="24"/>
        </w:rPr>
        <w:t xml:space="preserve">Las revisiones de la literatura sobre inteligencia artificial en la gestión de relaciones con clientes señalaron la escasez de estudios sobre la implementación organizacional y sus resultados [12], así como la ausencia de estudios sistemáticos integrales en el campo [13].</w:t>
      </w:r>
    </w:p>
    <w:p>
      <w:pPr>
        <w:pStyle w:val="ListParagraph"/>
        <w:numPr>
          <w:ilvl w:val="0"/>
          <w:numId w:val="4"/>
        </w:numPr>
        <w:spacing w:after="60" w:before="0" w:line="360"/>
        <w:jc w:val="both"/>
      </w:pPr>
      <w:r>
        <w:rPr>
          <w:rFonts w:ascii="Arial" w:cs="Arial" w:eastAsia="Arial" w:hAnsi="Arial"/>
          <w:sz w:val="24"/>
          <w:szCs w:val="24"/>
        </w:rPr>
        <w:t xml:space="preserve">Los resultados internacionales fueron contradictorios: la inteligencia artificial elevó la productividad de los agentes de atención [3], mientras que los errores no resueltos del agente conversacional redujeron la adopción por parte de los clientes [19].</w:t>
      </w:r>
    </w:p>
    <w:p>
      <w:pPr>
        <w:spacing w:after="0" w:before="60" w:line="360"/>
        <w:jc w:val="both"/>
      </w:pPr>
      <w:r>
        <w:rPr>
          <w:rFonts w:ascii="Arial" w:cs="Arial" w:eastAsia="Arial" w:hAnsi="Arial"/>
          <w:b/>
          <w:bCs/>
          <w:sz w:val="24"/>
          <w:szCs w:val="24"/>
        </w:rPr>
        <w:t xml:space="preserve">Indicador de impacto esperado:</w:t>
      </w:r>
      <w:r>
        <w:rPr>
          <w:rFonts w:ascii="Arial" w:cs="Arial" w:eastAsia="Arial" w:hAnsi="Arial"/>
          <w:sz w:val="24"/>
          <w:szCs w:val="24"/>
        </w:rPr>
        <w:t xml:space="preserve"> contraste estadístico de las cuatro hipótesis específicas (nivel de significancia de 0,05) con estimación del tamaño del efecto para cada dimensión, lo que permitirá determinar qué componentes del modelo de éxito de los sistemas de información se verifican en el contexto estudiado.</w:t>
      </w:r>
    </w:p>
    <w:p>
      <w:pPr>
        <w:keepNext/>
        <w:spacing w:after="120" w:before="120" w:line="360"/>
      </w:pPr>
      <w:r>
        <w:rPr>
          <w:rFonts w:ascii="Arial" w:cs="Arial" w:eastAsia="Arial" w:hAnsi="Arial"/>
          <w:b/>
          <w:bCs/>
          <w:sz w:val="24"/>
          <w:szCs w:val="24"/>
        </w:rPr>
        <w:t xml:space="preserve">2.3.2. Justificación práctica</w:t>
      </w:r>
    </w:p>
    <w:p>
      <w:pPr>
        <w:spacing w:after="0" w:before="0" w:line="360"/>
        <w:ind w:firstLine="709"/>
        <w:jc w:val="both"/>
      </w:pPr>
      <w:r>
        <w:rPr>
          <w:rFonts w:ascii="Arial" w:cs="Arial" w:eastAsia="Arial" w:hAnsi="Arial"/>
          <w:sz w:val="24"/>
          <w:szCs w:val="24"/>
        </w:rPr>
        <w:t xml:space="preserve">El estudio ofreció a la empresa estudiada, cuya identidad se mantuvo en reserva, y a otras organizaciones comerciales de la región evidencia objetiva para decidir la implementación de agentes de respuesta inteligentes, junto con un conjunto de indicadores operativos y comerciales para evaluar su desempeño. Para los profesionales de Ingeniería de Sistemas e Informática, aportó un procedimiento de integración entre un modelo de lenguaje y un sistema de gestión de relaciones con clientes aplicable a empresas de menor tamaño.</w:t>
      </w:r>
    </w:p>
    <w:p>
      <w:pPr>
        <w:spacing w:after="0" w:before="60" w:line="360"/>
        <w:jc w:val="both"/>
      </w:pPr>
      <w:r>
        <w:rPr>
          <w:rFonts w:ascii="Arial" w:cs="Arial" w:eastAsia="Arial" w:hAnsi="Arial"/>
          <w:b/>
          <w:bCs/>
          <w:sz w:val="24"/>
          <w:szCs w:val="24"/>
        </w:rPr>
        <w:t xml:space="preserve">Evidencias:</w:t>
      </w:r>
    </w:p>
    <w:p>
      <w:pPr>
        <w:pStyle w:val="ListParagraph"/>
        <w:numPr>
          <w:ilvl w:val="0"/>
          <w:numId w:val="4"/>
        </w:numPr>
        <w:spacing w:after="60" w:before="0" w:line="360"/>
        <w:jc w:val="both"/>
      </w:pPr>
      <w:r>
        <w:rPr>
          <w:rFonts w:ascii="Arial" w:cs="Arial" w:eastAsia="Arial" w:hAnsi="Arial"/>
          <w:sz w:val="24"/>
          <w:szCs w:val="24"/>
        </w:rPr>
        <w:t xml:space="preserve">El acceso a un asistente basado en inteligencia artificial generativa incrementó en 15 % los casos resueltos por hora, con mejoras de velocidad y calidad más pronunciadas en el personal con menor experiencia y calificación [3].</w:t>
      </w:r>
    </w:p>
    <w:p>
      <w:pPr>
        <w:pStyle w:val="ListParagraph"/>
        <w:numPr>
          <w:ilvl w:val="0"/>
          <w:numId w:val="4"/>
        </w:numPr>
        <w:spacing w:after="60" w:before="0" w:line="360"/>
        <w:jc w:val="both"/>
      </w:pPr>
      <w:r>
        <w:rPr>
          <w:rFonts w:ascii="Arial" w:cs="Arial" w:eastAsia="Arial" w:hAnsi="Arial"/>
          <w:sz w:val="24"/>
          <w:szCs w:val="24"/>
        </w:rPr>
        <w:t xml:space="preserve">La integración de un agente conversacional con inteligencia artificial al sistema de gestión de relaciones con clientes de una empresa tecnológica redujo en 30 % los tiempos promedio de atención e incrementó en 25 % la satisfacción del cliente [34].</w:t>
      </w:r>
    </w:p>
    <w:p>
      <w:pPr>
        <w:spacing w:after="0" w:before="60" w:line="360"/>
        <w:jc w:val="both"/>
      </w:pPr>
      <w:r>
        <w:rPr>
          <w:rFonts w:ascii="Arial" w:cs="Arial" w:eastAsia="Arial" w:hAnsi="Arial"/>
          <w:b/>
          <w:bCs/>
          <w:sz w:val="24"/>
          <w:szCs w:val="24"/>
        </w:rPr>
        <w:t xml:space="preserve">Indicador de impacto esperado:</w:t>
      </w:r>
      <w:r>
        <w:rPr>
          <w:rFonts w:ascii="Arial" w:cs="Arial" w:eastAsia="Arial" w:hAnsi="Arial"/>
          <w:sz w:val="24"/>
          <w:szCs w:val="24"/>
        </w:rPr>
        <w:t xml:space="preserve"> variación porcentual, entre la medición previa y la posterior, del tiempo promedio de primera respuesta y de la tasa de conversión comercial, obtenida de los registros del sistema de gestión de relaciones con clientes.</w:t>
      </w:r>
    </w:p>
    <w:p>
      <w:pPr>
        <w:keepNext/>
        <w:spacing w:after="120" w:before="120" w:line="360"/>
      </w:pPr>
      <w:r>
        <w:rPr>
          <w:rFonts w:ascii="Arial" w:cs="Arial" w:eastAsia="Arial" w:hAnsi="Arial"/>
          <w:b/>
          <w:bCs/>
          <w:sz w:val="24"/>
          <w:szCs w:val="24"/>
        </w:rPr>
        <w:t xml:space="preserve">2.3.3. Justificación social</w:t>
      </w:r>
    </w:p>
    <w:p>
      <w:pPr>
        <w:spacing w:after="0" w:before="0" w:line="360"/>
        <w:ind w:firstLine="709"/>
        <w:jc w:val="both"/>
      </w:pPr>
      <w:r>
        <w:rPr>
          <w:rFonts w:ascii="Arial" w:cs="Arial" w:eastAsia="Arial" w:hAnsi="Arial"/>
          <w:sz w:val="24"/>
          <w:szCs w:val="24"/>
        </w:rPr>
        <w:t xml:space="preserve">La mejora de la oportunidad y la calidad de la atención benefició directamente a los clientes, quienes pudieron obtener respuestas inmediatas en cualquier horario, y al personal, que pudo reorientar su tiempo hacia actividades de mayor valor. Asimismo, el estudio aportó a la productividad de las micro y pequeñas empresas, que concentran la mayor parte del empleo privado del país [30], y documentó prácticas de uso responsable y transparente de la inteligencia artificial conforme al marco normativo nacional [8].</w:t>
      </w:r>
    </w:p>
    <w:p>
      <w:pPr>
        <w:spacing w:after="0" w:before="60" w:line="360"/>
        <w:jc w:val="both"/>
      </w:pPr>
      <w:r>
        <w:rPr>
          <w:rFonts w:ascii="Arial" w:cs="Arial" w:eastAsia="Arial" w:hAnsi="Arial"/>
          <w:b/>
          <w:bCs/>
          <w:sz w:val="24"/>
          <w:szCs w:val="24"/>
        </w:rPr>
        <w:t xml:space="preserve">Evidencias:</w:t>
      </w:r>
    </w:p>
    <w:p>
      <w:pPr>
        <w:pStyle w:val="ListParagraph"/>
        <w:numPr>
          <w:ilvl w:val="0"/>
          <w:numId w:val="4"/>
        </w:numPr>
        <w:spacing w:after="60" w:before="0" w:line="360"/>
        <w:jc w:val="both"/>
      </w:pPr>
      <w:r>
        <w:rPr>
          <w:rFonts w:ascii="Arial" w:cs="Arial" w:eastAsia="Arial" w:hAnsi="Arial"/>
          <w:sz w:val="24"/>
          <w:szCs w:val="24"/>
        </w:rPr>
        <w:t xml:space="preserve">Las micro y pequeñas empresas representaron el 99,1 % de las empresas formales del Perú y concentraron 10,2 millones de empleos, con 82,3 % de empleo informal [30], mientras que solo el 22,6 % de las empresas capacitó a su personal en tecnologías de la información y la comunicación [28].</w:t>
      </w:r>
    </w:p>
    <w:p>
      <w:pPr>
        <w:pStyle w:val="ListParagraph"/>
        <w:numPr>
          <w:ilvl w:val="0"/>
          <w:numId w:val="4"/>
        </w:numPr>
        <w:spacing w:after="60" w:before="0" w:line="360"/>
        <w:jc w:val="both"/>
      </w:pPr>
      <w:r>
        <w:rPr>
          <w:rFonts w:ascii="Arial" w:cs="Arial" w:eastAsia="Arial" w:hAnsi="Arial"/>
          <w:sz w:val="24"/>
          <w:szCs w:val="24"/>
        </w:rPr>
        <w:t xml:space="preserve">En el Perú, el uso de agentes conversacionales influyó significativamente en la satisfacción de los clientes [31], y en una empresa de transportes se asoció con respuestas rápidas, menores tiempos de espera y mayor satisfacción [32].</w:t>
      </w:r>
    </w:p>
    <w:p>
      <w:pPr>
        <w:spacing w:after="0" w:before="60" w:line="360"/>
        <w:jc w:val="both"/>
      </w:pPr>
      <w:r>
        <w:rPr>
          <w:rFonts w:ascii="Arial" w:cs="Arial" w:eastAsia="Arial" w:hAnsi="Arial"/>
          <w:b/>
          <w:bCs/>
          <w:sz w:val="24"/>
          <w:szCs w:val="24"/>
        </w:rPr>
        <w:t xml:space="preserve">Indicador de impacto esperado:</w:t>
      </w:r>
      <w:r>
        <w:rPr>
          <w:rFonts w:ascii="Arial" w:cs="Arial" w:eastAsia="Arial" w:hAnsi="Arial"/>
          <w:sz w:val="24"/>
          <w:szCs w:val="24"/>
        </w:rPr>
        <w:t xml:space="preserve"> proporción de consultas atendidas fuera del horario laboral y proporción de consultas resueltas sin intervención humana, como medida del tiempo del personal liberado para tareas de mayor valor.</w:t>
      </w:r>
    </w:p>
    <w:p>
      <w:pPr>
        <w:keepNext/>
        <w:spacing w:after="120" w:before="240" w:line="360"/>
      </w:pPr>
      <w:r>
        <w:rPr>
          <w:rFonts w:ascii="Arial" w:cs="Arial" w:eastAsia="Arial" w:hAnsi="Arial"/>
          <w:b/>
          <w:bCs/>
          <w:sz w:val="24"/>
          <w:szCs w:val="24"/>
        </w:rPr>
        <w:t xml:space="preserve">2.4. Originalidad y aporte del estudio</w:t>
      </w:r>
    </w:p>
    <w:p>
      <w:pPr>
        <w:spacing w:after="0" w:before="0" w:line="360"/>
        <w:ind w:firstLine="709"/>
        <w:jc w:val="both"/>
      </w:pPr>
      <w:r>
        <w:rPr>
          <w:rFonts w:ascii="Arial" w:cs="Arial" w:eastAsia="Arial" w:hAnsi="Arial"/>
          <w:sz w:val="24"/>
          <w:szCs w:val="24"/>
        </w:rPr>
        <w:t xml:space="preserve">La brecha que abordó la investigación consistió en la ausencia de evidencia objetiva sobre el efecto conjunto de un agente de respuesta basado en inteligencia artificial, integrado al sistema de gestión de relaciones con clientes, sobre la atención y las ventas en empresas comerciales de regiones peruanas. El aporte original del estudio residió en medir ese efecto con registros reales del sistema antes y después de la implementación, en una población no estudiada, y con una solución basada en modelos de lenguaje generativos que utiliza el historial del cliente. El estudio se diferenció de los previos en tres aspectos:</w:t>
      </w:r>
    </w:p>
    <w:p>
      <w:pPr>
        <w:pStyle w:val="ListParagraph"/>
        <w:numPr>
          <w:ilvl w:val="0"/>
          <w:numId w:val="6"/>
        </w:numPr>
        <w:spacing w:after="60" w:before="0" w:line="360"/>
        <w:jc w:val="both"/>
      </w:pPr>
      <w:r>
        <w:rPr>
          <w:rFonts w:ascii="Arial" w:cs="Arial" w:eastAsia="Arial" w:hAnsi="Arial"/>
          <w:sz w:val="24"/>
          <w:szCs w:val="24"/>
        </w:rPr>
        <w:t xml:space="preserve">Nueva población: se estudió una empresa comercial de Piura, región que concentra el 4,1 % de las micro y pequeñas empresas formales del país [30] y sin investigaciones previas sobre el tema.</w:t>
      </w:r>
    </w:p>
    <w:p>
      <w:pPr>
        <w:pStyle w:val="ListParagraph"/>
        <w:numPr>
          <w:ilvl w:val="0"/>
          <w:numId w:val="6"/>
        </w:numPr>
        <w:spacing w:after="60" w:before="0" w:line="360"/>
        <w:jc w:val="both"/>
      </w:pPr>
      <w:r>
        <w:rPr>
          <w:rFonts w:ascii="Arial" w:cs="Arial" w:eastAsia="Arial" w:hAnsi="Arial"/>
          <w:sz w:val="24"/>
          <w:szCs w:val="24"/>
        </w:rPr>
        <w:t xml:space="preserve">Nuevos datos: se emplearon registros objetivos del sistema, como tiempos de primera respuesta, conversiones y casos resueltos, y no solo encuestas de percepción [31], [32].</w:t>
      </w:r>
    </w:p>
    <w:p>
      <w:pPr>
        <w:pStyle w:val="ListParagraph"/>
        <w:numPr>
          <w:ilvl w:val="0"/>
          <w:numId w:val="6"/>
        </w:numPr>
        <w:spacing w:after="60" w:before="0" w:line="360"/>
        <w:jc w:val="both"/>
      </w:pPr>
      <w:r>
        <w:rPr>
          <w:rFonts w:ascii="Arial" w:cs="Arial" w:eastAsia="Arial" w:hAnsi="Arial"/>
          <w:sz w:val="24"/>
          <w:szCs w:val="24"/>
        </w:rPr>
        <w:t xml:space="preserve">Nuevo enfoque: se evaluaron simultáneamente la atención y las ventas mediante un agente integrado al sistema de gestión de relaciones con clientes, mientras que estudios similares midieron solo el soporte y la satisfacción [34].</w:t>
      </w:r>
    </w:p>
    <w:p>
      <w:pPr>
        <w:pageBreakBefore/>
        <w:spacing w:after="240" w:before="0" w:line="360"/>
        <w:jc w:val="center"/>
      </w:pPr>
      <w:r>
        <w:rPr>
          <w:rFonts w:ascii="Arial" w:cs="Arial" w:eastAsia="Arial" w:hAnsi="Arial"/>
          <w:b/>
          <w:bCs/>
          <w:sz w:val="24"/>
          <w:szCs w:val="24"/>
        </w:rPr>
        <w:t xml:space="preserve">REFERENCIAS</w:t>
      </w:r>
    </w:p>
    <w:p>
      <w:pPr>
        <w:tabs>
          <w:tab w:val="left" w:pos="567"/>
        </w:tabs>
        <w:spacing w:after="120" w:before="0" w:line="360"/>
        <w:ind w:left="567" w:hanging="567"/>
      </w:pPr>
      <w:r>
        <w:rPr>
          <w:rFonts w:ascii="Arial" w:cs="Arial" w:eastAsia="Arial" w:hAnsi="Arial"/>
          <w:sz w:val="24"/>
          <w:szCs w:val="24"/>
        </w:rPr>
        <w:t xml:space="preserve">[1]</w:t>
      </w:r>
      <w:r>
        <w:rPr>
          <w:rFonts w:ascii="Arial" w:cs="Arial" w:eastAsia="Arial" w:hAnsi="Arial"/>
          <w:sz w:val="24"/>
          <w:szCs w:val="24"/>
        </w:rPr>
        <w:t xml:space="preserve">	</w:t>
      </w:r>
      <w:r>
        <w:rPr>
          <w:rFonts w:ascii="Arial" w:cs="Arial" w:eastAsia="Arial" w:hAnsi="Arial"/>
          <w:sz w:val="24"/>
          <w:szCs w:val="24"/>
        </w:rPr>
        <w:t xml:space="preserve">Gartner, Inc., “Gartner predicts conversational AI will reduce contact center agent labor costs by $80 billion in 2026,” Stamford, CT, EE. UU., 31 ago. 2022. [En línea]. Disponible en: https://www.gartner.com/en/newsroom/press-releases/2022-08-31-gartner-predicts-conversational-ai-will-reduce-contac</w:t>
      </w:r>
    </w:p>
    <w:p>
      <w:pPr>
        <w:tabs>
          <w:tab w:val="left" w:pos="567"/>
        </w:tabs>
        <w:spacing w:after="120" w:before="0" w:line="360"/>
        <w:ind w:left="567" w:hanging="567"/>
      </w:pPr>
      <w:r>
        <w:rPr>
          <w:rFonts w:ascii="Arial" w:cs="Arial" w:eastAsia="Arial" w:hAnsi="Arial"/>
          <w:sz w:val="24"/>
          <w:szCs w:val="24"/>
        </w:rPr>
        <w:t xml:space="preserve">[2]</w:t>
      </w:r>
      <w:r>
        <w:rPr>
          <w:rFonts w:ascii="Arial" w:cs="Arial" w:eastAsia="Arial" w:hAnsi="Arial"/>
          <w:sz w:val="24"/>
          <w:szCs w:val="24"/>
        </w:rPr>
        <w:t xml:space="preserve">	</w:t>
      </w:r>
      <w:r>
        <w:rPr>
          <w:rFonts w:ascii="Arial" w:cs="Arial" w:eastAsia="Arial" w:hAnsi="Arial"/>
          <w:sz w:val="24"/>
          <w:szCs w:val="24"/>
        </w:rPr>
        <w:t xml:space="preserve">M. Chui et al., </w:t>
      </w:r>
      <w:r>
        <w:rPr>
          <w:rFonts w:ascii="Arial" w:cs="Arial" w:eastAsia="Arial" w:hAnsi="Arial"/>
          <w:i/>
          <w:iCs/>
          <w:sz w:val="24"/>
          <w:szCs w:val="24"/>
        </w:rPr>
        <w:t xml:space="preserve">The Economic Potential of Generative AI: The Next Productivity Frontier</w:t>
      </w:r>
      <w:r>
        <w:rPr>
          <w:rFonts w:ascii="Arial" w:cs="Arial" w:eastAsia="Arial" w:hAnsi="Arial"/>
          <w:sz w:val="24"/>
          <w:szCs w:val="24"/>
        </w:rPr>
        <w:t xml:space="preserve">. McKinsey &amp; Company, jun. 2023. [En línea]. Disponible en: https://www.mckinsey.com/capabilities/mckinsey-digital/our-insights/the-economic-potential-of-generative-ai-the-next-productivity-frontier</w:t>
      </w:r>
    </w:p>
    <w:p>
      <w:pPr>
        <w:tabs>
          <w:tab w:val="left" w:pos="567"/>
        </w:tabs>
        <w:spacing w:after="120" w:before="0" w:line="360"/>
        <w:ind w:left="567" w:hanging="567"/>
      </w:pPr>
      <w:r>
        <w:rPr>
          <w:rFonts w:ascii="Arial" w:cs="Arial" w:eastAsia="Arial" w:hAnsi="Arial"/>
          <w:sz w:val="24"/>
          <w:szCs w:val="24"/>
        </w:rPr>
        <w:t xml:space="preserve">[3]</w:t>
      </w:r>
      <w:r>
        <w:rPr>
          <w:rFonts w:ascii="Arial" w:cs="Arial" w:eastAsia="Arial" w:hAnsi="Arial"/>
          <w:sz w:val="24"/>
          <w:szCs w:val="24"/>
        </w:rPr>
        <w:t xml:space="preserve">	</w:t>
      </w:r>
      <w:r>
        <w:rPr>
          <w:rFonts w:ascii="Arial" w:cs="Arial" w:eastAsia="Arial" w:hAnsi="Arial"/>
          <w:sz w:val="24"/>
          <w:szCs w:val="24"/>
        </w:rPr>
        <w:t xml:space="preserve">E. Brynjolfsson, D. Li y L. Raymond, “Generative AI at work,” </w:t>
      </w:r>
      <w:r>
        <w:rPr>
          <w:rFonts w:ascii="Arial" w:cs="Arial" w:eastAsia="Arial" w:hAnsi="Arial"/>
          <w:i/>
          <w:iCs/>
          <w:sz w:val="24"/>
          <w:szCs w:val="24"/>
        </w:rPr>
        <w:t xml:space="preserve">The Quarterly Journal of Economics</w:t>
      </w:r>
      <w:r>
        <w:rPr>
          <w:rFonts w:ascii="Arial" w:cs="Arial" w:eastAsia="Arial" w:hAnsi="Arial"/>
          <w:sz w:val="24"/>
          <w:szCs w:val="24"/>
        </w:rPr>
        <w:t xml:space="preserve">, vol. 140, no. 2, pp. 889–942, 2025, doi: 10.1093/qje/qjae044.</w:t>
      </w:r>
    </w:p>
    <w:p>
      <w:pPr>
        <w:tabs>
          <w:tab w:val="left" w:pos="567"/>
        </w:tabs>
        <w:spacing w:after="120" w:before="0" w:line="360"/>
        <w:ind w:left="567" w:hanging="567"/>
      </w:pPr>
      <w:r>
        <w:rPr>
          <w:rFonts w:ascii="Arial" w:cs="Arial" w:eastAsia="Arial" w:hAnsi="Arial"/>
          <w:sz w:val="24"/>
          <w:szCs w:val="24"/>
        </w:rPr>
        <w:t xml:space="preserve">[4]</w:t>
      </w:r>
      <w:r>
        <w:rPr>
          <w:rFonts w:ascii="Arial" w:cs="Arial" w:eastAsia="Arial" w:hAnsi="Arial"/>
          <w:sz w:val="24"/>
          <w:szCs w:val="24"/>
        </w:rPr>
        <w:t xml:space="preserve">	</w:t>
      </w:r>
      <w:r>
        <w:rPr>
          <w:rFonts w:ascii="Arial" w:cs="Arial" w:eastAsia="Arial" w:hAnsi="Arial"/>
          <w:sz w:val="24"/>
          <w:szCs w:val="24"/>
        </w:rPr>
        <w:t xml:space="preserve">C.-L. Hsu y J. C.-C. Lin, “Understanding the user satisfaction and loyalty of customer service chatbots,” </w:t>
      </w:r>
      <w:r>
        <w:rPr>
          <w:rFonts w:ascii="Arial" w:cs="Arial" w:eastAsia="Arial" w:hAnsi="Arial"/>
          <w:i/>
          <w:iCs/>
          <w:sz w:val="24"/>
          <w:szCs w:val="24"/>
        </w:rPr>
        <w:t xml:space="preserve">Journal of Retailing and Consumer Services</w:t>
      </w:r>
      <w:r>
        <w:rPr>
          <w:rFonts w:ascii="Arial" w:cs="Arial" w:eastAsia="Arial" w:hAnsi="Arial"/>
          <w:sz w:val="24"/>
          <w:szCs w:val="24"/>
        </w:rPr>
        <w:t xml:space="preserve">, vol. 71, art. no. 103211, 2023, doi: 10.1016/j.jretconser.2022.103211.</w:t>
      </w:r>
    </w:p>
    <w:p>
      <w:pPr>
        <w:tabs>
          <w:tab w:val="left" w:pos="567"/>
        </w:tabs>
        <w:spacing w:after="120" w:before="0" w:line="360"/>
        <w:ind w:left="567" w:hanging="567"/>
      </w:pPr>
      <w:r>
        <w:rPr>
          <w:rFonts w:ascii="Arial" w:cs="Arial" w:eastAsia="Arial" w:hAnsi="Arial"/>
          <w:sz w:val="24"/>
          <w:szCs w:val="24"/>
        </w:rPr>
        <w:t xml:space="preserve">[5]</w:t>
      </w:r>
      <w:r>
        <w:rPr>
          <w:rFonts w:ascii="Arial" w:cs="Arial" w:eastAsia="Arial" w:hAnsi="Arial"/>
          <w:sz w:val="24"/>
          <w:szCs w:val="24"/>
        </w:rPr>
        <w:t xml:space="preserve">	</w:t>
      </w:r>
      <w:r>
        <w:rPr>
          <w:rFonts w:ascii="Arial" w:cs="Arial" w:eastAsia="Arial" w:hAnsi="Arial"/>
          <w:sz w:val="24"/>
          <w:szCs w:val="24"/>
        </w:rPr>
        <w:t xml:space="preserve">Comisión Económica para América Latina y el Caribe (CEPAL), </w:t>
      </w:r>
      <w:r>
        <w:rPr>
          <w:rFonts w:ascii="Arial" w:cs="Arial" w:eastAsia="Arial" w:hAnsi="Arial"/>
          <w:i/>
          <w:iCs/>
          <w:sz w:val="24"/>
          <w:szCs w:val="24"/>
        </w:rPr>
        <w:t xml:space="preserve">Índice Latinoamericano de Inteligencia Artificial (ILIA) 2025. Hallazgos principales, IA aplicada y talento humano</w:t>
      </w:r>
      <w:r>
        <w:rPr>
          <w:rFonts w:ascii="Arial" w:cs="Arial" w:eastAsia="Arial" w:hAnsi="Arial"/>
          <w:sz w:val="24"/>
          <w:szCs w:val="24"/>
        </w:rPr>
        <w:t xml:space="preserve">, LC/TS.2026/1. Santiago, Chile: CEPAL, 2026. [En línea]. Disponible en: https://www.cepal.org/es/publicaciones/86007-indice-latinoamericano-inteligencia-artificial-ilia-2025-hallazgos-principales</w:t>
      </w:r>
    </w:p>
    <w:p>
      <w:pPr>
        <w:tabs>
          <w:tab w:val="left" w:pos="567"/>
        </w:tabs>
        <w:spacing w:after="120" w:before="0" w:line="360"/>
        <w:ind w:left="567" w:hanging="567"/>
      </w:pPr>
      <w:r>
        <w:rPr>
          <w:rFonts w:ascii="Arial" w:cs="Arial" w:eastAsia="Arial" w:hAnsi="Arial"/>
          <w:sz w:val="24"/>
          <w:szCs w:val="24"/>
        </w:rPr>
        <w:t xml:space="preserve">[7]</w:t>
      </w:r>
      <w:r>
        <w:rPr>
          <w:rFonts w:ascii="Arial" w:cs="Arial" w:eastAsia="Arial" w:hAnsi="Arial"/>
          <w:sz w:val="24"/>
          <w:szCs w:val="24"/>
        </w:rPr>
        <w:t xml:space="preserve">	</w:t>
      </w:r>
      <w:r>
        <w:rPr>
          <w:rFonts w:ascii="Arial" w:cs="Arial" w:eastAsia="Arial" w:hAnsi="Arial"/>
          <w:sz w:val="24"/>
          <w:szCs w:val="24"/>
        </w:rPr>
        <w:t xml:space="preserve">“Perú avanza en adoptar la inteligencia artificial,” </w:t>
      </w:r>
      <w:r>
        <w:rPr>
          <w:rFonts w:ascii="Arial" w:cs="Arial" w:eastAsia="Arial" w:hAnsi="Arial"/>
          <w:i/>
          <w:iCs/>
          <w:sz w:val="24"/>
          <w:szCs w:val="24"/>
        </w:rPr>
        <w:t xml:space="preserve">El Peruano</w:t>
      </w:r>
      <w:r>
        <w:rPr>
          <w:rFonts w:ascii="Arial" w:cs="Arial" w:eastAsia="Arial" w:hAnsi="Arial"/>
          <w:sz w:val="24"/>
          <w:szCs w:val="24"/>
        </w:rPr>
        <w:t xml:space="preserve">, 7 abr. 2026. [En línea]. Disponible en: https://www.elperuano.pe/noticia/292915-peru-avanza-en-adoptar-la-inteligencia-artificial</w:t>
      </w:r>
    </w:p>
    <w:p>
      <w:pPr>
        <w:tabs>
          <w:tab w:val="left" w:pos="567"/>
        </w:tabs>
        <w:spacing w:after="120" w:before="0" w:line="360"/>
        <w:ind w:left="567" w:hanging="567"/>
      </w:pPr>
      <w:r>
        <w:rPr>
          <w:rFonts w:ascii="Arial" w:cs="Arial" w:eastAsia="Arial" w:hAnsi="Arial"/>
          <w:sz w:val="24"/>
          <w:szCs w:val="24"/>
        </w:rPr>
        <w:t xml:space="preserve">[8]</w:t>
      </w:r>
      <w:r>
        <w:rPr>
          <w:rFonts w:ascii="Arial" w:cs="Arial" w:eastAsia="Arial" w:hAnsi="Arial"/>
          <w:sz w:val="24"/>
          <w:szCs w:val="24"/>
        </w:rPr>
        <w:t xml:space="preserve">	</w:t>
      </w:r>
      <w:r>
        <w:rPr>
          <w:rFonts w:ascii="Arial" w:cs="Arial" w:eastAsia="Arial" w:hAnsi="Arial"/>
          <w:sz w:val="24"/>
          <w:szCs w:val="24"/>
        </w:rPr>
        <w:t xml:space="preserve">Congreso de la República del Perú, </w:t>
      </w:r>
      <w:r>
        <w:rPr>
          <w:rFonts w:ascii="Arial" w:cs="Arial" w:eastAsia="Arial" w:hAnsi="Arial"/>
          <w:i/>
          <w:iCs/>
          <w:sz w:val="24"/>
          <w:szCs w:val="24"/>
        </w:rPr>
        <w:t xml:space="preserve">Ley N.° 31814, Ley que promueve el uso de la inteligencia artificial en favor del desarrollo económico y social del país</w:t>
      </w:r>
      <w:r>
        <w:rPr>
          <w:rFonts w:ascii="Arial" w:cs="Arial" w:eastAsia="Arial" w:hAnsi="Arial"/>
          <w:sz w:val="24"/>
          <w:szCs w:val="24"/>
        </w:rPr>
        <w:t xml:space="preserve">. Lima, Perú: Diario Oficial El Peruano, 5 jul. 2023. [En línea]. Disponible en: https://www.gob.pe/institucion/congreso-de-la-republica/normas-legales/4565760-31814</w:t>
      </w:r>
    </w:p>
    <w:p>
      <w:pPr>
        <w:tabs>
          <w:tab w:val="left" w:pos="567"/>
        </w:tabs>
        <w:spacing w:after="120" w:before="0" w:line="360"/>
        <w:ind w:left="567" w:hanging="567"/>
      </w:pPr>
      <w:r>
        <w:rPr>
          <w:rFonts w:ascii="Arial" w:cs="Arial" w:eastAsia="Arial" w:hAnsi="Arial"/>
          <w:sz w:val="24"/>
          <w:szCs w:val="24"/>
        </w:rPr>
        <w:t xml:space="preserve">[9]</w:t>
      </w:r>
      <w:r>
        <w:rPr>
          <w:rFonts w:ascii="Arial" w:cs="Arial" w:eastAsia="Arial" w:hAnsi="Arial"/>
          <w:sz w:val="24"/>
          <w:szCs w:val="24"/>
        </w:rPr>
        <w:t xml:space="preserve">	</w:t>
      </w:r>
      <w:r>
        <w:rPr>
          <w:rFonts w:ascii="Arial" w:cs="Arial" w:eastAsia="Arial" w:hAnsi="Arial"/>
          <w:sz w:val="24"/>
          <w:szCs w:val="24"/>
        </w:rPr>
        <w:t xml:space="preserve">Presidencia del Consejo de Ministros, </w:t>
      </w:r>
      <w:r>
        <w:rPr>
          <w:rFonts w:ascii="Arial" w:cs="Arial" w:eastAsia="Arial" w:hAnsi="Arial"/>
          <w:i/>
          <w:iCs/>
          <w:sz w:val="24"/>
          <w:szCs w:val="24"/>
        </w:rPr>
        <w:t xml:space="preserve">Decreto Supremo N.° 115-2025-PCM que aprueba el Reglamento de la Ley N.° 31814</w:t>
      </w:r>
      <w:r>
        <w:rPr>
          <w:rFonts w:ascii="Arial" w:cs="Arial" w:eastAsia="Arial" w:hAnsi="Arial"/>
          <w:sz w:val="24"/>
          <w:szCs w:val="24"/>
        </w:rPr>
        <w:t xml:space="preserve">. Lima, Perú: Diario Oficial El Peruano, 9 sep. 2025. [En línea]. Disponible en: https://www.gob.pe/institucion/pcm/normas-legales/7133522-115-2025-pcm</w:t>
      </w:r>
    </w:p>
    <w:p>
      <w:pPr>
        <w:tabs>
          <w:tab w:val="left" w:pos="567"/>
        </w:tabs>
        <w:spacing w:after="120" w:before="0" w:line="360"/>
        <w:ind w:left="567" w:hanging="567"/>
      </w:pPr>
      <w:r>
        <w:rPr>
          <w:rFonts w:ascii="Arial" w:cs="Arial" w:eastAsia="Arial" w:hAnsi="Arial"/>
          <w:sz w:val="24"/>
          <w:szCs w:val="24"/>
        </w:rPr>
        <w:t xml:space="preserve">[10]</w:t>
      </w:r>
      <w:r>
        <w:rPr>
          <w:rFonts w:ascii="Arial" w:cs="Arial" w:eastAsia="Arial" w:hAnsi="Arial"/>
          <w:sz w:val="24"/>
          <w:szCs w:val="24"/>
        </w:rPr>
        <w:t xml:space="preserve">	</w:t>
      </w:r>
      <w:r>
        <w:rPr>
          <w:rFonts w:ascii="Arial" w:cs="Arial" w:eastAsia="Arial" w:hAnsi="Arial"/>
          <w:sz w:val="24"/>
          <w:szCs w:val="24"/>
        </w:rPr>
        <w:t xml:space="preserve">K. A. Rojas Ahumada, V. López Zavaleta y A. C. Mendoza de los Santos, “El impacto de la inteligencia artificial en la mejora de la atención al cliente: una revisión sistémica,” </w:t>
      </w:r>
      <w:r>
        <w:rPr>
          <w:rFonts w:ascii="Arial" w:cs="Arial" w:eastAsia="Arial" w:hAnsi="Arial"/>
          <w:i/>
          <w:iCs/>
          <w:sz w:val="24"/>
          <w:szCs w:val="24"/>
        </w:rPr>
        <w:t xml:space="preserve">Innovación y Software</w:t>
      </w:r>
      <w:r>
        <w:rPr>
          <w:rFonts w:ascii="Arial" w:cs="Arial" w:eastAsia="Arial" w:hAnsi="Arial"/>
          <w:sz w:val="24"/>
          <w:szCs w:val="24"/>
        </w:rPr>
        <w:t xml:space="preserve">, vol. 4, no. 2, pp. 201–222, 2023, doi: 10.48168/innosoft.s12.a90.</w:t>
      </w:r>
    </w:p>
    <w:p>
      <w:pPr>
        <w:tabs>
          <w:tab w:val="left" w:pos="567"/>
        </w:tabs>
        <w:spacing w:after="120" w:before="0" w:line="360"/>
        <w:ind w:left="567" w:hanging="567"/>
      </w:pPr>
      <w:r>
        <w:rPr>
          <w:rFonts w:ascii="Arial" w:cs="Arial" w:eastAsia="Arial" w:hAnsi="Arial"/>
          <w:sz w:val="24"/>
          <w:szCs w:val="24"/>
        </w:rPr>
        <w:t xml:space="preserve">[12]</w:t>
      </w:r>
      <w:r>
        <w:rPr>
          <w:rFonts w:ascii="Arial" w:cs="Arial" w:eastAsia="Arial" w:hAnsi="Arial"/>
          <w:sz w:val="24"/>
          <w:szCs w:val="24"/>
        </w:rPr>
        <w:t xml:space="preserve">	</w:t>
      </w:r>
      <w:r>
        <w:rPr>
          <w:rFonts w:ascii="Arial" w:cs="Arial" w:eastAsia="Arial" w:hAnsi="Arial"/>
          <w:sz w:val="24"/>
          <w:szCs w:val="24"/>
        </w:rPr>
        <w:t xml:space="preserve">C. Ledro, A. Nosella y A. Vinelli, “Artificial intelligence in customer relationship management: Literature review and future research directions,” </w:t>
      </w:r>
      <w:r>
        <w:rPr>
          <w:rFonts w:ascii="Arial" w:cs="Arial" w:eastAsia="Arial" w:hAnsi="Arial"/>
          <w:i/>
          <w:iCs/>
          <w:sz w:val="24"/>
          <w:szCs w:val="24"/>
        </w:rPr>
        <w:t xml:space="preserve">Journal of Business &amp; Industrial Marketing</w:t>
      </w:r>
      <w:r>
        <w:rPr>
          <w:rFonts w:ascii="Arial" w:cs="Arial" w:eastAsia="Arial" w:hAnsi="Arial"/>
          <w:sz w:val="24"/>
          <w:szCs w:val="24"/>
        </w:rPr>
        <w:t xml:space="preserve">, vol. 37, no. 13, pp. 48–63, 2022, doi: 10.1108/JBIM-07-2021-0332.</w:t>
      </w:r>
    </w:p>
    <w:p>
      <w:pPr>
        <w:tabs>
          <w:tab w:val="left" w:pos="567"/>
        </w:tabs>
        <w:spacing w:after="120" w:before="0" w:line="360"/>
        <w:ind w:left="567" w:hanging="567"/>
      </w:pPr>
      <w:r>
        <w:rPr>
          <w:rFonts w:ascii="Arial" w:cs="Arial" w:eastAsia="Arial" w:hAnsi="Arial"/>
          <w:sz w:val="24"/>
          <w:szCs w:val="24"/>
        </w:rPr>
        <w:t xml:space="preserve">[13]</w:t>
      </w:r>
      <w:r>
        <w:rPr>
          <w:rFonts w:ascii="Arial" w:cs="Arial" w:eastAsia="Arial" w:hAnsi="Arial"/>
          <w:sz w:val="24"/>
          <w:szCs w:val="24"/>
        </w:rPr>
        <w:t xml:space="preserve">	</w:t>
      </w:r>
      <w:r>
        <w:rPr>
          <w:rFonts w:ascii="Arial" w:cs="Arial" w:eastAsia="Arial" w:hAnsi="Arial"/>
          <w:sz w:val="24"/>
          <w:szCs w:val="24"/>
        </w:rPr>
        <w:t xml:space="preserve">D. Ozay, M. Jahanbakht, A. Shoomal y S. Wang, “Artificial intelligence (AI)-based customer relationship management (CRM): A comprehensive bibliometric and systematic literature review with outlook on future research,” </w:t>
      </w:r>
      <w:r>
        <w:rPr>
          <w:rFonts w:ascii="Arial" w:cs="Arial" w:eastAsia="Arial" w:hAnsi="Arial"/>
          <w:i/>
          <w:iCs/>
          <w:sz w:val="24"/>
          <w:szCs w:val="24"/>
        </w:rPr>
        <w:t xml:space="preserve">Enterprise Information Systems</w:t>
      </w:r>
      <w:r>
        <w:rPr>
          <w:rFonts w:ascii="Arial" w:cs="Arial" w:eastAsia="Arial" w:hAnsi="Arial"/>
          <w:sz w:val="24"/>
          <w:szCs w:val="24"/>
        </w:rPr>
        <w:t xml:space="preserve">, vol. 18, no. 7, art. no. 2351869, 2024, doi: 10.1080/17517575.2024.2351869.</w:t>
      </w:r>
    </w:p>
    <w:p>
      <w:pPr>
        <w:tabs>
          <w:tab w:val="left" w:pos="567"/>
        </w:tabs>
        <w:spacing w:after="120" w:before="0" w:line="360"/>
        <w:ind w:left="567" w:hanging="567"/>
      </w:pPr>
      <w:r>
        <w:rPr>
          <w:rFonts w:ascii="Arial" w:cs="Arial" w:eastAsia="Arial" w:hAnsi="Arial"/>
          <w:sz w:val="24"/>
          <w:szCs w:val="24"/>
        </w:rPr>
        <w:t xml:space="preserve">[14]</w:t>
      </w:r>
      <w:r>
        <w:rPr>
          <w:rFonts w:ascii="Arial" w:cs="Arial" w:eastAsia="Arial" w:hAnsi="Arial"/>
          <w:sz w:val="24"/>
          <w:szCs w:val="24"/>
        </w:rPr>
        <w:t xml:space="preserve">	</w:t>
      </w:r>
      <w:r>
        <w:rPr>
          <w:rFonts w:ascii="Arial" w:cs="Arial" w:eastAsia="Arial" w:hAnsi="Arial"/>
          <w:sz w:val="24"/>
          <w:szCs w:val="24"/>
        </w:rPr>
        <w:t xml:space="preserve">C. Ledro, A. Nosella, A. Vinelli, I. Dalla Pozza y T. Souverain, “Artificial intelligence in customer relationship management: A systematic framework for a successful integration,” </w:t>
      </w:r>
      <w:r>
        <w:rPr>
          <w:rFonts w:ascii="Arial" w:cs="Arial" w:eastAsia="Arial" w:hAnsi="Arial"/>
          <w:i/>
          <w:iCs/>
          <w:sz w:val="24"/>
          <w:szCs w:val="24"/>
        </w:rPr>
        <w:t xml:space="preserve">Journal of Business Research</w:t>
      </w:r>
      <w:r>
        <w:rPr>
          <w:rFonts w:ascii="Arial" w:cs="Arial" w:eastAsia="Arial" w:hAnsi="Arial"/>
          <w:sz w:val="24"/>
          <w:szCs w:val="24"/>
        </w:rPr>
        <w:t xml:space="preserve">, vol. 199, art. no. 115531, 2025, doi: 10.1016/j.jbusres.2025.115531.</w:t>
      </w:r>
    </w:p>
    <w:p>
      <w:pPr>
        <w:tabs>
          <w:tab w:val="left" w:pos="567"/>
        </w:tabs>
        <w:spacing w:after="120" w:before="0" w:line="360"/>
        <w:ind w:left="567" w:hanging="567"/>
      </w:pPr>
      <w:r>
        <w:rPr>
          <w:rFonts w:ascii="Arial" w:cs="Arial" w:eastAsia="Arial" w:hAnsi="Arial"/>
          <w:sz w:val="24"/>
          <w:szCs w:val="24"/>
        </w:rPr>
        <w:t xml:space="preserve">[19]</w:t>
      </w:r>
      <w:r>
        <w:rPr>
          <w:rFonts w:ascii="Arial" w:cs="Arial" w:eastAsia="Arial" w:hAnsi="Arial"/>
          <w:sz w:val="24"/>
          <w:szCs w:val="24"/>
        </w:rPr>
        <w:t xml:space="preserve">	</w:t>
      </w:r>
      <w:r>
        <w:rPr>
          <w:rFonts w:ascii="Arial" w:cs="Arial" w:eastAsia="Arial" w:hAnsi="Arial"/>
          <w:sz w:val="24"/>
          <w:szCs w:val="24"/>
        </w:rPr>
        <w:t xml:space="preserve">B. Sheehan, H. S. Jin y U. Gottlieb, “Customer service chatbots: Anthropomorphism and adoption,” </w:t>
      </w:r>
      <w:r>
        <w:rPr>
          <w:rFonts w:ascii="Arial" w:cs="Arial" w:eastAsia="Arial" w:hAnsi="Arial"/>
          <w:i/>
          <w:iCs/>
          <w:sz w:val="24"/>
          <w:szCs w:val="24"/>
        </w:rPr>
        <w:t xml:space="preserve">Journal of Business Research</w:t>
      </w:r>
      <w:r>
        <w:rPr>
          <w:rFonts w:ascii="Arial" w:cs="Arial" w:eastAsia="Arial" w:hAnsi="Arial"/>
          <w:sz w:val="24"/>
          <w:szCs w:val="24"/>
        </w:rPr>
        <w:t xml:space="preserve">, vol. 115, pp. 14–24, 2020, doi: 10.1016/j.jbusres.2020.04.030.</w:t>
      </w:r>
    </w:p>
    <w:p>
      <w:pPr>
        <w:tabs>
          <w:tab w:val="left" w:pos="567"/>
        </w:tabs>
        <w:spacing w:after="120" w:before="0" w:line="360"/>
        <w:ind w:left="567" w:hanging="567"/>
      </w:pPr>
      <w:r>
        <w:rPr>
          <w:rFonts w:ascii="Arial" w:cs="Arial" w:eastAsia="Arial" w:hAnsi="Arial"/>
          <w:sz w:val="24"/>
          <w:szCs w:val="24"/>
        </w:rPr>
        <w:t xml:space="preserve">[25]</w:t>
      </w:r>
      <w:r>
        <w:rPr>
          <w:rFonts w:ascii="Arial" w:cs="Arial" w:eastAsia="Arial" w:hAnsi="Arial"/>
          <w:sz w:val="24"/>
          <w:szCs w:val="24"/>
        </w:rPr>
        <w:t xml:space="preserve">	</w:t>
      </w:r>
      <w:r>
        <w:rPr>
          <w:rFonts w:ascii="Arial" w:cs="Arial" w:eastAsia="Arial" w:hAnsi="Arial"/>
          <w:sz w:val="24"/>
          <w:szCs w:val="24"/>
        </w:rPr>
        <w:t xml:space="preserve">M.-H. Huang y R. T. Rust, “Artificial intelligence in service,” </w:t>
      </w:r>
      <w:r>
        <w:rPr>
          <w:rFonts w:ascii="Arial" w:cs="Arial" w:eastAsia="Arial" w:hAnsi="Arial"/>
          <w:i/>
          <w:iCs/>
          <w:sz w:val="24"/>
          <w:szCs w:val="24"/>
        </w:rPr>
        <w:t xml:space="preserve">Journal of Service Research</w:t>
      </w:r>
      <w:r>
        <w:rPr>
          <w:rFonts w:ascii="Arial" w:cs="Arial" w:eastAsia="Arial" w:hAnsi="Arial"/>
          <w:sz w:val="24"/>
          <w:szCs w:val="24"/>
        </w:rPr>
        <w:t xml:space="preserve">, vol. 21, no. 2, pp. 155–172, 2018, doi: 10.1177/1094670517752459.</w:t>
      </w:r>
    </w:p>
    <w:p>
      <w:pPr>
        <w:tabs>
          <w:tab w:val="left" w:pos="567"/>
        </w:tabs>
        <w:spacing w:after="120" w:before="0" w:line="360"/>
        <w:ind w:left="567" w:hanging="567"/>
      </w:pPr>
      <w:r>
        <w:rPr>
          <w:rFonts w:ascii="Arial" w:cs="Arial" w:eastAsia="Arial" w:hAnsi="Arial"/>
          <w:sz w:val="24"/>
          <w:szCs w:val="24"/>
        </w:rPr>
        <w:t xml:space="preserve">[26]</w:t>
      </w:r>
      <w:r>
        <w:rPr>
          <w:rFonts w:ascii="Arial" w:cs="Arial" w:eastAsia="Arial" w:hAnsi="Arial"/>
          <w:sz w:val="24"/>
          <w:szCs w:val="24"/>
        </w:rPr>
        <w:t xml:space="preserve">	</w:t>
      </w:r>
      <w:r>
        <w:rPr>
          <w:rFonts w:ascii="Arial" w:cs="Arial" w:eastAsia="Arial" w:hAnsi="Arial"/>
          <w:sz w:val="24"/>
          <w:szCs w:val="24"/>
        </w:rPr>
        <w:t xml:space="preserve">F. D. Davis, “Perceived usefulness, perceived ease of use, and user acceptance of information technology,” </w:t>
      </w:r>
      <w:r>
        <w:rPr>
          <w:rFonts w:ascii="Arial" w:cs="Arial" w:eastAsia="Arial" w:hAnsi="Arial"/>
          <w:i/>
          <w:iCs/>
          <w:sz w:val="24"/>
          <w:szCs w:val="24"/>
        </w:rPr>
        <w:t xml:space="preserve">MIS Quarterly</w:t>
      </w:r>
      <w:r>
        <w:rPr>
          <w:rFonts w:ascii="Arial" w:cs="Arial" w:eastAsia="Arial" w:hAnsi="Arial"/>
          <w:sz w:val="24"/>
          <w:szCs w:val="24"/>
        </w:rPr>
        <w:t xml:space="preserve">, vol. 13, no. 3, pp. 319–340, 1989, doi: 10.2307/249008.</w:t>
      </w:r>
    </w:p>
    <w:p>
      <w:pPr>
        <w:tabs>
          <w:tab w:val="left" w:pos="567"/>
        </w:tabs>
        <w:spacing w:after="120" w:before="0" w:line="360"/>
        <w:ind w:left="567" w:hanging="567"/>
      </w:pPr>
      <w:r>
        <w:rPr>
          <w:rFonts w:ascii="Arial" w:cs="Arial" w:eastAsia="Arial" w:hAnsi="Arial"/>
          <w:sz w:val="24"/>
          <w:szCs w:val="24"/>
        </w:rPr>
        <w:t xml:space="preserve">[27]</w:t>
      </w:r>
      <w:r>
        <w:rPr>
          <w:rFonts w:ascii="Arial" w:cs="Arial" w:eastAsia="Arial" w:hAnsi="Arial"/>
          <w:sz w:val="24"/>
          <w:szCs w:val="24"/>
        </w:rPr>
        <w:t xml:space="preserve">	</w:t>
      </w:r>
      <w:r>
        <w:rPr>
          <w:rFonts w:ascii="Arial" w:cs="Arial" w:eastAsia="Arial" w:hAnsi="Arial"/>
          <w:sz w:val="24"/>
          <w:szCs w:val="24"/>
        </w:rPr>
        <w:t xml:space="preserve">W. H. DeLone y E. R. McLean, “The DeLone and McLean model of information systems success: A ten-year update,” </w:t>
      </w:r>
      <w:r>
        <w:rPr>
          <w:rFonts w:ascii="Arial" w:cs="Arial" w:eastAsia="Arial" w:hAnsi="Arial"/>
          <w:i/>
          <w:iCs/>
          <w:sz w:val="24"/>
          <w:szCs w:val="24"/>
        </w:rPr>
        <w:t xml:space="preserve">Journal of Management Information Systems</w:t>
      </w:r>
      <w:r>
        <w:rPr>
          <w:rFonts w:ascii="Arial" w:cs="Arial" w:eastAsia="Arial" w:hAnsi="Arial"/>
          <w:sz w:val="24"/>
          <w:szCs w:val="24"/>
        </w:rPr>
        <w:t xml:space="preserve">, vol. 19, no. 4, pp. 9–30, 2003, doi: 10.1080/07421222.2003.11045748.</w:t>
      </w:r>
    </w:p>
    <w:p>
      <w:pPr>
        <w:tabs>
          <w:tab w:val="left" w:pos="567"/>
        </w:tabs>
        <w:spacing w:after="120" w:before="0" w:line="360"/>
        <w:ind w:left="567" w:hanging="567"/>
      </w:pPr>
      <w:r>
        <w:rPr>
          <w:rFonts w:ascii="Arial" w:cs="Arial" w:eastAsia="Arial" w:hAnsi="Arial"/>
          <w:sz w:val="24"/>
          <w:szCs w:val="24"/>
        </w:rPr>
        <w:t xml:space="preserve">[28]</w:t>
      </w:r>
      <w:r>
        <w:rPr>
          <w:rFonts w:ascii="Arial" w:cs="Arial" w:eastAsia="Arial" w:hAnsi="Arial"/>
          <w:sz w:val="24"/>
          <w:szCs w:val="24"/>
        </w:rPr>
        <w:t xml:space="preserve">	</w:t>
      </w:r>
      <w:r>
        <w:rPr>
          <w:rFonts w:ascii="Arial" w:cs="Arial" w:eastAsia="Arial" w:hAnsi="Arial"/>
          <w:sz w:val="24"/>
          <w:szCs w:val="24"/>
        </w:rPr>
        <w:t xml:space="preserve">Instituto Nacional de Estadística e Informática, </w:t>
      </w:r>
      <w:r>
        <w:rPr>
          <w:rFonts w:ascii="Arial" w:cs="Arial" w:eastAsia="Arial" w:hAnsi="Arial"/>
          <w:i/>
          <w:iCs/>
          <w:sz w:val="24"/>
          <w:szCs w:val="24"/>
        </w:rPr>
        <w:t xml:space="preserve">Perú: Tecnologías de Información y Comunicación en las Empresas, 2023</w:t>
      </w:r>
      <w:r>
        <w:rPr>
          <w:rFonts w:ascii="Arial" w:cs="Arial" w:eastAsia="Arial" w:hAnsi="Arial"/>
          <w:sz w:val="24"/>
          <w:szCs w:val="24"/>
        </w:rPr>
        <w:t xml:space="preserve">. Lima, Perú: INEI, mar. 2026. [En línea]. Disponible en: https://www.gob.pe/institucion/inei/informes-publicaciones/7820458-peru-tecnologias-de-informacion-y-comunicacion-en-las-empresas-2023</w:t>
      </w:r>
    </w:p>
    <w:p>
      <w:pPr>
        <w:tabs>
          <w:tab w:val="left" w:pos="567"/>
        </w:tabs>
        <w:spacing w:after="120" w:before="0" w:line="360"/>
        <w:ind w:left="567" w:hanging="567"/>
      </w:pPr>
      <w:r>
        <w:rPr>
          <w:rFonts w:ascii="Arial" w:cs="Arial" w:eastAsia="Arial" w:hAnsi="Arial"/>
          <w:sz w:val="24"/>
          <w:szCs w:val="24"/>
        </w:rPr>
        <w:t xml:space="preserve">[29]</w:t>
      </w:r>
      <w:r>
        <w:rPr>
          <w:rFonts w:ascii="Arial" w:cs="Arial" w:eastAsia="Arial" w:hAnsi="Arial"/>
          <w:sz w:val="24"/>
          <w:szCs w:val="24"/>
        </w:rPr>
        <w:t xml:space="preserve">	</w:t>
      </w:r>
      <w:r>
        <w:rPr>
          <w:rFonts w:ascii="Arial" w:cs="Arial" w:eastAsia="Arial" w:hAnsi="Arial"/>
          <w:sz w:val="24"/>
          <w:szCs w:val="24"/>
        </w:rPr>
        <w:t xml:space="preserve">Congreso de la República del Perú, </w:t>
      </w:r>
      <w:r>
        <w:rPr>
          <w:rFonts w:ascii="Arial" w:cs="Arial" w:eastAsia="Arial" w:hAnsi="Arial"/>
          <w:i/>
          <w:iCs/>
          <w:sz w:val="24"/>
          <w:szCs w:val="24"/>
        </w:rPr>
        <w:t xml:space="preserve">Ley N.° 29733, Ley de Protección de Datos Personales</w:t>
      </w:r>
      <w:r>
        <w:rPr>
          <w:rFonts w:ascii="Arial" w:cs="Arial" w:eastAsia="Arial" w:hAnsi="Arial"/>
          <w:sz w:val="24"/>
          <w:szCs w:val="24"/>
        </w:rPr>
        <w:t xml:space="preserve">. Lima, Perú: Diario Oficial El Peruano, 3 jul. 2011.</w:t>
      </w:r>
    </w:p>
    <w:p>
      <w:pPr>
        <w:tabs>
          <w:tab w:val="left" w:pos="567"/>
        </w:tabs>
        <w:spacing w:after="120" w:before="0" w:line="360"/>
        <w:ind w:left="567" w:hanging="567"/>
      </w:pPr>
      <w:r>
        <w:rPr>
          <w:rFonts w:ascii="Arial" w:cs="Arial" w:eastAsia="Arial" w:hAnsi="Arial"/>
          <w:sz w:val="24"/>
          <w:szCs w:val="24"/>
        </w:rPr>
        <w:t xml:space="preserve">[30]</w:t>
      </w:r>
      <w:r>
        <w:rPr>
          <w:rFonts w:ascii="Arial" w:cs="Arial" w:eastAsia="Arial" w:hAnsi="Arial"/>
          <w:sz w:val="24"/>
          <w:szCs w:val="24"/>
        </w:rPr>
        <w:t xml:space="preserve">	</w:t>
      </w:r>
      <w:r>
        <w:rPr>
          <w:rFonts w:ascii="Arial" w:cs="Arial" w:eastAsia="Arial" w:hAnsi="Arial"/>
          <w:sz w:val="24"/>
          <w:szCs w:val="24"/>
        </w:rPr>
        <w:t xml:space="preserve">Ministerio de la Producción, “Desempeño económico de las MYPE 2024,” Observatorio PRODUCEmpresarial, Lima, Perú, may. 2025. [En línea]. Disponible en: https://www.producempresarial.pe/wp-content/uploads/2025/05/355-PPT_Indicadores-de-Desempeno-MYPE-2024_08.05.2025_rev.pdf</w:t>
      </w:r>
    </w:p>
    <w:p>
      <w:pPr>
        <w:tabs>
          <w:tab w:val="left" w:pos="567"/>
        </w:tabs>
        <w:spacing w:after="120" w:before="0" w:line="360"/>
        <w:ind w:left="567" w:hanging="567"/>
      </w:pPr>
      <w:r>
        <w:rPr>
          <w:rFonts w:ascii="Arial" w:cs="Arial" w:eastAsia="Arial" w:hAnsi="Arial"/>
          <w:sz w:val="24"/>
          <w:szCs w:val="24"/>
        </w:rPr>
        <w:t xml:space="preserve">[31]</w:t>
      </w:r>
      <w:r>
        <w:rPr>
          <w:rFonts w:ascii="Arial" w:cs="Arial" w:eastAsia="Arial" w:hAnsi="Arial"/>
          <w:sz w:val="24"/>
          <w:szCs w:val="24"/>
        </w:rPr>
        <w:t xml:space="preserve">	</w:t>
      </w:r>
      <w:r>
        <w:rPr>
          <w:rFonts w:ascii="Arial" w:cs="Arial" w:eastAsia="Arial" w:hAnsi="Arial"/>
          <w:sz w:val="24"/>
          <w:szCs w:val="24"/>
        </w:rPr>
        <w:t xml:space="preserve">F. A. Lavanda Reyes, R. E. Ruiz Reyes, M. G. Reyes Mejía, L. A. Castillo Samanamud y J. L. Reyes Ruiz, “Los chatbots y la satisfacción de los clientes en empresas peruanas, año 2025,” </w:t>
      </w:r>
      <w:r>
        <w:rPr>
          <w:rFonts w:ascii="Arial" w:cs="Arial" w:eastAsia="Arial" w:hAnsi="Arial"/>
          <w:i/>
          <w:iCs/>
          <w:sz w:val="24"/>
          <w:szCs w:val="24"/>
        </w:rPr>
        <w:t xml:space="preserve">Impulso, Revista de Administración</w:t>
      </w:r>
      <w:r>
        <w:rPr>
          <w:rFonts w:ascii="Arial" w:cs="Arial" w:eastAsia="Arial" w:hAnsi="Arial"/>
          <w:sz w:val="24"/>
          <w:szCs w:val="24"/>
        </w:rPr>
        <w:t xml:space="preserve">, vol. 6, no. 13, pp. 237–252, 2026, doi: 10.59659/impulso.v.6i13.235.</w:t>
      </w:r>
    </w:p>
    <w:p>
      <w:pPr>
        <w:tabs>
          <w:tab w:val="left" w:pos="567"/>
        </w:tabs>
        <w:spacing w:after="120" w:before="0" w:line="360"/>
        <w:ind w:left="567" w:hanging="567"/>
      </w:pPr>
      <w:r>
        <w:rPr>
          <w:rFonts w:ascii="Arial" w:cs="Arial" w:eastAsia="Arial" w:hAnsi="Arial"/>
          <w:sz w:val="24"/>
          <w:szCs w:val="24"/>
        </w:rPr>
        <w:t xml:space="preserve">[32]</w:t>
      </w:r>
      <w:r>
        <w:rPr>
          <w:rFonts w:ascii="Arial" w:cs="Arial" w:eastAsia="Arial" w:hAnsi="Arial"/>
          <w:sz w:val="24"/>
          <w:szCs w:val="24"/>
        </w:rPr>
        <w:t xml:space="preserve">	</w:t>
      </w:r>
      <w:r>
        <w:rPr>
          <w:rFonts w:ascii="Arial" w:cs="Arial" w:eastAsia="Arial" w:hAnsi="Arial"/>
          <w:sz w:val="24"/>
          <w:szCs w:val="24"/>
        </w:rPr>
        <w:t xml:space="preserve">C. J. López Leonardo y C. J. Lozada Tiglla, “Percepción del impacto de un chatbot en la atención al cliente en el área de venta digital de una empresa de transportes,” </w:t>
      </w:r>
      <w:r>
        <w:rPr>
          <w:rFonts w:ascii="Arial" w:cs="Arial" w:eastAsia="Arial" w:hAnsi="Arial"/>
          <w:i/>
          <w:iCs/>
          <w:sz w:val="24"/>
          <w:szCs w:val="24"/>
        </w:rPr>
        <w:t xml:space="preserve">Ciencias Administrativas</w:t>
      </w:r>
      <w:r>
        <w:rPr>
          <w:rFonts w:ascii="Arial" w:cs="Arial" w:eastAsia="Arial" w:hAnsi="Arial"/>
          <w:sz w:val="24"/>
          <w:szCs w:val="24"/>
        </w:rPr>
        <w:t xml:space="preserve">, no. 27, art. no. e181, 2026, doi: 10.24215/23143738e181.</w:t>
      </w:r>
    </w:p>
    <w:p>
      <w:pPr>
        <w:tabs>
          <w:tab w:val="left" w:pos="567"/>
        </w:tabs>
        <w:spacing w:after="120" w:before="0" w:line="360"/>
        <w:ind w:left="567" w:hanging="567"/>
      </w:pPr>
      <w:r>
        <w:rPr>
          <w:rFonts w:ascii="Arial" w:cs="Arial" w:eastAsia="Arial" w:hAnsi="Arial"/>
          <w:sz w:val="24"/>
          <w:szCs w:val="24"/>
        </w:rPr>
        <w:t xml:space="preserve">[33]</w:t>
      </w:r>
      <w:r>
        <w:rPr>
          <w:rFonts w:ascii="Arial" w:cs="Arial" w:eastAsia="Arial" w:hAnsi="Arial"/>
          <w:sz w:val="24"/>
          <w:szCs w:val="24"/>
        </w:rPr>
        <w:t xml:space="preserve">	</w:t>
      </w:r>
      <w:r>
        <w:rPr>
          <w:rFonts w:ascii="Arial" w:cs="Arial" w:eastAsia="Arial" w:hAnsi="Arial"/>
          <w:sz w:val="24"/>
          <w:szCs w:val="24"/>
        </w:rPr>
        <w:t xml:space="preserve">Naciones Unidas, “Transformar nuestro mundo: la Agenda 2030 para el Desarrollo Sostenible,” Asamblea General, Nueva York, EE. UU., Res. A/RES/70/1, 25 sep. 2015.</w:t>
      </w:r>
    </w:p>
    <w:p>
      <w:pPr>
        <w:tabs>
          <w:tab w:val="left" w:pos="567"/>
        </w:tabs>
        <w:spacing w:after="120" w:before="0" w:line="360"/>
        <w:ind w:left="567" w:hanging="567"/>
      </w:pPr>
      <w:r>
        <w:rPr>
          <w:rFonts w:ascii="Arial" w:cs="Arial" w:eastAsia="Arial" w:hAnsi="Arial"/>
          <w:sz w:val="24"/>
          <w:szCs w:val="24"/>
        </w:rPr>
        <w:t xml:space="preserve">[34]</w:t>
      </w:r>
      <w:r>
        <w:rPr>
          <w:rFonts w:ascii="Arial" w:cs="Arial" w:eastAsia="Arial" w:hAnsi="Arial"/>
          <w:sz w:val="24"/>
          <w:szCs w:val="24"/>
        </w:rPr>
        <w:t xml:space="preserve">	</w:t>
      </w:r>
      <w:r>
        <w:rPr>
          <w:rFonts w:ascii="Arial" w:cs="Arial" w:eastAsia="Arial" w:hAnsi="Arial"/>
          <w:sz w:val="24"/>
          <w:szCs w:val="24"/>
        </w:rPr>
        <w:t xml:space="preserve">N. R. Bravo Maruri, A. G. Ramirez Reina, F. R. Orozco Lara y M. P. Espinoza Martínez, “Automatización del soporte al cliente mediante un chatbot con IA integrado al CRM: caso de estudio empresa EDITRATECH,” </w:t>
      </w:r>
      <w:r>
        <w:rPr>
          <w:rFonts w:ascii="Arial" w:cs="Arial" w:eastAsia="Arial" w:hAnsi="Arial"/>
          <w:i/>
          <w:iCs/>
          <w:sz w:val="24"/>
          <w:szCs w:val="24"/>
        </w:rPr>
        <w:t xml:space="preserve">GADE: Revista Científica</w:t>
      </w:r>
      <w:r>
        <w:rPr>
          <w:rFonts w:ascii="Arial" w:cs="Arial" w:eastAsia="Arial" w:hAnsi="Arial"/>
          <w:sz w:val="24"/>
          <w:szCs w:val="24"/>
        </w:rPr>
        <w:t xml:space="preserve">, vol. 5, no. 3, pp. 206–219, 2025, doi: 10.63549/rg.v5i3.705.</w:t>
      </w:r>
    </w:p>
    <w:sectPr>
      <w:footerReference w:type="default" r:id="rId6"/>
      <w:pgSz w:w="11906" w:h="16838" w:orient="portrait"/>
      <w:pgMar w:top="1418" w:right="1418" w:bottom="1418"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24"/>
        <w:szCs w:val="24"/>
      </w:rPr>
      <w:fldChar w:fldCharType="begin"/>
    </w:r>
    <w:r>
      <w:rPr>
        <w:rFonts w:ascii="Arial" w:cs="Arial" w:eastAsia="Arial" w:hAnsi="Arial"/>
        <w:sz w:val="24"/>
        <w:szCs w:val="24"/>
      </w:rPr>
      <w:instrText xml:space="preserve">PAGE</w:instrText>
    </w:r>
    <w:r>
      <w:rPr>
        <w:rFonts w:ascii="Arial" w:cs="Arial" w:eastAsia="Arial" w:hAnsi="Arial"/>
        <w:sz w:val="24"/>
        <w:szCs w:val="24"/>
      </w:rPr>
      <w:fldChar w:fldCharType="separate"/>
    </w:r>
    <w:r>
      <w:rPr>
        <w:rFonts w:ascii="Arial" w:cs="Arial" w:eastAsia="Arial" w:hAnsi="Arial"/>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09" w:hanging="360"/>
      </w:pPr>
    </w:lvl>
  </w:abstractNum>
  <w:abstractNum w:abstractNumId="3" w15:restartNumberingAfterBreak="0">
    <w:multiLevelType w:val="hybridMultilevel"/>
    <w:lvl w:ilvl="0" w:tentative="1">
      <w:start w:val="1"/>
      <w:numFmt w:val="bullet"/>
      <w:lvlText w:val="•"/>
      <w:lvlJc w:val="left"/>
      <w:pPr>
        <w:ind w:left="709"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3"/>
    <w:lvlOverride w:ilvl="0">
      <w:startOverride w:val="1"/>
    </w:lvlOverride>
  </w:num>
  <w:num w:numId="5">
    <w:abstractNumId w:val="2"/>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2026-10-20T04:56:06.715Z</dcterms:created>
  <dcterms:modified xsi:type="dcterms:W3CDTF">2026-10-20T04:56:06.717Z</dcterms:modified>
</cp:coreProperties>
</file>

<file path=docProps/custom.xml><?xml version="1.0" encoding="utf-8"?>
<Properties xmlns="http://schemas.openxmlformats.org/officeDocument/2006/custom-properties" xmlns:vt="http://schemas.openxmlformats.org/officeDocument/2006/docPropsVTypes"/>
</file>