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360"/>
        <w:jc w:val="center"/>
      </w:pPr>
      <w:r>
        <w:rPr>
          <w:rFonts w:ascii="Arial" w:cs="Arial" w:eastAsia="Arial" w:hAnsi="Arial"/>
          <w:b/>
          <w:bCs/>
          <w:sz w:val="24"/>
          <w:szCs w:val="24"/>
        </w:rPr>
        <w:t xml:space="preserve">CAPÍTULO III. OBJETIVOS, PREGUNTAS E HIPÓTESIS</w:t>
      </w:r>
    </w:p>
    <w:p>
      <w:pPr>
        <w:spacing w:after="0" w:before="0" w:line="360"/>
        <w:ind w:firstLine="709"/>
        <w:jc w:val="both"/>
      </w:pPr>
      <w:r>
        <w:rPr>
          <w:rFonts w:ascii="Arial" w:cs="Arial" w:eastAsia="Arial" w:hAnsi="Arial"/>
          <w:sz w:val="24"/>
          <w:szCs w:val="24"/>
        </w:rPr>
        <w:t xml:space="preserve">En este capítulo se transformó el problema de investigación formulado en el capítulo anterior en un conjunto articulado de objetivos, preguntas, hipótesis y variables operacionalizadas, con el propósito de garantizar la trazabilidad metodológica entre lo que se pregunta, lo que se busca lograr, lo que se mide y los resultados que se esperan obtener.</w:t>
      </w:r>
    </w:p>
    <w:p>
      <w:pPr>
        <w:keepNext/>
        <w:spacing w:after="120" w:before="240" w:line="360"/>
      </w:pPr>
      <w:r>
        <w:rPr>
          <w:rFonts w:ascii="Arial" w:cs="Arial" w:eastAsia="Arial" w:hAnsi="Arial"/>
          <w:b/>
          <w:bCs/>
          <w:sz w:val="24"/>
          <w:szCs w:val="24"/>
        </w:rPr>
        <w:t xml:space="preserve">3.1. Información de entrada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595959" w:sz="6"/>
              <w:left w:val="single" w:color="595959" w:sz="6"/>
              <w:bottom w:val="single" w:color="595959" w:sz="6"/>
              <w:right w:val="single" w:color="595959" w:sz="6"/>
            </w:tcBorders>
            <w:shd w:fill="D9D9D9" w:color="auto" w:val="clear"/>
            <w:tcMar>
              <w:top w:type="dxa" w:w="60"/>
              <w:left w:type="dxa" w:w="90"/>
              <w:bottom w:type="dxa" w:w="60"/>
              <w:right w:type="dxa" w:w="90"/>
            </w:tcMar>
            <w:vAlign w:val="center"/>
          </w:tcPr>
          <w:p>
            <w:pPr>
              <w:jc w:val="center"/>
            </w:pPr>
            <w:r>
              <w:rPr>
                <w:rFonts w:ascii="Arial" w:cs="Arial" w:eastAsia="Arial" w:hAnsi="Arial"/>
                <w:b/>
                <w:bCs/>
                <w:sz w:val="20"/>
                <w:szCs w:val="20"/>
              </w:rPr>
              <w:t xml:space="preserve">Campo</w:t>
            </w:r>
          </w:p>
        </w:tc>
        <w:tc>
          <w:tcPr>
            <w:tcW w:type="dxa" w:w="6470"/>
            <w:tcBorders>
              <w:top w:val="single" w:color="595959" w:sz="6"/>
              <w:left w:val="single" w:color="595959" w:sz="6"/>
              <w:bottom w:val="single" w:color="595959" w:sz="6"/>
              <w:right w:val="single" w:color="595959" w:sz="6"/>
            </w:tcBorders>
            <w:shd w:fill="D9D9D9" w:color="auto" w:val="clear"/>
            <w:tcMar>
              <w:top w:type="dxa" w:w="60"/>
              <w:left w:type="dxa" w:w="90"/>
              <w:bottom w:type="dxa" w:w="60"/>
              <w:right w:type="dxa" w:w="90"/>
            </w:tcMar>
            <w:vAlign w:val="center"/>
          </w:tcPr>
          <w:p>
            <w:pPr>
              <w:jc w:val="center"/>
            </w:pPr>
            <w:r>
              <w:rPr>
                <w:rFonts w:ascii="Arial" w:cs="Arial" w:eastAsia="Arial" w:hAnsi="Arial"/>
                <w:b/>
                <w:bCs/>
                <w:sz w:val="20"/>
                <w:szCs w:val="20"/>
              </w:rPr>
              <w:t xml:space="preserve">Contenido</w:t>
            </w:r>
          </w:p>
        </w:tc>
      </w:tr>
      <w:tr>
        <w:trPr>
          <w:cantSplit/>
          <w:tblHeader w:val="off"/>
        </w:trPr>
        <w:tc>
          <w:tcPr>
            <w:tcW w:type="dxa" w:w="2600"/>
            <w:tcBorders>
              <w:top w:val="single" w:color="595959" w:sz="6"/>
              <w:left w:val="single" w:color="595959" w:sz="6"/>
              <w:bottom w:val="single" w:color="595959" w:sz="6"/>
              <w:right w:val="single" w:color="595959" w:sz="6"/>
            </w:tcBorders>
            <w:shd w:fill="F2F2F2" w:color="auto" w:val="clear"/>
            <w:tcMar>
              <w:top w:type="dxa" w:w="60"/>
              <w:left w:type="dxa" w:w="90"/>
              <w:bottom w:type="dxa" w:w="60"/>
              <w:right w:type="dxa" w:w="90"/>
            </w:tcMar>
            <w:vAlign w:val="center"/>
          </w:tcPr>
          <w:p>
            <w:pPr>
              <w:jc w:val="left"/>
            </w:pPr>
            <w:r>
              <w:rPr>
                <w:rFonts w:ascii="Arial" w:cs="Arial" w:eastAsia="Arial" w:hAnsi="Arial"/>
                <w:sz w:val="20"/>
                <w:szCs w:val="20"/>
              </w:rPr>
              <w:t xml:space="preserve">Tema de investigación</w:t>
            </w:r>
          </w:p>
        </w:tc>
        <w:tc>
          <w:tcPr>
            <w:tcW w:type="dxa" w:w="647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Implementación de inteligencia artificial como agente de respuesta para atención al cliente y ventas en un sistema de gestión de relaciones con clientes</w:t>
            </w:r>
          </w:p>
        </w:tc>
      </w:tr>
      <w:tr>
        <w:trPr>
          <w:cantSplit/>
          <w:tblHeader w:val="off"/>
        </w:trPr>
        <w:tc>
          <w:tcPr>
            <w:tcW w:type="dxa" w:w="2600"/>
            <w:tcBorders>
              <w:top w:val="single" w:color="595959" w:sz="6"/>
              <w:left w:val="single" w:color="595959" w:sz="6"/>
              <w:bottom w:val="single" w:color="595959" w:sz="6"/>
              <w:right w:val="single" w:color="595959" w:sz="6"/>
            </w:tcBorders>
            <w:shd w:fill="F2F2F2" w:color="auto" w:val="clear"/>
            <w:tcMar>
              <w:top w:type="dxa" w:w="60"/>
              <w:left w:type="dxa" w:w="90"/>
              <w:bottom w:type="dxa" w:w="60"/>
              <w:right w:type="dxa" w:w="90"/>
            </w:tcMar>
            <w:vAlign w:val="center"/>
          </w:tcPr>
          <w:p>
            <w:pPr>
              <w:jc w:val="left"/>
            </w:pPr>
            <w:r>
              <w:rPr>
                <w:rFonts w:ascii="Arial" w:cs="Arial" w:eastAsia="Arial" w:hAnsi="Arial"/>
                <w:sz w:val="20"/>
                <w:szCs w:val="20"/>
              </w:rPr>
              <w:t xml:space="preserve">Título de investigación</w:t>
            </w:r>
          </w:p>
        </w:tc>
        <w:tc>
          <w:tcPr>
            <w:tcW w:type="dxa" w:w="647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Implementación de inteligencia artificial como agente de respuesta para atención al cliente y ventas en sistemas de gestión de relaciones con clientes en Piura durante 2026</w:t>
            </w:r>
          </w:p>
        </w:tc>
      </w:tr>
      <w:tr>
        <w:trPr>
          <w:cantSplit/>
          <w:tblHeader w:val="off"/>
        </w:trPr>
        <w:tc>
          <w:tcPr>
            <w:tcW w:type="dxa" w:w="2600"/>
            <w:tcBorders>
              <w:top w:val="single" w:color="595959" w:sz="6"/>
              <w:left w:val="single" w:color="595959" w:sz="6"/>
              <w:bottom w:val="single" w:color="595959" w:sz="6"/>
              <w:right w:val="single" w:color="595959" w:sz="6"/>
            </w:tcBorders>
            <w:shd w:fill="F2F2F2" w:color="auto" w:val="clear"/>
            <w:tcMar>
              <w:top w:type="dxa" w:w="60"/>
              <w:left w:type="dxa" w:w="90"/>
              <w:bottom w:type="dxa" w:w="60"/>
              <w:right w:type="dxa" w:w="90"/>
            </w:tcMar>
            <w:vAlign w:val="center"/>
          </w:tcPr>
          <w:p>
            <w:pPr>
              <w:jc w:val="left"/>
            </w:pPr>
            <w:r>
              <w:rPr>
                <w:rFonts w:ascii="Arial" w:cs="Arial" w:eastAsia="Arial" w:hAnsi="Arial"/>
                <w:sz w:val="20"/>
                <w:szCs w:val="20"/>
              </w:rPr>
              <w:t xml:space="preserve">Problema general</w:t>
            </w:r>
          </w:p>
        </w:tc>
        <w:tc>
          <w:tcPr>
            <w:tcW w:type="dxa" w:w="647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Deficiente capacidad de respuesta y baja conversión comercial en la atención al cliente gestionada mediante sistemas de gestión de relaciones con clientes en empresas comerciales de Piura</w:t>
            </w:r>
          </w:p>
        </w:tc>
      </w:tr>
      <w:tr>
        <w:trPr>
          <w:cantSplit/>
          <w:tblHeader w:val="off"/>
        </w:trPr>
        <w:tc>
          <w:tcPr>
            <w:tcW w:type="dxa" w:w="2600"/>
            <w:tcBorders>
              <w:top w:val="single" w:color="595959" w:sz="6"/>
              <w:left w:val="single" w:color="595959" w:sz="6"/>
              <w:bottom w:val="single" w:color="595959" w:sz="6"/>
              <w:right w:val="single" w:color="595959" w:sz="6"/>
            </w:tcBorders>
            <w:shd w:fill="F2F2F2" w:color="auto" w:val="clear"/>
            <w:tcMar>
              <w:top w:type="dxa" w:w="60"/>
              <w:left w:type="dxa" w:w="90"/>
              <w:bottom w:type="dxa" w:w="60"/>
              <w:right w:type="dxa" w:w="90"/>
            </w:tcMar>
            <w:vAlign w:val="center"/>
          </w:tcPr>
          <w:p>
            <w:pPr>
              <w:jc w:val="left"/>
            </w:pPr>
            <w:r>
              <w:rPr>
                <w:rFonts w:ascii="Arial" w:cs="Arial" w:eastAsia="Arial" w:hAnsi="Arial"/>
                <w:sz w:val="20"/>
                <w:szCs w:val="20"/>
              </w:rPr>
              <w:t xml:space="preserve">Pregunta general</w:t>
            </w:r>
          </w:p>
        </w:tc>
        <w:tc>
          <w:tcPr>
            <w:tcW w:type="dxa" w:w="647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¿Cuál es el efecto de la implementación de un agente de respuesta basado en inteligencia artificial, integrado a un sistema de gestión de relaciones con clientes, sobre la atención al cliente y las ventas en una empresa comercial de Piura durante 2026?</w:t>
            </w:r>
          </w:p>
        </w:tc>
      </w:tr>
      <w:tr>
        <w:trPr>
          <w:cantSplit/>
          <w:tblHeader w:val="off"/>
        </w:trPr>
        <w:tc>
          <w:tcPr>
            <w:tcW w:type="dxa" w:w="2600"/>
            <w:tcBorders>
              <w:top w:val="single" w:color="595959" w:sz="6"/>
              <w:left w:val="single" w:color="595959" w:sz="6"/>
              <w:bottom w:val="single" w:color="595959" w:sz="6"/>
              <w:right w:val="single" w:color="595959" w:sz="6"/>
            </w:tcBorders>
            <w:shd w:fill="F2F2F2" w:color="auto" w:val="clear"/>
            <w:tcMar>
              <w:top w:type="dxa" w:w="60"/>
              <w:left w:type="dxa" w:w="90"/>
              <w:bottom w:type="dxa" w:w="60"/>
              <w:right w:type="dxa" w:w="90"/>
            </w:tcMar>
            <w:vAlign w:val="center"/>
          </w:tcPr>
          <w:p>
            <w:pPr>
              <w:jc w:val="left"/>
            </w:pPr>
            <w:r>
              <w:rPr>
                <w:rFonts w:ascii="Arial" w:cs="Arial" w:eastAsia="Arial" w:hAnsi="Arial"/>
                <w:sz w:val="20"/>
                <w:szCs w:val="20"/>
              </w:rPr>
              <w:t xml:space="preserve">Preguntas específicas</w:t>
            </w:r>
          </w:p>
        </w:tc>
        <w:tc>
          <w:tcPr>
            <w:tcW w:type="dxa" w:w="647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PE1: ¿Cuál es el efecto sobre el tiempo de respuesta al cliente? PE2: ¿Cuál es el efecto sobre el nivel de satisfacción del cliente? PE3: ¿Cuál es el efecto sobre la tasa de conversión comercial? PE4: ¿Cuál es el efecto sobre la eficiencia operativa del proceso de atención?</w:t>
            </w:r>
          </w:p>
        </w:tc>
      </w:tr>
      <w:tr>
        <w:trPr>
          <w:cantSplit/>
          <w:tblHeader w:val="off"/>
        </w:trPr>
        <w:tc>
          <w:tcPr>
            <w:tcW w:type="dxa" w:w="2600"/>
            <w:tcBorders>
              <w:top w:val="single" w:color="595959" w:sz="6"/>
              <w:left w:val="single" w:color="595959" w:sz="6"/>
              <w:bottom w:val="single" w:color="595959" w:sz="6"/>
              <w:right w:val="single" w:color="595959" w:sz="6"/>
            </w:tcBorders>
            <w:shd w:fill="F2F2F2" w:color="auto" w:val="clear"/>
            <w:tcMar>
              <w:top w:type="dxa" w:w="60"/>
              <w:left w:type="dxa" w:w="90"/>
              <w:bottom w:type="dxa" w:w="60"/>
              <w:right w:type="dxa" w:w="90"/>
            </w:tcMar>
            <w:vAlign w:val="center"/>
          </w:tcPr>
          <w:p>
            <w:pPr>
              <w:jc w:val="left"/>
            </w:pPr>
            <w:r>
              <w:rPr>
                <w:rFonts w:ascii="Arial" w:cs="Arial" w:eastAsia="Arial" w:hAnsi="Arial"/>
                <w:sz w:val="20"/>
                <w:szCs w:val="20"/>
              </w:rPr>
              <w:t xml:space="preserve">Variables</w:t>
            </w:r>
          </w:p>
        </w:tc>
        <w:tc>
          <w:tcPr>
            <w:tcW w:type="dxa" w:w="647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Variable independiente: implementación de inteligencia artificial como agente de respuesta. Variable dependiente: atención al cliente y ventas</w:t>
            </w:r>
          </w:p>
        </w:tc>
      </w:tr>
      <w:tr>
        <w:trPr>
          <w:cantSplit/>
          <w:tblHeader w:val="off"/>
        </w:trPr>
        <w:tc>
          <w:tcPr>
            <w:tcW w:type="dxa" w:w="2600"/>
            <w:tcBorders>
              <w:top w:val="single" w:color="595959" w:sz="6"/>
              <w:left w:val="single" w:color="595959" w:sz="6"/>
              <w:bottom w:val="single" w:color="595959" w:sz="6"/>
              <w:right w:val="single" w:color="595959" w:sz="6"/>
            </w:tcBorders>
            <w:shd w:fill="F2F2F2" w:color="auto" w:val="clear"/>
            <w:tcMar>
              <w:top w:type="dxa" w:w="60"/>
              <w:left w:type="dxa" w:w="90"/>
              <w:bottom w:type="dxa" w:w="60"/>
              <w:right w:type="dxa" w:w="90"/>
            </w:tcMar>
            <w:vAlign w:val="center"/>
          </w:tcPr>
          <w:p>
            <w:pPr>
              <w:jc w:val="left"/>
            </w:pPr>
            <w:r>
              <w:rPr>
                <w:rFonts w:ascii="Arial" w:cs="Arial" w:eastAsia="Arial" w:hAnsi="Arial"/>
                <w:sz w:val="20"/>
                <w:szCs w:val="20"/>
              </w:rPr>
              <w:t xml:space="preserve">Unidad de análisis</w:t>
            </w:r>
          </w:p>
        </w:tc>
        <w:tc>
          <w:tcPr>
            <w:tcW w:type="dxa" w:w="647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Interacciones de atención y venta registradas en el sistema de gestión de relaciones con clientes de una empresa comercial de Piura, y los clientes que las realizan</w:t>
            </w:r>
          </w:p>
        </w:tc>
      </w:tr>
      <w:tr>
        <w:trPr>
          <w:cantSplit/>
          <w:tblHeader w:val="off"/>
        </w:trPr>
        <w:tc>
          <w:tcPr>
            <w:tcW w:type="dxa" w:w="2600"/>
            <w:tcBorders>
              <w:top w:val="single" w:color="595959" w:sz="6"/>
              <w:left w:val="single" w:color="595959" w:sz="6"/>
              <w:bottom w:val="single" w:color="595959" w:sz="6"/>
              <w:right w:val="single" w:color="595959" w:sz="6"/>
            </w:tcBorders>
            <w:shd w:fill="F2F2F2" w:color="auto" w:val="clear"/>
            <w:tcMar>
              <w:top w:type="dxa" w:w="60"/>
              <w:left w:type="dxa" w:w="90"/>
              <w:bottom w:type="dxa" w:w="60"/>
              <w:right w:type="dxa" w:w="90"/>
            </w:tcMar>
            <w:vAlign w:val="center"/>
          </w:tcPr>
          <w:p>
            <w:pPr>
              <w:jc w:val="left"/>
            </w:pPr>
            <w:r>
              <w:rPr>
                <w:rFonts w:ascii="Arial" w:cs="Arial" w:eastAsia="Arial" w:hAnsi="Arial"/>
                <w:sz w:val="20"/>
                <w:szCs w:val="20"/>
              </w:rPr>
              <w:t xml:space="preserve">Lugar</w:t>
            </w:r>
          </w:p>
        </w:tc>
        <w:tc>
          <w:tcPr>
            <w:tcW w:type="dxa" w:w="647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Piura, Perú</w:t>
            </w:r>
          </w:p>
        </w:tc>
      </w:tr>
      <w:tr>
        <w:trPr>
          <w:cantSplit/>
          <w:tblHeader w:val="off"/>
        </w:trPr>
        <w:tc>
          <w:tcPr>
            <w:tcW w:type="dxa" w:w="2600"/>
            <w:tcBorders>
              <w:top w:val="single" w:color="595959" w:sz="6"/>
              <w:left w:val="single" w:color="595959" w:sz="6"/>
              <w:bottom w:val="single" w:color="595959" w:sz="6"/>
              <w:right w:val="single" w:color="595959" w:sz="6"/>
            </w:tcBorders>
            <w:shd w:fill="F2F2F2" w:color="auto" w:val="clear"/>
            <w:tcMar>
              <w:top w:type="dxa" w:w="60"/>
              <w:left w:type="dxa" w:w="90"/>
              <w:bottom w:type="dxa" w:w="60"/>
              <w:right w:type="dxa" w:w="90"/>
            </w:tcMar>
            <w:vAlign w:val="center"/>
          </w:tcPr>
          <w:p>
            <w:pPr>
              <w:jc w:val="left"/>
            </w:pPr>
            <w:r>
              <w:rPr>
                <w:rFonts w:ascii="Arial" w:cs="Arial" w:eastAsia="Arial" w:hAnsi="Arial"/>
                <w:sz w:val="20"/>
                <w:szCs w:val="20"/>
              </w:rPr>
              <w:t xml:space="preserve">Tiempo</w:t>
            </w:r>
          </w:p>
        </w:tc>
        <w:tc>
          <w:tcPr>
            <w:tcW w:type="dxa" w:w="647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2026</w:t>
            </w:r>
          </w:p>
        </w:tc>
      </w:tr>
      <w:tr>
        <w:trPr>
          <w:cantSplit/>
          <w:tblHeader w:val="off"/>
        </w:trPr>
        <w:tc>
          <w:tcPr>
            <w:tcW w:type="dxa" w:w="2600"/>
            <w:tcBorders>
              <w:top w:val="single" w:color="595959" w:sz="6"/>
              <w:left w:val="single" w:color="595959" w:sz="6"/>
              <w:bottom w:val="single" w:color="595959" w:sz="6"/>
              <w:right w:val="single" w:color="595959" w:sz="6"/>
            </w:tcBorders>
            <w:shd w:fill="F2F2F2" w:color="auto" w:val="clear"/>
            <w:tcMar>
              <w:top w:type="dxa" w:w="60"/>
              <w:left w:type="dxa" w:w="90"/>
              <w:bottom w:type="dxa" w:w="60"/>
              <w:right w:type="dxa" w:w="90"/>
            </w:tcMar>
            <w:vAlign w:val="center"/>
          </w:tcPr>
          <w:p>
            <w:pPr>
              <w:jc w:val="left"/>
            </w:pPr>
            <w:r>
              <w:rPr>
                <w:rFonts w:ascii="Arial" w:cs="Arial" w:eastAsia="Arial" w:hAnsi="Arial"/>
                <w:sz w:val="20"/>
                <w:szCs w:val="20"/>
              </w:rPr>
              <w:t xml:space="preserve">Tipo de investigación</w:t>
            </w:r>
          </w:p>
        </w:tc>
        <w:tc>
          <w:tcPr>
            <w:tcW w:type="dxa" w:w="647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Cuantitativa, aplicada, de nivel explicativo, con diseño preexperimental de preprueba y posprueba</w:t>
            </w:r>
          </w:p>
        </w:tc>
      </w:tr>
    </w:tbl>
    <w:p>
      <w:pPr>
        <w:spacing w:after="120"/>
      </w:pPr>
    </w:p>
    <w:p>
      <w:pPr>
        <w:keepNext/>
        <w:spacing w:after="120" w:before="240" w:line="360"/>
      </w:pPr>
      <w:r>
        <w:rPr>
          <w:rFonts w:ascii="Arial" w:cs="Arial" w:eastAsia="Arial" w:hAnsi="Arial"/>
          <w:b/>
          <w:bCs/>
          <w:sz w:val="24"/>
          <w:szCs w:val="24"/>
        </w:rPr>
        <w:t xml:space="preserve">3.2. Objetivos de la investigación</w:t>
      </w:r>
    </w:p>
    <w:p>
      <w:pPr>
        <w:spacing w:after="0" w:before="0" w:line="360"/>
        <w:ind w:firstLine="709"/>
        <w:jc w:val="both"/>
      </w:pPr>
      <w:r>
        <w:rPr>
          <w:rFonts w:ascii="Arial" w:cs="Arial" w:eastAsia="Arial" w:hAnsi="Arial"/>
          <w:sz w:val="24"/>
          <w:szCs w:val="24"/>
        </w:rPr>
        <w:t xml:space="preserve">El análisis previo del problema y de las preguntas de investigación evidenció que el estudio buscó medir un efecto, por lo que los objetivos se orientaron a la determinación de cambios cuantificables en indicadores objetivos y perceptivos, obtenidos antes y después de la implementación del agente de respuesta.</w:t>
      </w:r>
    </w:p>
    <w:p>
      <w:pPr>
        <w:keepNext/>
        <w:spacing w:after="120" w:before="120" w:line="360"/>
      </w:pPr>
      <w:r>
        <w:rPr>
          <w:rFonts w:ascii="Arial" w:cs="Arial" w:eastAsia="Arial" w:hAnsi="Arial"/>
          <w:b/>
          <w:bCs/>
          <w:sz w:val="24"/>
          <w:szCs w:val="24"/>
        </w:rPr>
        <w:t xml:space="preserve">3.2.1. Objetivo general</w:t>
      </w:r>
    </w:p>
    <w:p>
      <w:pPr>
        <w:spacing w:after="120" w:before="0" w:line="360"/>
        <w:ind w:left="709" w:right="709"/>
        <w:jc w:val="both"/>
      </w:pPr>
      <w:r>
        <w:rPr>
          <w:rFonts w:ascii="Arial" w:cs="Arial" w:eastAsia="Arial" w:hAnsi="Arial"/>
          <w:sz w:val="24"/>
          <w:szCs w:val="24"/>
        </w:rPr>
        <w:t xml:space="preserve">Determinar el efecto de la implementación de un agente de respuesta basado en inteligencia artificial, integrado al sistema de gestión de relaciones con clientes, sobre la atención al cliente y las ventas en una empresa comercial de Piura durante 2026.</w:t>
      </w:r>
    </w:p>
    <w:p>
      <w:pPr>
        <w:keepNext/>
        <w:spacing w:after="120" w:before="120" w:line="360"/>
      </w:pPr>
      <w:r>
        <w:rPr>
          <w:rFonts w:ascii="Arial" w:cs="Arial" w:eastAsia="Arial" w:hAnsi="Arial"/>
          <w:b/>
          <w:bCs/>
          <w:sz w:val="24"/>
          <w:szCs w:val="24"/>
        </w:rPr>
        <w:t xml:space="preserve">3.2.2. Objetivos específicos</w:t>
      </w:r>
    </w:p>
    <w:p>
      <w:pPr>
        <w:spacing w:after="80" w:before="0" w:line="360"/>
        <w:ind w:left="709" w:hanging="709"/>
        <w:jc w:val="both"/>
      </w:pPr>
      <w:r>
        <w:rPr>
          <w:rFonts w:ascii="Arial" w:cs="Arial" w:eastAsia="Arial" w:hAnsi="Arial"/>
          <w:b/>
          <w:bCs/>
          <w:sz w:val="24"/>
          <w:szCs w:val="24"/>
        </w:rPr>
        <w:t xml:space="preserve">OE1:</w:t>
      </w:r>
      <w:r>
        <w:rPr>
          <w:rFonts w:ascii="Arial" w:cs="Arial" w:eastAsia="Arial" w:hAnsi="Arial"/>
          <w:sz w:val="24"/>
          <w:szCs w:val="24"/>
        </w:rPr>
        <w:t xml:space="preserve"> Determinar el efecto de la implementación del agente de respuesta sobre el tiempo promedio de primera respuesta al cliente, mediante la comparación de los registros del sistema antes y después de la implementación.</w:t>
      </w:r>
    </w:p>
    <w:p>
      <w:pPr>
        <w:spacing w:after="80" w:before="0" w:line="360"/>
        <w:ind w:left="709" w:hanging="709"/>
        <w:jc w:val="both"/>
      </w:pPr>
      <w:r>
        <w:rPr>
          <w:rFonts w:ascii="Arial" w:cs="Arial" w:eastAsia="Arial" w:hAnsi="Arial"/>
          <w:b/>
          <w:bCs/>
          <w:sz w:val="24"/>
          <w:szCs w:val="24"/>
        </w:rPr>
        <w:t xml:space="preserve">OE2:</w:t>
      </w:r>
      <w:r>
        <w:rPr>
          <w:rFonts w:ascii="Arial" w:cs="Arial" w:eastAsia="Arial" w:hAnsi="Arial"/>
          <w:sz w:val="24"/>
          <w:szCs w:val="24"/>
        </w:rPr>
        <w:t xml:space="preserve"> Determinar el efecto de la implementación del agente de respuesta sobre el nivel de satisfacción del cliente, medido mediante un cuestionario validado aplicado antes y después de la implementación.</w:t>
      </w:r>
    </w:p>
    <w:p>
      <w:pPr>
        <w:spacing w:after="80" w:before="0" w:line="360"/>
        <w:ind w:left="709" w:hanging="709"/>
        <w:jc w:val="both"/>
      </w:pPr>
      <w:r>
        <w:rPr>
          <w:rFonts w:ascii="Arial" w:cs="Arial" w:eastAsia="Arial" w:hAnsi="Arial"/>
          <w:b/>
          <w:bCs/>
          <w:sz w:val="24"/>
          <w:szCs w:val="24"/>
        </w:rPr>
        <w:t xml:space="preserve">OE3:</w:t>
      </w:r>
      <w:r>
        <w:rPr>
          <w:rFonts w:ascii="Arial" w:cs="Arial" w:eastAsia="Arial" w:hAnsi="Arial"/>
          <w:sz w:val="24"/>
          <w:szCs w:val="24"/>
        </w:rPr>
        <w:t xml:space="preserve"> Determinar el efecto de la implementación del agente de respuesta sobre la tasa de conversión comercial de las interacciones registradas en el sistema.</w:t>
      </w:r>
    </w:p>
    <w:p>
      <w:pPr>
        <w:spacing w:after="80" w:before="0" w:line="360"/>
        <w:ind w:left="709" w:hanging="709"/>
        <w:jc w:val="both"/>
      </w:pPr>
      <w:r>
        <w:rPr>
          <w:rFonts w:ascii="Arial" w:cs="Arial" w:eastAsia="Arial" w:hAnsi="Arial"/>
          <w:b/>
          <w:bCs/>
          <w:sz w:val="24"/>
          <w:szCs w:val="24"/>
        </w:rPr>
        <w:t xml:space="preserve">OE4:</w:t>
      </w:r>
      <w:r>
        <w:rPr>
          <w:rFonts w:ascii="Arial" w:cs="Arial" w:eastAsia="Arial" w:hAnsi="Arial"/>
          <w:sz w:val="24"/>
          <w:szCs w:val="24"/>
        </w:rPr>
        <w:t xml:space="preserve"> Determinar el efecto de la implementación del agente de respuesta sobre la eficiencia operativa del proceso de atención, expresada en la proporción de consultas resueltas sin intervención humana y en los casos atendidos por hora.</w:t>
      </w:r>
    </w:p>
    <w:p>
      <w:pPr>
        <w:keepNext/>
        <w:spacing w:after="120" w:before="120" w:line="360"/>
      </w:pPr>
      <w:r>
        <w:rPr>
          <w:rFonts w:ascii="Arial" w:cs="Arial" w:eastAsia="Arial" w:hAnsi="Arial"/>
          <w:b/>
          <w:bCs/>
          <w:sz w:val="24"/>
          <w:szCs w:val="24"/>
        </w:rPr>
        <w:t xml:space="preserve">3.2.3. Matriz de consistencia preliminar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370"/>
        <w:gridCol w:w="2300"/>
      </w:tblGrid>
      <w:tr>
        <w:trPr>
          <w:cantSplit/>
          <w:tblHeader/>
        </w:trPr>
        <w:tc>
          <w:tcPr>
            <w:tcW w:type="dxa" w:w="2000"/>
            <w:tcBorders>
              <w:top w:val="single" w:color="595959" w:sz="6"/>
              <w:left w:val="single" w:color="595959" w:sz="6"/>
              <w:bottom w:val="single" w:color="595959" w:sz="6"/>
              <w:right w:val="single" w:color="595959" w:sz="6"/>
            </w:tcBorders>
            <w:shd w:fill="D9D9D9" w:color="auto" w:val="clear"/>
            <w:tcMar>
              <w:top w:type="dxa" w:w="60"/>
              <w:left w:type="dxa" w:w="90"/>
              <w:bottom w:type="dxa" w:w="60"/>
              <w:right w:type="dxa" w:w="90"/>
            </w:tcMar>
            <w:vAlign w:val="center"/>
          </w:tcPr>
          <w:p>
            <w:pPr>
              <w:jc w:val="center"/>
            </w:pPr>
            <w:r>
              <w:rPr>
                <w:rFonts w:ascii="Arial" w:cs="Arial" w:eastAsia="Arial" w:hAnsi="Arial"/>
                <w:b/>
                <w:bCs/>
                <w:sz w:val="20"/>
                <w:szCs w:val="20"/>
              </w:rPr>
              <w:t xml:space="preserve">Pregunta</w:t>
            </w:r>
          </w:p>
        </w:tc>
        <w:tc>
          <w:tcPr>
            <w:tcW w:type="dxa" w:w="2400"/>
            <w:tcBorders>
              <w:top w:val="single" w:color="595959" w:sz="6"/>
              <w:left w:val="single" w:color="595959" w:sz="6"/>
              <w:bottom w:val="single" w:color="595959" w:sz="6"/>
              <w:right w:val="single" w:color="595959" w:sz="6"/>
            </w:tcBorders>
            <w:shd w:fill="D9D9D9" w:color="auto" w:val="clear"/>
            <w:tcMar>
              <w:top w:type="dxa" w:w="60"/>
              <w:left w:type="dxa" w:w="90"/>
              <w:bottom w:type="dxa" w:w="60"/>
              <w:right w:type="dxa" w:w="90"/>
            </w:tcMar>
            <w:vAlign w:val="center"/>
          </w:tcPr>
          <w:p>
            <w:pPr>
              <w:jc w:val="center"/>
            </w:pPr>
            <w:r>
              <w:rPr>
                <w:rFonts w:ascii="Arial" w:cs="Arial" w:eastAsia="Arial" w:hAnsi="Arial"/>
                <w:b/>
                <w:bCs/>
                <w:sz w:val="20"/>
                <w:szCs w:val="20"/>
              </w:rPr>
              <w:t xml:space="preserve">Objetivo</w:t>
            </w:r>
          </w:p>
        </w:tc>
        <w:tc>
          <w:tcPr>
            <w:tcW w:type="dxa" w:w="2370"/>
            <w:tcBorders>
              <w:top w:val="single" w:color="595959" w:sz="6"/>
              <w:left w:val="single" w:color="595959" w:sz="6"/>
              <w:bottom w:val="single" w:color="595959" w:sz="6"/>
              <w:right w:val="single" w:color="595959" w:sz="6"/>
            </w:tcBorders>
            <w:shd w:fill="D9D9D9" w:color="auto" w:val="clear"/>
            <w:tcMar>
              <w:top w:type="dxa" w:w="60"/>
              <w:left w:type="dxa" w:w="90"/>
              <w:bottom w:type="dxa" w:w="60"/>
              <w:right w:type="dxa" w:w="90"/>
            </w:tcMar>
            <w:vAlign w:val="center"/>
          </w:tcPr>
          <w:p>
            <w:pPr>
              <w:jc w:val="center"/>
            </w:pPr>
            <w:r>
              <w:rPr>
                <w:rFonts w:ascii="Arial" w:cs="Arial" w:eastAsia="Arial" w:hAnsi="Arial"/>
                <w:b/>
                <w:bCs/>
                <w:sz w:val="20"/>
                <w:szCs w:val="20"/>
              </w:rPr>
              <w:t xml:space="preserve">Variable / dimensión</w:t>
            </w:r>
          </w:p>
        </w:tc>
        <w:tc>
          <w:tcPr>
            <w:tcW w:type="dxa" w:w="2300"/>
            <w:tcBorders>
              <w:top w:val="single" w:color="595959" w:sz="6"/>
              <w:left w:val="single" w:color="595959" w:sz="6"/>
              <w:bottom w:val="single" w:color="595959" w:sz="6"/>
              <w:right w:val="single" w:color="595959" w:sz="6"/>
            </w:tcBorders>
            <w:shd w:fill="D9D9D9" w:color="auto" w:val="clear"/>
            <w:tcMar>
              <w:top w:type="dxa" w:w="60"/>
              <w:left w:type="dxa" w:w="90"/>
              <w:bottom w:type="dxa" w:w="60"/>
              <w:right w:type="dxa" w:w="90"/>
            </w:tcMar>
            <w:vAlign w:val="center"/>
          </w:tcPr>
          <w:p>
            <w:pPr>
              <w:jc w:val="center"/>
            </w:pPr>
            <w:r>
              <w:rPr>
                <w:rFonts w:ascii="Arial" w:cs="Arial" w:eastAsia="Arial" w:hAnsi="Arial"/>
                <w:b/>
                <w:bCs/>
                <w:sz w:val="20"/>
                <w:szCs w:val="20"/>
              </w:rPr>
              <w:t xml:space="preserve">Resultado esperado</w:t>
            </w:r>
          </w:p>
        </w:tc>
      </w:tr>
      <w:tr>
        <w:trPr>
          <w:cantSplit/>
          <w:tblHeader w:val="off"/>
        </w:trPr>
        <w:tc>
          <w:tcPr>
            <w:tcW w:type="dxa" w:w="20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PG: ¿Cuál es el efecto de la implementación del agente de respuesta sobre la atención al cliente y las ventas?</w:t>
            </w:r>
          </w:p>
        </w:tc>
        <w:tc>
          <w:tcPr>
            <w:tcW w:type="dxa" w:w="24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OG: Determinar el efecto de la implementación sobre la atención al cliente y las ventas</w:t>
            </w:r>
          </w:p>
        </w:tc>
        <w:tc>
          <w:tcPr>
            <w:tcW w:type="dxa" w:w="237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VI: Implementación del agente de respuesta. VD: Atención al cliente y ventas</w:t>
            </w:r>
          </w:p>
        </w:tc>
        <w:tc>
          <w:tcPr>
            <w:tcW w:type="dxa" w:w="23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Diferencia estadísticamente significativa entre la preprueba y la posprueba en el conjunto de indicadores de la variable dependiente</w:t>
            </w:r>
          </w:p>
        </w:tc>
      </w:tr>
      <w:tr>
        <w:trPr>
          <w:cantSplit/>
          <w:tblHeader w:val="off"/>
        </w:trPr>
        <w:tc>
          <w:tcPr>
            <w:tcW w:type="dxa" w:w="20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PE1: ¿Cuál es el efecto sobre el tiempo de respuesta al cliente?</w:t>
            </w:r>
          </w:p>
        </w:tc>
        <w:tc>
          <w:tcPr>
            <w:tcW w:type="dxa" w:w="24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OE1: Determinar el efecto sobre el tiempo promedio de primera respuesta</w:t>
            </w:r>
          </w:p>
        </w:tc>
        <w:tc>
          <w:tcPr>
            <w:tcW w:type="dxa" w:w="237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VD / D1: Tiempo de respuesta</w:t>
            </w:r>
          </w:p>
        </w:tc>
        <w:tc>
          <w:tcPr>
            <w:tcW w:type="dxa" w:w="23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Reducción del tiempo promedio de primera respuesta en la posprueba</w:t>
            </w:r>
          </w:p>
        </w:tc>
      </w:tr>
      <w:tr>
        <w:trPr>
          <w:cantSplit/>
          <w:tblHeader w:val="off"/>
        </w:trPr>
        <w:tc>
          <w:tcPr>
            <w:tcW w:type="dxa" w:w="20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PE2: ¿Cuál es el efecto sobre el nivel de satisfacción del cliente?</w:t>
            </w:r>
          </w:p>
        </w:tc>
        <w:tc>
          <w:tcPr>
            <w:tcW w:type="dxa" w:w="24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OE2: Determinar el efecto sobre el nivel de satisfacción del cliente</w:t>
            </w:r>
          </w:p>
        </w:tc>
        <w:tc>
          <w:tcPr>
            <w:tcW w:type="dxa" w:w="237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VD / D2: Satisfacción del cliente</w:t>
            </w:r>
          </w:p>
        </w:tc>
        <w:tc>
          <w:tcPr>
            <w:tcW w:type="dxa" w:w="23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Incremento del índice de satisfacción en la posprueba</w:t>
            </w:r>
          </w:p>
        </w:tc>
      </w:tr>
      <w:tr>
        <w:trPr>
          <w:cantSplit/>
          <w:tblHeader w:val="off"/>
        </w:trPr>
        <w:tc>
          <w:tcPr>
            <w:tcW w:type="dxa" w:w="20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PE3: ¿Cuál es el efecto sobre la tasa de conversión comercial?</w:t>
            </w:r>
          </w:p>
        </w:tc>
        <w:tc>
          <w:tcPr>
            <w:tcW w:type="dxa" w:w="24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OE3: Determinar el efecto sobre la tasa de conversión comercial</w:t>
            </w:r>
          </w:p>
        </w:tc>
        <w:tc>
          <w:tcPr>
            <w:tcW w:type="dxa" w:w="237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VD / D3: Conversión comercial</w:t>
            </w:r>
          </w:p>
        </w:tc>
        <w:tc>
          <w:tcPr>
            <w:tcW w:type="dxa" w:w="23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Incremento de la proporción de interacciones que culminan en venta</w:t>
            </w:r>
          </w:p>
        </w:tc>
      </w:tr>
      <w:tr>
        <w:trPr>
          <w:cantSplit/>
          <w:tblHeader w:val="off"/>
        </w:trPr>
        <w:tc>
          <w:tcPr>
            <w:tcW w:type="dxa" w:w="20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PE4: ¿Cuál es el efecto sobre la eficiencia operativa?</w:t>
            </w:r>
          </w:p>
        </w:tc>
        <w:tc>
          <w:tcPr>
            <w:tcW w:type="dxa" w:w="24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OE4: Determinar el efecto sobre la eficiencia operativa del proceso de atención</w:t>
            </w:r>
          </w:p>
        </w:tc>
        <w:tc>
          <w:tcPr>
            <w:tcW w:type="dxa" w:w="237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VD / D4: Eficiencia operativa</w:t>
            </w:r>
          </w:p>
        </w:tc>
        <w:tc>
          <w:tcPr>
            <w:tcW w:type="dxa" w:w="23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Incremento de la proporción de consultas resueltas sin intervención humana y de los casos atendidos por hora</w:t>
            </w:r>
          </w:p>
        </w:tc>
      </w:tr>
    </w:tbl>
    <w:p>
      <w:pPr>
        <w:spacing w:after="120"/>
      </w:pPr>
    </w:p>
    <w:p>
      <w:pPr>
        <w:keepNext/>
        <w:spacing w:after="120" w:before="120" w:line="360"/>
      </w:pPr>
      <w:r>
        <w:rPr>
          <w:rFonts w:ascii="Arial" w:cs="Arial" w:eastAsia="Arial" w:hAnsi="Arial"/>
          <w:b/>
          <w:bCs/>
          <w:sz w:val="24"/>
          <w:szCs w:val="24"/>
        </w:rPr>
        <w:t xml:space="preserve">3.2.4. Validación metodológica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cantSplit/>
          <w:tblHeader/>
        </w:trPr>
        <w:tc>
          <w:tcPr>
            <w:tcW w:type="dxa" w:w="4535"/>
            <w:tcBorders>
              <w:top w:val="single" w:color="595959" w:sz="6"/>
              <w:left w:val="single" w:color="595959" w:sz="6"/>
              <w:bottom w:val="single" w:color="595959" w:sz="6"/>
              <w:right w:val="single" w:color="595959" w:sz="6"/>
            </w:tcBorders>
            <w:shd w:fill="D9D9D9" w:color="auto" w:val="clear"/>
            <w:tcMar>
              <w:top w:type="dxa" w:w="60"/>
              <w:left w:type="dxa" w:w="90"/>
              <w:bottom w:type="dxa" w:w="60"/>
              <w:right w:type="dxa" w:w="90"/>
            </w:tcMar>
            <w:vAlign w:val="center"/>
          </w:tcPr>
          <w:p>
            <w:pPr>
              <w:jc w:val="center"/>
            </w:pPr>
            <w:r>
              <w:rPr>
                <w:rFonts w:ascii="Arial" w:cs="Arial" w:eastAsia="Arial" w:hAnsi="Arial"/>
                <w:b/>
                <w:bCs/>
                <w:sz w:val="20"/>
                <w:szCs w:val="20"/>
              </w:rPr>
              <w:t xml:space="preserve">Criterio</w:t>
            </w:r>
          </w:p>
        </w:tc>
        <w:tc>
          <w:tcPr>
            <w:tcW w:type="dxa" w:w="4535"/>
            <w:tcBorders>
              <w:top w:val="single" w:color="595959" w:sz="6"/>
              <w:left w:val="single" w:color="595959" w:sz="6"/>
              <w:bottom w:val="single" w:color="595959" w:sz="6"/>
              <w:right w:val="single" w:color="595959" w:sz="6"/>
            </w:tcBorders>
            <w:shd w:fill="D9D9D9" w:color="auto" w:val="clear"/>
            <w:tcMar>
              <w:top w:type="dxa" w:w="60"/>
              <w:left w:type="dxa" w:w="90"/>
              <w:bottom w:type="dxa" w:w="60"/>
              <w:right w:type="dxa" w:w="90"/>
            </w:tcMar>
            <w:vAlign w:val="center"/>
          </w:tcPr>
          <w:p>
            <w:pPr>
              <w:jc w:val="center"/>
            </w:pPr>
            <w:r>
              <w:rPr>
                <w:rFonts w:ascii="Arial" w:cs="Arial" w:eastAsia="Arial" w:hAnsi="Arial"/>
                <w:b/>
                <w:bCs/>
                <w:sz w:val="20"/>
                <w:szCs w:val="20"/>
              </w:rPr>
              <w:t xml:space="preserve">Resultado</w:t>
            </w:r>
          </w:p>
        </w:tc>
      </w:tr>
      <w:tr>
        <w:trPr>
          <w:cantSplit/>
          <w:tblHeader w:val="off"/>
        </w:trPr>
        <w:tc>
          <w:tcPr>
            <w:tcW w:type="dxa" w:w="4535"/>
            <w:tcBorders>
              <w:top w:val="single" w:color="595959" w:sz="6"/>
              <w:left w:val="single" w:color="595959" w:sz="6"/>
              <w:bottom w:val="single" w:color="595959" w:sz="6"/>
              <w:right w:val="single" w:color="595959" w:sz="6"/>
            </w:tcBorders>
            <w:shd w:fill="F2F2F2" w:color="auto" w:val="clear"/>
            <w:tcMar>
              <w:top w:type="dxa" w:w="60"/>
              <w:left w:type="dxa" w:w="90"/>
              <w:bottom w:type="dxa" w:w="60"/>
              <w:right w:type="dxa" w:w="90"/>
            </w:tcMar>
            <w:vAlign w:val="center"/>
          </w:tcPr>
          <w:p>
            <w:pPr>
              <w:jc w:val="left"/>
            </w:pPr>
            <w:r>
              <w:rPr>
                <w:rFonts w:ascii="Arial" w:cs="Arial" w:eastAsia="Arial" w:hAnsi="Arial"/>
                <w:sz w:val="20"/>
                <w:szCs w:val="20"/>
              </w:rPr>
              <w:t xml:space="preserve">Coherencia con el problema</w:t>
            </w:r>
          </w:p>
        </w:tc>
        <w:tc>
          <w:tcPr>
            <w:tcW w:type="dxa" w:w="4535"/>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Sí. El objetivo general responde directamente a la pregunta general y conserva sus variables, unidad de análisis, lugar y tiempo.</w:t>
            </w:r>
          </w:p>
        </w:tc>
      </w:tr>
      <w:tr>
        <w:trPr>
          <w:cantSplit/>
          <w:tblHeader w:val="off"/>
        </w:trPr>
        <w:tc>
          <w:tcPr>
            <w:tcW w:type="dxa" w:w="4535"/>
            <w:tcBorders>
              <w:top w:val="single" w:color="595959" w:sz="6"/>
              <w:left w:val="single" w:color="595959" w:sz="6"/>
              <w:bottom w:val="single" w:color="595959" w:sz="6"/>
              <w:right w:val="single" w:color="595959" w:sz="6"/>
            </w:tcBorders>
            <w:shd w:fill="F2F2F2" w:color="auto" w:val="clear"/>
            <w:tcMar>
              <w:top w:type="dxa" w:w="60"/>
              <w:left w:type="dxa" w:w="90"/>
              <w:bottom w:type="dxa" w:w="60"/>
              <w:right w:type="dxa" w:w="90"/>
            </w:tcMar>
            <w:vAlign w:val="center"/>
          </w:tcPr>
          <w:p>
            <w:pPr>
              <w:jc w:val="left"/>
            </w:pPr>
            <w:r>
              <w:rPr>
                <w:rFonts w:ascii="Arial" w:cs="Arial" w:eastAsia="Arial" w:hAnsi="Arial"/>
                <w:sz w:val="20"/>
                <w:szCs w:val="20"/>
              </w:rPr>
              <w:t xml:space="preserve">Coherencia con las preguntas</w:t>
            </w:r>
          </w:p>
        </w:tc>
        <w:tc>
          <w:tcPr>
            <w:tcW w:type="dxa" w:w="4535"/>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Sí. Cada objetivo específico responde únicamente a una pregunta específica (PE1–OE1, PE2–OE2, PE3–OE3, PE4–OE4).</w:t>
            </w:r>
          </w:p>
        </w:tc>
      </w:tr>
      <w:tr>
        <w:trPr>
          <w:cantSplit/>
          <w:tblHeader w:val="off"/>
        </w:trPr>
        <w:tc>
          <w:tcPr>
            <w:tcW w:type="dxa" w:w="4535"/>
            <w:tcBorders>
              <w:top w:val="single" w:color="595959" w:sz="6"/>
              <w:left w:val="single" w:color="595959" w:sz="6"/>
              <w:bottom w:val="single" w:color="595959" w:sz="6"/>
              <w:right w:val="single" w:color="595959" w:sz="6"/>
            </w:tcBorders>
            <w:shd w:fill="F2F2F2" w:color="auto" w:val="clear"/>
            <w:tcMar>
              <w:top w:type="dxa" w:w="60"/>
              <w:left w:type="dxa" w:w="90"/>
              <w:bottom w:type="dxa" w:w="60"/>
              <w:right w:type="dxa" w:w="90"/>
            </w:tcMar>
            <w:vAlign w:val="center"/>
          </w:tcPr>
          <w:p>
            <w:pPr>
              <w:jc w:val="left"/>
            </w:pPr>
            <w:r>
              <w:rPr>
                <w:rFonts w:ascii="Arial" w:cs="Arial" w:eastAsia="Arial" w:hAnsi="Arial"/>
                <w:sz w:val="20"/>
                <w:szCs w:val="20"/>
              </w:rPr>
              <w:t xml:space="preserve">Coherencia con las variables</w:t>
            </w:r>
          </w:p>
        </w:tc>
        <w:tc>
          <w:tcPr>
            <w:tcW w:type="dxa" w:w="4535"/>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Sí. Cada objetivo específico corresponde a una dimensión de la variable dependiente y todos comparten la misma variable independiente.</w:t>
            </w:r>
          </w:p>
        </w:tc>
      </w:tr>
      <w:tr>
        <w:trPr>
          <w:cantSplit/>
          <w:tblHeader w:val="off"/>
        </w:trPr>
        <w:tc>
          <w:tcPr>
            <w:tcW w:type="dxa" w:w="4535"/>
            <w:tcBorders>
              <w:top w:val="single" w:color="595959" w:sz="6"/>
              <w:left w:val="single" w:color="595959" w:sz="6"/>
              <w:bottom w:val="single" w:color="595959" w:sz="6"/>
              <w:right w:val="single" w:color="595959" w:sz="6"/>
            </w:tcBorders>
            <w:shd w:fill="F2F2F2" w:color="auto" w:val="clear"/>
            <w:tcMar>
              <w:top w:type="dxa" w:w="60"/>
              <w:left w:type="dxa" w:w="90"/>
              <w:bottom w:type="dxa" w:w="60"/>
              <w:right w:type="dxa" w:w="90"/>
            </w:tcMar>
            <w:vAlign w:val="center"/>
          </w:tcPr>
          <w:p>
            <w:pPr>
              <w:jc w:val="left"/>
            </w:pPr>
            <w:r>
              <w:rPr>
                <w:rFonts w:ascii="Arial" w:cs="Arial" w:eastAsia="Arial" w:hAnsi="Arial"/>
                <w:sz w:val="20"/>
                <w:szCs w:val="20"/>
              </w:rPr>
              <w:t xml:space="preserve">Nivel de precisión metodológica</w:t>
            </w:r>
          </w:p>
        </w:tc>
        <w:tc>
          <w:tcPr>
            <w:tcW w:type="dxa" w:w="4535"/>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Alto. Todos los objetivos emplean el verbo «determinar», coherente con un estudio cuantitativo explicativo, y se vinculan a indicadores medibles y a una fuente de datos definida.</w:t>
            </w:r>
          </w:p>
        </w:tc>
      </w:tr>
    </w:tbl>
    <w:p>
      <w:pPr>
        <w:spacing w:after="120"/>
      </w:pPr>
    </w:p>
    <w:p>
      <w:pPr>
        <w:spacing w:after="0" w:before="0" w:line="360"/>
        <w:ind w:firstLine="709"/>
        <w:jc w:val="both"/>
      </w:pPr>
      <w:r>
        <w:rPr>
          <w:rFonts w:ascii="Arial" w:cs="Arial" w:eastAsia="Arial" w:hAnsi="Arial"/>
          <w:sz w:val="24"/>
          <w:szCs w:val="24"/>
        </w:rPr>
        <w:t xml:space="preserve">En la revisión final no se identificaron objetivos redundantes ni imposibles de medir. Se evitó la formulación de un quinto objetivo, porque la medición de la calidad de la respuesta del agente se incorporó como dimensión de la variable independiente y no como un efecto independiente, lo que habría generado redundancia con el objetivo general.</w:t>
      </w:r>
    </w:p>
    <w:p>
      <w:pPr>
        <w:keepNext/>
        <w:spacing w:after="120" w:before="240" w:line="360"/>
      </w:pPr>
      <w:r>
        <w:rPr>
          <w:rFonts w:ascii="Arial" w:cs="Arial" w:eastAsia="Arial" w:hAnsi="Arial"/>
          <w:b/>
          <w:bCs/>
          <w:sz w:val="24"/>
          <w:szCs w:val="24"/>
        </w:rPr>
        <w:t xml:space="preserve">3.3. Preguntas de investigación</w:t>
      </w:r>
    </w:p>
    <w:p>
      <w:pPr>
        <w:spacing w:after="0" w:before="0" w:line="360"/>
        <w:ind w:firstLine="709"/>
        <w:jc w:val="both"/>
      </w:pPr>
      <w:r>
        <w:rPr>
          <w:rFonts w:ascii="Arial" w:cs="Arial" w:eastAsia="Arial" w:hAnsi="Arial"/>
          <w:sz w:val="24"/>
          <w:szCs w:val="24"/>
        </w:rPr>
        <w:t xml:space="preserve">A partir de los objetivos específicos, se formularon cinco preguntas complementarias que orientaron el análisis de los datos y su relación con cada objetivo.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500"/>
        <w:gridCol w:w="4870"/>
        <w:gridCol w:w="2700"/>
      </w:tblGrid>
      <w:tr>
        <w:trPr>
          <w:cantSplit/>
          <w:tblHeader/>
        </w:trPr>
        <w:tc>
          <w:tcPr>
            <w:tcW w:type="dxa" w:w="1500"/>
            <w:tcBorders>
              <w:top w:val="single" w:color="595959" w:sz="6"/>
              <w:left w:val="single" w:color="595959" w:sz="6"/>
              <w:bottom w:val="single" w:color="595959" w:sz="6"/>
              <w:right w:val="single" w:color="595959" w:sz="6"/>
            </w:tcBorders>
            <w:shd w:fill="D9D9D9" w:color="auto" w:val="clear"/>
            <w:tcMar>
              <w:top w:type="dxa" w:w="60"/>
              <w:left w:type="dxa" w:w="90"/>
              <w:bottom w:type="dxa" w:w="60"/>
              <w:right w:type="dxa" w:w="90"/>
            </w:tcMar>
            <w:vAlign w:val="center"/>
          </w:tcPr>
          <w:p>
            <w:pPr>
              <w:jc w:val="center"/>
            </w:pPr>
            <w:r>
              <w:rPr>
                <w:rFonts w:ascii="Arial" w:cs="Arial" w:eastAsia="Arial" w:hAnsi="Arial"/>
                <w:b/>
                <w:bCs/>
                <w:sz w:val="20"/>
                <w:szCs w:val="20"/>
              </w:rPr>
              <w:t xml:space="preserve">Tipo</w:t>
            </w:r>
          </w:p>
        </w:tc>
        <w:tc>
          <w:tcPr>
            <w:tcW w:type="dxa" w:w="4870"/>
            <w:tcBorders>
              <w:top w:val="single" w:color="595959" w:sz="6"/>
              <w:left w:val="single" w:color="595959" w:sz="6"/>
              <w:bottom w:val="single" w:color="595959" w:sz="6"/>
              <w:right w:val="single" w:color="595959" w:sz="6"/>
            </w:tcBorders>
            <w:shd w:fill="D9D9D9" w:color="auto" w:val="clear"/>
            <w:tcMar>
              <w:top w:type="dxa" w:w="60"/>
              <w:left w:type="dxa" w:w="90"/>
              <w:bottom w:type="dxa" w:w="60"/>
              <w:right w:type="dxa" w:w="90"/>
            </w:tcMar>
            <w:vAlign w:val="center"/>
          </w:tcPr>
          <w:p>
            <w:pPr>
              <w:jc w:val="center"/>
            </w:pPr>
            <w:r>
              <w:rPr>
                <w:rFonts w:ascii="Arial" w:cs="Arial" w:eastAsia="Arial" w:hAnsi="Arial"/>
                <w:b/>
                <w:bCs/>
                <w:sz w:val="20"/>
                <w:szCs w:val="20"/>
              </w:rPr>
              <w:t xml:space="preserve">Pregunta</w:t>
            </w:r>
          </w:p>
        </w:tc>
        <w:tc>
          <w:tcPr>
            <w:tcW w:type="dxa" w:w="2700"/>
            <w:tcBorders>
              <w:top w:val="single" w:color="595959" w:sz="6"/>
              <w:left w:val="single" w:color="595959" w:sz="6"/>
              <w:bottom w:val="single" w:color="595959" w:sz="6"/>
              <w:right w:val="single" w:color="595959" w:sz="6"/>
            </w:tcBorders>
            <w:shd w:fill="D9D9D9" w:color="auto" w:val="clear"/>
            <w:tcMar>
              <w:top w:type="dxa" w:w="60"/>
              <w:left w:type="dxa" w:w="90"/>
              <w:bottom w:type="dxa" w:w="60"/>
              <w:right w:type="dxa" w:w="90"/>
            </w:tcMar>
            <w:vAlign w:val="center"/>
          </w:tcPr>
          <w:p>
            <w:pPr>
              <w:jc w:val="center"/>
            </w:pPr>
            <w:r>
              <w:rPr>
                <w:rFonts w:ascii="Arial" w:cs="Arial" w:eastAsia="Arial" w:hAnsi="Arial"/>
                <w:b/>
                <w:bCs/>
                <w:sz w:val="20"/>
                <w:szCs w:val="20"/>
              </w:rPr>
              <w:t xml:space="preserve">Relación con los objetivos específicos</w:t>
            </w:r>
          </w:p>
        </w:tc>
      </w:tr>
      <w:tr>
        <w:trPr>
          <w:cantSplit/>
          <w:tblHeader w:val="off"/>
        </w:trPr>
        <w:tc>
          <w:tcPr>
            <w:tcW w:type="dxa" w:w="15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Descriptiva 1</w:t>
            </w:r>
          </w:p>
        </w:tc>
        <w:tc>
          <w:tcPr>
            <w:tcW w:type="dxa" w:w="487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¿Cuáles fueron el tiempo promedio de primera respuesta y el nivel de satisfacción de los clientes en la atención registrada en el sistema antes y después de la implementación del agente de respuesta?</w:t>
            </w:r>
          </w:p>
        </w:tc>
        <w:tc>
          <w:tcPr>
            <w:tcW w:type="dxa" w:w="27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Proporciona los valores de preprueba y posprueba que se comparan en OE1 y OE2.</w:t>
            </w:r>
          </w:p>
        </w:tc>
      </w:tr>
      <w:tr>
        <w:trPr>
          <w:cantSplit/>
          <w:tblHeader w:val="off"/>
        </w:trPr>
        <w:tc>
          <w:tcPr>
            <w:tcW w:type="dxa" w:w="15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Descriptiva 2</w:t>
            </w:r>
          </w:p>
        </w:tc>
        <w:tc>
          <w:tcPr>
            <w:tcW w:type="dxa" w:w="487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¿Cuáles fueron la tasa de conversión comercial y la proporción de consultas resueltas sin intervención humana antes y después de la implementación del agente de respuesta?</w:t>
            </w:r>
          </w:p>
        </w:tc>
        <w:tc>
          <w:tcPr>
            <w:tcW w:type="dxa" w:w="27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Proporciona los valores de preprueba y posprueba que se comparan en OE3 y OE4.</w:t>
            </w:r>
          </w:p>
        </w:tc>
      </w:tr>
      <w:tr>
        <w:trPr>
          <w:cantSplit/>
          <w:tblHeader w:val="off"/>
        </w:trPr>
        <w:tc>
          <w:tcPr>
            <w:tcW w:type="dxa" w:w="15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Relacional 1</w:t>
            </w:r>
          </w:p>
        </w:tc>
        <w:tc>
          <w:tcPr>
            <w:tcW w:type="dxa" w:w="487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¿Qué relación existe entre la calidad conversacional percibida del agente de respuesta y el nivel de satisfacción del cliente?</w:t>
            </w:r>
          </w:p>
        </w:tc>
        <w:tc>
          <w:tcPr>
            <w:tcW w:type="dxa" w:w="27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Profundiza en OE2, al identificar si la satisfacción se asocia con la calidad de las respuestas [4].</w:t>
            </w:r>
          </w:p>
        </w:tc>
      </w:tr>
      <w:tr>
        <w:trPr>
          <w:cantSplit/>
          <w:tblHeader w:val="off"/>
        </w:trPr>
        <w:tc>
          <w:tcPr>
            <w:tcW w:type="dxa" w:w="15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Relacional 2</w:t>
            </w:r>
          </w:p>
        </w:tc>
        <w:tc>
          <w:tcPr>
            <w:tcW w:type="dxa" w:w="487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¿Qué relación existe entre el tiempo de primera respuesta y la conversión comercial de las interacciones registradas en el sistema?</w:t>
            </w:r>
          </w:p>
        </w:tc>
        <w:tc>
          <w:tcPr>
            <w:tcW w:type="dxa" w:w="27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Vincula OE1 con OE3, al analizar si una respuesta más oportuna se asocia con una mayor probabilidad de venta.</w:t>
            </w:r>
          </w:p>
        </w:tc>
      </w:tr>
      <w:tr>
        <w:trPr>
          <w:cantSplit/>
          <w:tblHeader w:val="off"/>
        </w:trPr>
        <w:tc>
          <w:tcPr>
            <w:tcW w:type="dxa" w:w="15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Explicativa</w:t>
            </w:r>
          </w:p>
        </w:tc>
        <w:tc>
          <w:tcPr>
            <w:tcW w:type="dxa" w:w="487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¿En qué medida la implementación del agente de respuesta explica la variación de la eficiencia operativa del proceso de atención?</w:t>
            </w:r>
          </w:p>
        </w:tc>
        <w:tc>
          <w:tcPr>
            <w:tcW w:type="dxa" w:w="27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Responde a OE4, al atribuir el cambio en la eficiencia a la implementación y no a otros factores controlados.</w:t>
            </w:r>
          </w:p>
        </w:tc>
      </w:tr>
    </w:tbl>
    <w:p>
      <w:pPr>
        <w:spacing w:after="120"/>
      </w:pPr>
    </w:p>
    <w:p>
      <w:pPr>
        <w:keepNext/>
        <w:spacing w:after="120" w:before="240" w:line="360"/>
      </w:pPr>
      <w:r>
        <w:rPr>
          <w:rFonts w:ascii="Arial" w:cs="Arial" w:eastAsia="Arial" w:hAnsi="Arial"/>
          <w:b/>
          <w:bCs/>
          <w:sz w:val="24"/>
          <w:szCs w:val="24"/>
        </w:rPr>
        <w:t xml:space="preserve">3.4. Hipótesis y variables</w:t>
      </w:r>
    </w:p>
    <w:p>
      <w:pPr>
        <w:keepNext/>
        <w:spacing w:after="120" w:before="120" w:line="360"/>
      </w:pPr>
      <w:r>
        <w:rPr>
          <w:rFonts w:ascii="Arial" w:cs="Arial" w:eastAsia="Arial" w:hAnsi="Arial"/>
          <w:b/>
          <w:bCs/>
          <w:sz w:val="24"/>
          <w:szCs w:val="24"/>
        </w:rPr>
        <w:t xml:space="preserve">3.4.1. Hipótesis general</w:t>
      </w:r>
    </w:p>
    <w:p>
      <w:pPr>
        <w:spacing w:after="120" w:before="0" w:line="360"/>
        <w:ind w:left="709" w:right="709"/>
        <w:jc w:val="both"/>
      </w:pPr>
      <w:r>
        <w:rPr>
          <w:rFonts w:ascii="Arial" w:cs="Arial" w:eastAsia="Arial" w:hAnsi="Arial"/>
          <w:sz w:val="24"/>
          <w:szCs w:val="24"/>
        </w:rPr>
        <w:t xml:space="preserve">La implementación de un agente de respuesta basado en inteligencia artificial, integrado al sistema de gestión de relaciones con clientes, tiene un efecto significativo y positivo sobre la atención al cliente y las ventas en una empresa comercial de Piura durante 2026.</w:t>
      </w:r>
    </w:p>
    <w:p>
      <w:pPr>
        <w:spacing w:after="80" w:before="0" w:line="360"/>
        <w:jc w:val="both"/>
      </w:pPr>
      <w:r>
        <w:rPr>
          <w:rFonts w:ascii="Arial" w:cs="Arial" w:eastAsia="Arial" w:hAnsi="Arial"/>
          <w:b/>
          <w:bCs/>
          <w:sz w:val="24"/>
          <w:szCs w:val="24"/>
        </w:rPr>
        <w:t xml:space="preserve">Hipótesis estadísticas:</w:t>
      </w:r>
      <w:r>
        <w:rPr>
          <w:rFonts w:ascii="Arial" w:cs="Arial" w:eastAsia="Arial" w:hAnsi="Arial"/>
          <w:sz w:val="24"/>
          <w:szCs w:val="24"/>
        </w:rPr>
        <w:t xml:space="preserve"> H0: no existe diferencia significativa entre los indicadores de atención al cliente y ventas medidos antes y después de la implementación. H1: existe diferencia significativa entre los indicadores de atención al cliente y ventas medidos antes y después de la implementación.</w:t>
      </w:r>
    </w:p>
    <w:p>
      <w:pPr>
        <w:keepNext/>
        <w:spacing w:after="120" w:before="120" w:line="360"/>
      </w:pPr>
      <w:r>
        <w:rPr>
          <w:rFonts w:ascii="Arial" w:cs="Arial" w:eastAsia="Arial" w:hAnsi="Arial"/>
          <w:b/>
          <w:bCs/>
          <w:sz w:val="24"/>
          <w:szCs w:val="24"/>
        </w:rPr>
        <w:t xml:space="preserve">3.4.2. Hipótesis específicas</w:t>
      </w:r>
    </w:p>
    <w:p>
      <w:pPr>
        <w:spacing w:after="80" w:before="0" w:line="360"/>
        <w:ind w:left="709" w:hanging="709"/>
        <w:jc w:val="both"/>
      </w:pPr>
      <w:r>
        <w:rPr>
          <w:rFonts w:ascii="Arial" w:cs="Arial" w:eastAsia="Arial" w:hAnsi="Arial"/>
          <w:b/>
          <w:bCs/>
          <w:sz w:val="24"/>
          <w:szCs w:val="24"/>
        </w:rPr>
        <w:t xml:space="preserve">HE1:</w:t>
      </w:r>
      <w:r>
        <w:rPr>
          <w:rFonts w:ascii="Arial" w:cs="Arial" w:eastAsia="Arial" w:hAnsi="Arial"/>
          <w:sz w:val="24"/>
          <w:szCs w:val="24"/>
        </w:rPr>
        <w:t xml:space="preserve"> La implementación del agente de respuesta reduce significativamente el tiempo promedio de primera respuesta al cliente.</w:t>
      </w:r>
    </w:p>
    <w:p>
      <w:pPr>
        <w:spacing w:after="80" w:before="0" w:line="360"/>
        <w:ind w:left="709" w:hanging="709"/>
        <w:jc w:val="both"/>
      </w:pPr>
      <w:r>
        <w:rPr>
          <w:rFonts w:ascii="Arial" w:cs="Arial" w:eastAsia="Arial" w:hAnsi="Arial"/>
          <w:b/>
          <w:bCs/>
          <w:sz w:val="24"/>
          <w:szCs w:val="24"/>
        </w:rPr>
        <w:t xml:space="preserve">HE2:</w:t>
      </w:r>
      <w:r>
        <w:rPr>
          <w:rFonts w:ascii="Arial" w:cs="Arial" w:eastAsia="Arial" w:hAnsi="Arial"/>
          <w:sz w:val="24"/>
          <w:szCs w:val="24"/>
        </w:rPr>
        <w:t xml:space="preserve"> La implementación del agente de respuesta incrementa significativamente el nivel de satisfacción del cliente.</w:t>
      </w:r>
    </w:p>
    <w:p>
      <w:pPr>
        <w:spacing w:after="80" w:before="0" w:line="360"/>
        <w:ind w:left="709" w:hanging="709"/>
        <w:jc w:val="both"/>
      </w:pPr>
      <w:r>
        <w:rPr>
          <w:rFonts w:ascii="Arial" w:cs="Arial" w:eastAsia="Arial" w:hAnsi="Arial"/>
          <w:b/>
          <w:bCs/>
          <w:sz w:val="24"/>
          <w:szCs w:val="24"/>
        </w:rPr>
        <w:t xml:space="preserve">HE3:</w:t>
      </w:r>
      <w:r>
        <w:rPr>
          <w:rFonts w:ascii="Arial" w:cs="Arial" w:eastAsia="Arial" w:hAnsi="Arial"/>
          <w:sz w:val="24"/>
          <w:szCs w:val="24"/>
        </w:rPr>
        <w:t xml:space="preserve"> La implementación del agente de respuesta incrementa significativamente la tasa de conversión comercial.</w:t>
      </w:r>
    </w:p>
    <w:p>
      <w:pPr>
        <w:spacing w:after="80" w:before="0" w:line="360"/>
        <w:ind w:left="709" w:hanging="709"/>
        <w:jc w:val="both"/>
      </w:pPr>
      <w:r>
        <w:rPr>
          <w:rFonts w:ascii="Arial" w:cs="Arial" w:eastAsia="Arial" w:hAnsi="Arial"/>
          <w:b/>
          <w:bCs/>
          <w:sz w:val="24"/>
          <w:szCs w:val="24"/>
        </w:rPr>
        <w:t xml:space="preserve">HE4:</w:t>
      </w:r>
      <w:r>
        <w:rPr>
          <w:rFonts w:ascii="Arial" w:cs="Arial" w:eastAsia="Arial" w:hAnsi="Arial"/>
          <w:sz w:val="24"/>
          <w:szCs w:val="24"/>
        </w:rPr>
        <w:t xml:space="preserve"> La implementación del agente de respuesta incrementa significativamente la eficiencia operativa del proceso de atención.</w:t>
      </w:r>
    </w:p>
    <w:p>
      <w:pPr>
        <w:spacing w:after="0" w:before="0" w:line="360"/>
        <w:ind w:firstLine="709"/>
        <w:jc w:val="both"/>
      </w:pPr>
      <w:r>
        <w:rPr>
          <w:rFonts w:ascii="Arial" w:cs="Arial" w:eastAsia="Arial" w:hAnsi="Arial"/>
          <w:sz w:val="24"/>
          <w:szCs w:val="24"/>
        </w:rPr>
        <w:t xml:space="preserve">Se formularon cuatro hipótesis específicas, y no dos, porque cada objetivo específico requirió una hipótesis contrastable que le correspondiera, condición necesaria para mantener la consistencia de la matriz.</w:t>
      </w:r>
    </w:p>
    <w:p>
      <w:pPr>
        <w:keepNext/>
        <w:spacing w:after="120" w:before="120" w:line="360"/>
      </w:pPr>
      <w:r>
        <w:rPr>
          <w:rFonts w:ascii="Arial" w:cs="Arial" w:eastAsia="Arial" w:hAnsi="Arial"/>
          <w:b/>
          <w:bCs/>
          <w:sz w:val="24"/>
          <w:szCs w:val="24"/>
        </w:rPr>
        <w:t xml:space="preserve">3.4.3. Identificación de variables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400"/>
        <w:gridCol w:w="6670"/>
      </w:tblGrid>
      <w:tr>
        <w:trPr>
          <w:cantSplit/>
          <w:tblHeader/>
        </w:trPr>
        <w:tc>
          <w:tcPr>
            <w:tcW w:type="dxa" w:w="2400"/>
            <w:tcBorders>
              <w:top w:val="single" w:color="595959" w:sz="6"/>
              <w:left w:val="single" w:color="595959" w:sz="6"/>
              <w:bottom w:val="single" w:color="595959" w:sz="6"/>
              <w:right w:val="single" w:color="595959" w:sz="6"/>
            </w:tcBorders>
            <w:shd w:fill="D9D9D9" w:color="auto" w:val="clear"/>
            <w:tcMar>
              <w:top w:type="dxa" w:w="60"/>
              <w:left w:type="dxa" w:w="90"/>
              <w:bottom w:type="dxa" w:w="60"/>
              <w:right w:type="dxa" w:w="90"/>
            </w:tcMar>
            <w:vAlign w:val="center"/>
          </w:tcPr>
          <w:p>
            <w:pPr>
              <w:jc w:val="center"/>
            </w:pPr>
            <w:r>
              <w:rPr>
                <w:rFonts w:ascii="Arial" w:cs="Arial" w:eastAsia="Arial" w:hAnsi="Arial"/>
                <w:b/>
                <w:bCs/>
                <w:sz w:val="20"/>
                <w:szCs w:val="20"/>
              </w:rPr>
              <w:t xml:space="preserve">Tipo de variable</w:t>
            </w:r>
          </w:p>
        </w:tc>
        <w:tc>
          <w:tcPr>
            <w:tcW w:type="dxa" w:w="6670"/>
            <w:tcBorders>
              <w:top w:val="single" w:color="595959" w:sz="6"/>
              <w:left w:val="single" w:color="595959" w:sz="6"/>
              <w:bottom w:val="single" w:color="595959" w:sz="6"/>
              <w:right w:val="single" w:color="595959" w:sz="6"/>
            </w:tcBorders>
            <w:shd w:fill="D9D9D9" w:color="auto" w:val="clear"/>
            <w:tcMar>
              <w:top w:type="dxa" w:w="60"/>
              <w:left w:type="dxa" w:w="90"/>
              <w:bottom w:type="dxa" w:w="60"/>
              <w:right w:type="dxa" w:w="90"/>
            </w:tcMar>
            <w:vAlign w:val="center"/>
          </w:tcPr>
          <w:p>
            <w:pPr>
              <w:jc w:val="center"/>
            </w:pPr>
            <w:r>
              <w:rPr>
                <w:rFonts w:ascii="Arial" w:cs="Arial" w:eastAsia="Arial" w:hAnsi="Arial"/>
                <w:b/>
                <w:bCs/>
                <w:sz w:val="20"/>
                <w:szCs w:val="20"/>
              </w:rPr>
              <w:t xml:space="preserve">Variable</w:t>
            </w:r>
          </w:p>
        </w:tc>
      </w:tr>
      <w:tr>
        <w:trPr>
          <w:cantSplit/>
          <w:tblHeader w:val="off"/>
        </w:trPr>
        <w:tc>
          <w:tcPr>
            <w:tcW w:type="dxa" w:w="2400"/>
            <w:tcBorders>
              <w:top w:val="single" w:color="595959" w:sz="6"/>
              <w:left w:val="single" w:color="595959" w:sz="6"/>
              <w:bottom w:val="single" w:color="595959" w:sz="6"/>
              <w:right w:val="single" w:color="595959" w:sz="6"/>
            </w:tcBorders>
            <w:shd w:fill="F2F2F2" w:color="auto" w:val="clear"/>
            <w:tcMar>
              <w:top w:type="dxa" w:w="60"/>
              <w:left w:type="dxa" w:w="90"/>
              <w:bottom w:type="dxa" w:w="60"/>
              <w:right w:type="dxa" w:w="90"/>
            </w:tcMar>
            <w:vAlign w:val="center"/>
          </w:tcPr>
          <w:p>
            <w:pPr>
              <w:jc w:val="left"/>
            </w:pPr>
            <w:r>
              <w:rPr>
                <w:rFonts w:ascii="Arial" w:cs="Arial" w:eastAsia="Arial" w:hAnsi="Arial"/>
                <w:sz w:val="20"/>
                <w:szCs w:val="20"/>
              </w:rPr>
              <w:t xml:space="preserve">Variable independiente</w:t>
            </w:r>
          </w:p>
        </w:tc>
        <w:tc>
          <w:tcPr>
            <w:tcW w:type="dxa" w:w="667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Implementación de inteligencia artificial como agente de respuesta integrado al sistema de gestión de relaciones con clientes</w:t>
            </w:r>
          </w:p>
        </w:tc>
      </w:tr>
      <w:tr>
        <w:trPr>
          <w:cantSplit/>
          <w:tblHeader w:val="off"/>
        </w:trPr>
        <w:tc>
          <w:tcPr>
            <w:tcW w:type="dxa" w:w="2400"/>
            <w:tcBorders>
              <w:top w:val="single" w:color="595959" w:sz="6"/>
              <w:left w:val="single" w:color="595959" w:sz="6"/>
              <w:bottom w:val="single" w:color="595959" w:sz="6"/>
              <w:right w:val="single" w:color="595959" w:sz="6"/>
            </w:tcBorders>
            <w:shd w:fill="F2F2F2" w:color="auto" w:val="clear"/>
            <w:tcMar>
              <w:top w:type="dxa" w:w="60"/>
              <w:left w:type="dxa" w:w="90"/>
              <w:bottom w:type="dxa" w:w="60"/>
              <w:right w:type="dxa" w:w="90"/>
            </w:tcMar>
            <w:vAlign w:val="center"/>
          </w:tcPr>
          <w:p>
            <w:pPr>
              <w:jc w:val="left"/>
            </w:pPr>
            <w:r>
              <w:rPr>
                <w:rFonts w:ascii="Arial" w:cs="Arial" w:eastAsia="Arial" w:hAnsi="Arial"/>
                <w:sz w:val="20"/>
                <w:szCs w:val="20"/>
              </w:rPr>
              <w:t xml:space="preserve">Variable dependiente</w:t>
            </w:r>
          </w:p>
        </w:tc>
        <w:tc>
          <w:tcPr>
            <w:tcW w:type="dxa" w:w="667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Atención al cliente y ventas</w:t>
            </w:r>
          </w:p>
        </w:tc>
      </w:tr>
      <w:tr>
        <w:trPr>
          <w:cantSplit/>
          <w:tblHeader w:val="off"/>
        </w:trPr>
        <w:tc>
          <w:tcPr>
            <w:tcW w:type="dxa" w:w="2400"/>
            <w:tcBorders>
              <w:top w:val="single" w:color="595959" w:sz="6"/>
              <w:left w:val="single" w:color="595959" w:sz="6"/>
              <w:bottom w:val="single" w:color="595959" w:sz="6"/>
              <w:right w:val="single" w:color="595959" w:sz="6"/>
            </w:tcBorders>
            <w:shd w:fill="F2F2F2" w:color="auto" w:val="clear"/>
            <w:tcMar>
              <w:top w:type="dxa" w:w="60"/>
              <w:left w:type="dxa" w:w="90"/>
              <w:bottom w:type="dxa" w:w="60"/>
              <w:right w:type="dxa" w:w="90"/>
            </w:tcMar>
            <w:vAlign w:val="center"/>
          </w:tcPr>
          <w:p>
            <w:pPr>
              <w:jc w:val="left"/>
            </w:pPr>
            <w:r>
              <w:rPr>
                <w:rFonts w:ascii="Arial" w:cs="Arial" w:eastAsia="Arial" w:hAnsi="Arial"/>
                <w:sz w:val="20"/>
                <w:szCs w:val="20"/>
              </w:rPr>
              <w:t xml:space="preserve">Variables de control</w:t>
            </w:r>
          </w:p>
        </w:tc>
        <w:tc>
          <w:tcPr>
            <w:tcW w:type="dxa" w:w="667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Volumen de consultas por periodo, canal de contacto, horario de atención y condiciones comerciales, como precios y campañas, que se mantuvieron estables entre la preprueba y la posprueba</w:t>
            </w:r>
          </w:p>
        </w:tc>
      </w:tr>
    </w:tbl>
    <w:p>
      <w:pPr>
        <w:spacing w:after="120"/>
      </w:pPr>
    </w:p>
    <w:p>
      <w:pPr>
        <w:keepNext/>
        <w:spacing w:after="120" w:before="120" w:line="360"/>
      </w:pPr>
      <w:r>
        <w:rPr>
          <w:rFonts w:ascii="Arial" w:cs="Arial" w:eastAsia="Arial" w:hAnsi="Arial"/>
          <w:b/>
          <w:bCs/>
          <w:sz w:val="24"/>
          <w:szCs w:val="24"/>
        </w:rPr>
        <w:t xml:space="preserve">3.4.4. Definición conceptual y operacional de las variables</w:t>
      </w:r>
    </w:p>
    <w:p>
      <w:pPr>
        <w:spacing w:after="80" w:before="0" w:line="360"/>
        <w:jc w:val="both"/>
      </w:pPr>
      <w:r>
        <w:rPr>
          <w:rFonts w:ascii="Arial" w:cs="Arial" w:eastAsia="Arial" w:hAnsi="Arial"/>
          <w:b/>
          <w:bCs/>
          <w:sz w:val="24"/>
          <w:szCs w:val="24"/>
        </w:rPr>
        <w:t xml:space="preserve">Variable independiente. Implementación de inteligencia artificial como agente de respuesta.</w:t>
      </w:r>
    </w:p>
    <w:p>
      <w:pPr>
        <w:spacing w:after="80" w:before="0" w:line="360"/>
        <w:jc w:val="both"/>
      </w:pPr>
      <w:r>
        <w:rPr>
          <w:rFonts w:ascii="Arial" w:cs="Arial" w:eastAsia="Arial" w:hAnsi="Arial"/>
          <w:b/>
          <w:bCs/>
          <w:sz w:val="24"/>
          <w:szCs w:val="24"/>
        </w:rPr>
        <w:t xml:space="preserve">Definición conceptual:</w:t>
      </w:r>
      <w:r>
        <w:rPr>
          <w:rFonts w:ascii="Arial" w:cs="Arial" w:eastAsia="Arial" w:hAnsi="Arial"/>
          <w:sz w:val="24"/>
          <w:szCs w:val="24"/>
        </w:rPr>
        <w:t xml:space="preserve"> incorporación al sistema de gestión de relaciones con clientes de un componente de software capaz de comprender el lenguaje natural del cliente, consultar la información registrada en el sistema y generar respuestas o acciones comerciales de manera autónoma, con derivación a un agente humano cuando la consulta excede su capacidad [12], [18]. El sistema de gestión de relaciones con clientes se entiende como el sistema que permite administrar la información de los clientes actuales y potenciales, incluidas las ventas, la atención, las campañas y el historial de contacto [28].</w:t>
      </w:r>
    </w:p>
    <w:p>
      <w:pPr>
        <w:spacing w:after="80" w:before="0" w:line="360"/>
        <w:jc w:val="both"/>
      </w:pPr>
      <w:r>
        <w:rPr>
          <w:rFonts w:ascii="Arial" w:cs="Arial" w:eastAsia="Arial" w:hAnsi="Arial"/>
          <w:b/>
          <w:bCs/>
          <w:sz w:val="24"/>
          <w:szCs w:val="24"/>
        </w:rPr>
        <w:t xml:space="preserve">Definición operacional:</w:t>
      </w:r>
      <w:r>
        <w:rPr>
          <w:rFonts w:ascii="Arial" w:cs="Arial" w:eastAsia="Arial" w:hAnsi="Arial"/>
          <w:sz w:val="24"/>
          <w:szCs w:val="24"/>
        </w:rPr>
        <w:t xml:space="preserve"> la variable se operacionalizó en cuatro dimensiones, precisión de la respuesta, integración con el sistema, derivación a atención humana y calidad conversacional percibida, medidas mediante los registros del sistema, una auditoría muestral de conversaciones y un cuestionario con escala de Likert de cinco puntos aplicado a los clientes en la posprueba.</w:t>
      </w:r>
    </w:p>
    <w:p>
      <w:pPr>
        <w:spacing w:after="80" w:before="0" w:line="360"/>
        <w:jc w:val="both"/>
      </w:pPr>
      <w:r>
        <w:rPr>
          <w:rFonts w:ascii="Arial" w:cs="Arial" w:eastAsia="Arial" w:hAnsi="Arial"/>
          <w:b/>
          <w:bCs/>
          <w:sz w:val="24"/>
          <w:szCs w:val="24"/>
        </w:rPr>
        <w:t xml:space="preserve">Variable dependiente. Atención al cliente y ventas.</w:t>
      </w:r>
    </w:p>
    <w:p>
      <w:pPr>
        <w:spacing w:after="80" w:before="0" w:line="360"/>
        <w:jc w:val="both"/>
      </w:pPr>
      <w:r>
        <w:rPr>
          <w:rFonts w:ascii="Arial" w:cs="Arial" w:eastAsia="Arial" w:hAnsi="Arial"/>
          <w:b/>
          <w:bCs/>
          <w:sz w:val="24"/>
          <w:szCs w:val="24"/>
        </w:rPr>
        <w:t xml:space="preserve">Definición conceptual:</w:t>
      </w:r>
      <w:r>
        <w:rPr>
          <w:rFonts w:ascii="Arial" w:cs="Arial" w:eastAsia="Arial" w:hAnsi="Arial"/>
          <w:sz w:val="24"/>
          <w:szCs w:val="24"/>
        </w:rPr>
        <w:t xml:space="preserve"> desempeño del proceso de relación comercial expresado en la oportunidad de la respuesta, la satisfacción del cliente con el servicio recibido, la capacidad de convertir interacciones en transacciones y la eficiencia en el uso de los recursos de atención [3], [4], [27].</w:t>
      </w:r>
    </w:p>
    <w:p>
      <w:pPr>
        <w:spacing w:after="80" w:before="0" w:line="360"/>
        <w:jc w:val="both"/>
      </w:pPr>
      <w:r>
        <w:rPr>
          <w:rFonts w:ascii="Arial" w:cs="Arial" w:eastAsia="Arial" w:hAnsi="Arial"/>
          <w:b/>
          <w:bCs/>
          <w:sz w:val="24"/>
          <w:szCs w:val="24"/>
        </w:rPr>
        <w:t xml:space="preserve">Definición operacional:</w:t>
      </w:r>
      <w:r>
        <w:rPr>
          <w:rFonts w:ascii="Arial" w:cs="Arial" w:eastAsia="Arial" w:hAnsi="Arial"/>
          <w:sz w:val="24"/>
          <w:szCs w:val="24"/>
        </w:rPr>
        <w:t xml:space="preserve"> la variable se operacionalizó en cuatro dimensiones, tiempo de respuesta, satisfacción del cliente, conversión comercial y eficiencia operativa, medidas en la preprueba y en la posprueba mediante los registros del sistema de gestión de relaciones con clientes y un cuestionario de satisfacción con escala de Likert de cinco puntos.</w:t>
      </w:r>
    </w:p>
    <w:p>
      <w:pPr>
        <w:keepNext/>
        <w:spacing w:after="120" w:before="240" w:line="360"/>
        <w:sectPr>
          <w:footerReference w:type="default" r:id="rId6"/>
          <w:pgSz w:w="11906" w:h="16838" w:orient="portrait"/>
          <w:pgMar w:top="1418" w:right="1418" w:bottom="1418" w:left="1418" w:header="708" w:footer="708" w:gutter="0"/>
          <w:pgNumType/>
          <w:docGrid w:linePitch="360"/>
        </w:sectPr>
      </w:pPr>
      <w:r>
        <w:rPr>
          <w:rFonts w:ascii="Arial" w:cs="Arial" w:eastAsia="Arial" w:hAnsi="Arial"/>
          <w:b/>
          <w:bCs/>
          <w:sz w:val="24"/>
          <w:szCs w:val="24"/>
        </w:rPr>
        <w:t xml:space="preserve">3.5. Tabla de operacionalización de variables</w:t>
      </w:r>
    </w:p>
    <w:p>
      <w:pPr>
        <w:spacing w:after="120"/>
        <w:jc w:val="center"/>
      </w:pPr>
      <w:r>
        <w:rPr>
          <w:rFonts w:ascii="Arial" w:cs="Arial" w:eastAsia="Arial" w:hAnsi="Arial"/>
          <w:b/>
          <w:bCs/>
          <w:sz w:val="24"/>
          <w:szCs w:val="24"/>
        </w:rPr>
        <w:t xml:space="preserve">Tabla 1. Operacionalización de variables</w:t>
      </w:r>
    </w:p>
    <w:tbl>
      <w:tblPr>
        <w:tblW w:type="dxa" w:w="124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850"/>
        <w:gridCol w:w="2550"/>
        <w:gridCol w:w="1150"/>
        <w:gridCol w:w="1350"/>
        <w:gridCol w:w="2500"/>
      </w:tblGrid>
      <w:tr>
        <w:trPr>
          <w:cantSplit/>
          <w:tblHeader/>
        </w:trPr>
        <w:tc>
          <w:tcPr>
            <w:tcW w:type="dxa" w:w="1500"/>
            <w:tcBorders>
              <w:top w:val="single" w:color="595959" w:sz="6"/>
              <w:left w:val="single" w:color="595959" w:sz="6"/>
              <w:bottom w:val="single" w:color="595959" w:sz="6"/>
              <w:right w:val="single" w:color="595959" w:sz="6"/>
            </w:tcBorders>
            <w:shd w:fill="D9D9D9" w:color="auto" w:val="clear"/>
            <w:tcMar>
              <w:top w:type="dxa" w:w="30"/>
              <w:left w:type="dxa" w:w="70"/>
              <w:bottom w:type="dxa" w:w="30"/>
              <w:right w:type="dxa" w:w="70"/>
            </w:tcMar>
            <w:vAlign w:val="center"/>
          </w:tcPr>
          <w:p>
            <w:pPr>
              <w:jc w:val="center"/>
            </w:pPr>
            <w:r>
              <w:rPr>
                <w:rFonts w:ascii="Arial" w:cs="Arial" w:eastAsia="Arial" w:hAnsi="Arial"/>
                <w:b/>
                <w:bCs/>
                <w:sz w:val="16"/>
                <w:szCs w:val="16"/>
              </w:rPr>
              <w:t xml:space="preserve">Variable</w:t>
            </w:r>
          </w:p>
        </w:tc>
        <w:tc>
          <w:tcPr>
            <w:tcW w:type="dxa" w:w="1500"/>
            <w:tcBorders>
              <w:top w:val="single" w:color="595959" w:sz="6"/>
              <w:left w:val="single" w:color="595959" w:sz="6"/>
              <w:bottom w:val="single" w:color="595959" w:sz="6"/>
              <w:right w:val="single" w:color="595959" w:sz="6"/>
            </w:tcBorders>
            <w:shd w:fill="D9D9D9" w:color="auto" w:val="clear"/>
            <w:tcMar>
              <w:top w:type="dxa" w:w="30"/>
              <w:left w:type="dxa" w:w="70"/>
              <w:bottom w:type="dxa" w:w="30"/>
              <w:right w:type="dxa" w:w="70"/>
            </w:tcMar>
            <w:vAlign w:val="center"/>
          </w:tcPr>
          <w:p>
            <w:pPr>
              <w:jc w:val="center"/>
            </w:pPr>
            <w:r>
              <w:rPr>
                <w:rFonts w:ascii="Arial" w:cs="Arial" w:eastAsia="Arial" w:hAnsi="Arial"/>
                <w:b/>
                <w:bCs/>
                <w:sz w:val="16"/>
                <w:szCs w:val="16"/>
              </w:rPr>
              <w:t xml:space="preserve">Dimensión</w:t>
            </w:r>
          </w:p>
        </w:tc>
        <w:tc>
          <w:tcPr>
            <w:tcW w:type="dxa" w:w="1850"/>
            <w:tcBorders>
              <w:top w:val="single" w:color="595959" w:sz="6"/>
              <w:left w:val="single" w:color="595959" w:sz="6"/>
              <w:bottom w:val="single" w:color="595959" w:sz="6"/>
              <w:right w:val="single" w:color="595959" w:sz="6"/>
            </w:tcBorders>
            <w:shd w:fill="D9D9D9" w:color="auto" w:val="clear"/>
            <w:tcMar>
              <w:top w:type="dxa" w:w="30"/>
              <w:left w:type="dxa" w:w="70"/>
              <w:bottom w:type="dxa" w:w="30"/>
              <w:right w:type="dxa" w:w="70"/>
            </w:tcMar>
            <w:vAlign w:val="center"/>
          </w:tcPr>
          <w:p>
            <w:pPr>
              <w:jc w:val="center"/>
            </w:pPr>
            <w:r>
              <w:rPr>
                <w:rFonts w:ascii="Arial" w:cs="Arial" w:eastAsia="Arial" w:hAnsi="Arial"/>
                <w:b/>
                <w:bCs/>
                <w:sz w:val="16"/>
                <w:szCs w:val="16"/>
              </w:rPr>
              <w:t xml:space="preserve">Indicador</w:t>
            </w:r>
          </w:p>
        </w:tc>
        <w:tc>
          <w:tcPr>
            <w:tcW w:type="dxa" w:w="2550"/>
            <w:tcBorders>
              <w:top w:val="single" w:color="595959" w:sz="6"/>
              <w:left w:val="single" w:color="595959" w:sz="6"/>
              <w:bottom w:val="single" w:color="595959" w:sz="6"/>
              <w:right w:val="single" w:color="595959" w:sz="6"/>
            </w:tcBorders>
            <w:shd w:fill="D9D9D9" w:color="auto" w:val="clear"/>
            <w:tcMar>
              <w:top w:type="dxa" w:w="30"/>
              <w:left w:type="dxa" w:w="70"/>
              <w:bottom w:type="dxa" w:w="30"/>
              <w:right w:type="dxa" w:w="70"/>
            </w:tcMar>
            <w:vAlign w:val="center"/>
          </w:tcPr>
          <w:p>
            <w:pPr>
              <w:jc w:val="center"/>
            </w:pPr>
            <w:r>
              <w:rPr>
                <w:rFonts w:ascii="Arial" w:cs="Arial" w:eastAsia="Arial" w:hAnsi="Arial"/>
                <w:b/>
                <w:bCs/>
                <w:sz w:val="16"/>
                <w:szCs w:val="16"/>
              </w:rPr>
              <w:t xml:space="preserve">Ítems sugeridos</w:t>
            </w:r>
          </w:p>
        </w:tc>
        <w:tc>
          <w:tcPr>
            <w:tcW w:type="dxa" w:w="1150"/>
            <w:tcBorders>
              <w:top w:val="single" w:color="595959" w:sz="6"/>
              <w:left w:val="single" w:color="595959" w:sz="6"/>
              <w:bottom w:val="single" w:color="595959" w:sz="6"/>
              <w:right w:val="single" w:color="595959" w:sz="6"/>
            </w:tcBorders>
            <w:shd w:fill="D9D9D9" w:color="auto" w:val="clear"/>
            <w:tcMar>
              <w:top w:type="dxa" w:w="30"/>
              <w:left w:type="dxa" w:w="70"/>
              <w:bottom w:type="dxa" w:w="30"/>
              <w:right w:type="dxa" w:w="70"/>
            </w:tcMar>
            <w:vAlign w:val="center"/>
          </w:tcPr>
          <w:p>
            <w:pPr>
              <w:jc w:val="center"/>
            </w:pPr>
            <w:r>
              <w:rPr>
                <w:rFonts w:ascii="Arial" w:cs="Arial" w:eastAsia="Arial" w:hAnsi="Arial"/>
                <w:b/>
                <w:bCs/>
                <w:sz w:val="16"/>
                <w:szCs w:val="16"/>
              </w:rPr>
              <w:t xml:space="preserve">Escala</w:t>
            </w:r>
          </w:p>
        </w:tc>
        <w:tc>
          <w:tcPr>
            <w:tcW w:type="dxa" w:w="1350"/>
            <w:tcBorders>
              <w:top w:val="single" w:color="595959" w:sz="6"/>
              <w:left w:val="single" w:color="595959" w:sz="6"/>
              <w:bottom w:val="single" w:color="595959" w:sz="6"/>
              <w:right w:val="single" w:color="595959" w:sz="6"/>
            </w:tcBorders>
            <w:shd w:fill="D9D9D9" w:color="auto" w:val="clear"/>
            <w:tcMar>
              <w:top w:type="dxa" w:w="30"/>
              <w:left w:type="dxa" w:w="70"/>
              <w:bottom w:type="dxa" w:w="30"/>
              <w:right w:type="dxa" w:w="70"/>
            </w:tcMar>
            <w:vAlign w:val="center"/>
          </w:tcPr>
          <w:p>
            <w:pPr>
              <w:jc w:val="center"/>
            </w:pPr>
            <w:r>
              <w:rPr>
                <w:rFonts w:ascii="Arial" w:cs="Arial" w:eastAsia="Arial" w:hAnsi="Arial"/>
                <w:b/>
                <w:bCs/>
                <w:sz w:val="16"/>
                <w:szCs w:val="16"/>
              </w:rPr>
              <w:t xml:space="preserve">Fuente teórica</w:t>
            </w:r>
          </w:p>
        </w:tc>
        <w:tc>
          <w:tcPr>
            <w:tcW w:type="dxa" w:w="2500"/>
            <w:tcBorders>
              <w:top w:val="single" w:color="595959" w:sz="6"/>
              <w:left w:val="single" w:color="595959" w:sz="6"/>
              <w:bottom w:val="single" w:color="595959" w:sz="6"/>
              <w:right w:val="single" w:color="595959" w:sz="6"/>
            </w:tcBorders>
            <w:shd w:fill="D9D9D9" w:color="auto" w:val="clear"/>
            <w:tcMar>
              <w:top w:type="dxa" w:w="30"/>
              <w:left w:type="dxa" w:w="70"/>
              <w:bottom w:type="dxa" w:w="30"/>
              <w:right w:type="dxa" w:w="70"/>
            </w:tcMar>
            <w:vAlign w:val="center"/>
          </w:tcPr>
          <w:p>
            <w:pPr>
              <w:jc w:val="center"/>
            </w:pPr>
            <w:r>
              <w:rPr>
                <w:rFonts w:ascii="Arial" w:cs="Arial" w:eastAsia="Arial" w:hAnsi="Arial"/>
                <w:b/>
                <w:bCs/>
                <w:sz w:val="16"/>
                <w:szCs w:val="16"/>
              </w:rPr>
              <w:t xml:space="preserve">Procedimiento de cálculo</w:t>
            </w:r>
          </w:p>
        </w:tc>
      </w:tr>
      <w:tr>
        <w:trPr>
          <w:cantSplit/>
          <w:tblHeader w:val="off"/>
        </w:trPr>
        <w:tc>
          <w:tcPr>
            <w:tcW w:type="dxa" w:w="1500"/>
            <w:vMerge w:val="restart"/>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VI: Implementación de inteligencia artificial como agente de respuesta</w:t>
            </w:r>
          </w:p>
        </w:tc>
        <w:tc>
          <w:tcPr>
            <w:tcW w:type="dxa" w:w="1500"/>
            <w:vMerge w:val="restart"/>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D1. Precisión de la respuesta</w:t>
            </w:r>
          </w:p>
        </w:tc>
        <w:tc>
          <w:tcPr>
            <w:tcW w:type="dxa" w:w="1850"/>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Tasa de respuestas correctas</w:t>
            </w:r>
          </w:p>
        </w:tc>
        <w:tc>
          <w:tcPr>
            <w:tcW w:type="dxa" w:w="2550"/>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Ficha de auditoría: ¿la respuesta del agente fue correcta y completa respecto de la consulta? (Sí/No)</w:t>
            </w:r>
          </w:p>
        </w:tc>
        <w:tc>
          <w:tcPr>
            <w:tcW w:type="dxa" w:w="1150"/>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Razón</w:t>
            </w:r>
          </w:p>
        </w:tc>
        <w:tc>
          <w:tcPr>
            <w:tcW w:type="dxa" w:w="1350"/>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[21], [27]</w:t>
            </w:r>
          </w:p>
        </w:tc>
        <w:tc>
          <w:tcPr>
            <w:tcW w:type="dxa" w:w="2500"/>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(Respuestas evaluadas como correctas / respuestas auditadas) × 100</w:t>
            </w:r>
          </w:p>
        </w:tc>
      </w:tr>
      <w:tr>
        <w:trPr>
          <w:cantSplit/>
          <w:tblHeader w:val="off"/>
        </w:trPr>
        <w:tc>
          <w:tcPr>
            <w:tcW w:type="dxa" w:w="1500"/>
            <w:vMerge w:val="continue"/>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p>
        </w:tc>
        <w:tc>
          <w:tcPr>
            <w:tcW w:type="dxa" w:w="1500"/>
            <w:vMerge w:val="restart"/>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D2. Integración con el sistema</w:t>
            </w:r>
          </w:p>
        </w:tc>
        <w:tc>
          <w:tcPr>
            <w:tcW w:type="dxa" w:w="1850"/>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Interacciones registradas automáticamente en el sistema</w:t>
            </w:r>
          </w:p>
        </w:tc>
        <w:tc>
          <w:tcPr>
            <w:tcW w:type="dxa" w:w="2550"/>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Registro del sistema: interacción registrada con datos del cliente (Sí/No)</w:t>
            </w:r>
          </w:p>
        </w:tc>
        <w:tc>
          <w:tcPr>
            <w:tcW w:type="dxa" w:w="1150"/>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Razón</w:t>
            </w:r>
          </w:p>
        </w:tc>
        <w:tc>
          <w:tcPr>
            <w:tcW w:type="dxa" w:w="1350"/>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[12], [13]</w:t>
            </w:r>
          </w:p>
        </w:tc>
        <w:tc>
          <w:tcPr>
            <w:tcW w:type="dxa" w:w="2500"/>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(Interacciones registradas automáticamente / total de interacciones atendidas por el agente) × 100</w:t>
            </w:r>
          </w:p>
        </w:tc>
      </w:tr>
      <w:tr>
        <w:trPr>
          <w:cantSplit/>
          <w:tblHeader w:val="off"/>
        </w:trPr>
        <w:tc>
          <w:tcPr>
            <w:tcW w:type="dxa" w:w="1500"/>
            <w:vMerge w:val="continue"/>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p>
        </w:tc>
        <w:tc>
          <w:tcPr>
            <w:tcW w:type="dxa" w:w="1500"/>
            <w:vMerge w:val="restart"/>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D3. Derivación a atención humana</w:t>
            </w:r>
          </w:p>
        </w:tc>
        <w:tc>
          <w:tcPr>
            <w:tcW w:type="dxa" w:w="1850"/>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Tasa de derivación</w:t>
            </w:r>
          </w:p>
        </w:tc>
        <w:tc>
          <w:tcPr>
            <w:tcW w:type="dxa" w:w="2550"/>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Registro del sistema: consulta transferida a un agente humano (Sí/No)</w:t>
            </w:r>
          </w:p>
        </w:tc>
        <w:tc>
          <w:tcPr>
            <w:tcW w:type="dxa" w:w="1150"/>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Razón</w:t>
            </w:r>
          </w:p>
        </w:tc>
        <w:tc>
          <w:tcPr>
            <w:tcW w:type="dxa" w:w="1350"/>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[19], [25]</w:t>
            </w:r>
          </w:p>
        </w:tc>
        <w:tc>
          <w:tcPr>
            <w:tcW w:type="dxa" w:w="2500"/>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(Consultas derivadas / total de consultas atendidas por el agente) × 100</w:t>
            </w:r>
          </w:p>
        </w:tc>
      </w:tr>
      <w:tr>
        <w:trPr>
          <w:cantSplit/>
          <w:tblHeader w:val="off"/>
        </w:trPr>
        <w:tc>
          <w:tcPr>
            <w:tcW w:type="dxa" w:w="1500"/>
            <w:vMerge w:val="continue"/>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p>
        </w:tc>
        <w:tc>
          <w:tcPr>
            <w:tcW w:type="dxa" w:w="1500"/>
            <w:vMerge w:val="restart"/>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D4. Calidad conversacional percibida</w:t>
            </w:r>
          </w:p>
        </w:tc>
        <w:tc>
          <w:tcPr>
            <w:tcW w:type="dxa" w:w="1850"/>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Índice de calidad conversacional</w:t>
            </w:r>
          </w:p>
        </w:tc>
        <w:tc>
          <w:tcPr>
            <w:tcW w:type="dxa" w:w="2550"/>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«El asistente comprendió mi consulta»; «Las respuestas fueron claras y útiles»; «Fue fácil comunicarme con el asistente»</w:t>
            </w:r>
          </w:p>
        </w:tc>
        <w:tc>
          <w:tcPr>
            <w:tcW w:type="dxa" w:w="1150"/>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Ordinal (Likert 1–5)</w:t>
            </w:r>
          </w:p>
        </w:tc>
        <w:tc>
          <w:tcPr>
            <w:tcW w:type="dxa" w:w="1350"/>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[4], [16], [26]</w:t>
            </w:r>
          </w:p>
        </w:tc>
        <w:tc>
          <w:tcPr>
            <w:tcW w:type="dxa" w:w="2500"/>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Promedio de los ítems de la dimensión por cliente; promedio general de la muestra</w:t>
            </w:r>
          </w:p>
        </w:tc>
      </w:tr>
      <w:tr>
        <w:trPr>
          <w:cantSplit/>
          <w:tblHeader w:val="off"/>
        </w:trPr>
        <w:tc>
          <w:tcPr>
            <w:tcW w:type="dxa" w:w="1500"/>
            <w:vMerge w:val="restart"/>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VD: Atención al cliente y ventas</w:t>
            </w:r>
          </w:p>
        </w:tc>
        <w:tc>
          <w:tcPr>
            <w:tcW w:type="dxa" w:w="1500"/>
            <w:vMerge w:val="restart"/>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D1. Tiempo de respuesta</w:t>
            </w:r>
          </w:p>
        </w:tc>
        <w:tc>
          <w:tcPr>
            <w:tcW w:type="dxa" w:w="1850"/>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Tiempo promedio de primera respuesta (minutos)</w:t>
            </w:r>
          </w:p>
        </w:tc>
        <w:tc>
          <w:tcPr>
            <w:tcW w:type="dxa" w:w="2550"/>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Registro del sistema: hora de ingreso de la consulta y hora de la primera respuesta</w:t>
            </w:r>
          </w:p>
        </w:tc>
        <w:tc>
          <w:tcPr>
            <w:tcW w:type="dxa" w:w="1150"/>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Razón</w:t>
            </w:r>
          </w:p>
        </w:tc>
        <w:tc>
          <w:tcPr>
            <w:tcW w:type="dxa" w:w="1350"/>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[16], [34]</w:t>
            </w:r>
          </w:p>
        </w:tc>
        <w:tc>
          <w:tcPr>
            <w:tcW w:type="dxa" w:w="2500"/>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Σ (hora de primera respuesta − hora de ingreso) / número de consultas</w:t>
            </w:r>
          </w:p>
        </w:tc>
      </w:tr>
      <w:tr>
        <w:trPr>
          <w:cantSplit/>
          <w:tblHeader w:val="off"/>
        </w:trPr>
        <w:tc>
          <w:tcPr>
            <w:tcW w:type="dxa" w:w="1500"/>
            <w:vMerge w:val="continue"/>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p>
        </w:tc>
        <w:tc>
          <w:tcPr>
            <w:tcW w:type="dxa" w:w="1500"/>
            <w:vMerge w:val="continue"/>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p>
        </w:tc>
        <w:tc>
          <w:tcPr>
            <w:tcW w:type="dxa" w:w="1850"/>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Tiempo promedio de resolución (minutos)</w:t>
            </w:r>
          </w:p>
        </w:tc>
        <w:tc>
          <w:tcPr>
            <w:tcW w:type="dxa" w:w="2550"/>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Registro del sistema: hora de ingreso y hora de cierre del caso</w:t>
            </w:r>
          </w:p>
        </w:tc>
        <w:tc>
          <w:tcPr>
            <w:tcW w:type="dxa" w:w="1150"/>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Razón</w:t>
            </w:r>
          </w:p>
        </w:tc>
        <w:tc>
          <w:tcPr>
            <w:tcW w:type="dxa" w:w="1350"/>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[34]</w:t>
            </w:r>
          </w:p>
        </w:tc>
        <w:tc>
          <w:tcPr>
            <w:tcW w:type="dxa" w:w="2500"/>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Σ (hora de cierre − hora de ingreso) / número de casos cerrados</w:t>
            </w:r>
          </w:p>
        </w:tc>
      </w:tr>
      <w:tr>
        <w:trPr>
          <w:cantSplit/>
          <w:tblHeader w:val="off"/>
        </w:trPr>
        <w:tc>
          <w:tcPr>
            <w:tcW w:type="dxa" w:w="1500"/>
            <w:vMerge w:val="continue"/>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p>
        </w:tc>
        <w:tc>
          <w:tcPr>
            <w:tcW w:type="dxa" w:w="1500"/>
            <w:vMerge w:val="restart"/>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D2. Satisfacción del cliente</w:t>
            </w:r>
          </w:p>
        </w:tc>
        <w:tc>
          <w:tcPr>
            <w:tcW w:type="dxa" w:w="1850"/>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Índice de satisfacción del cliente</w:t>
            </w:r>
          </w:p>
        </w:tc>
        <w:tc>
          <w:tcPr>
            <w:tcW w:type="dxa" w:w="2550"/>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«Estoy satisfecho con la atención recibida»; «La respuesta llegó en el momento que la necesitaba»; «Volvería a contactar a la empresa por este medio»</w:t>
            </w:r>
          </w:p>
        </w:tc>
        <w:tc>
          <w:tcPr>
            <w:tcW w:type="dxa" w:w="1150"/>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Ordinal (Likert 1–5)</w:t>
            </w:r>
          </w:p>
        </w:tc>
        <w:tc>
          <w:tcPr>
            <w:tcW w:type="dxa" w:w="1350"/>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[4], [15]</w:t>
            </w:r>
          </w:p>
        </w:tc>
        <w:tc>
          <w:tcPr>
            <w:tcW w:type="dxa" w:w="2500"/>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Promedio de los ítems de la dimensión por cliente; promedio general de la muestra</w:t>
            </w:r>
          </w:p>
        </w:tc>
      </w:tr>
      <w:tr>
        <w:trPr>
          <w:cantSplit/>
          <w:tblHeader w:val="off"/>
        </w:trPr>
        <w:tc>
          <w:tcPr>
            <w:tcW w:type="dxa" w:w="1500"/>
            <w:vMerge w:val="continue"/>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p>
        </w:tc>
        <w:tc>
          <w:tcPr>
            <w:tcW w:type="dxa" w:w="1500"/>
            <w:vMerge w:val="restart"/>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D3. Conversión comercial</w:t>
            </w:r>
          </w:p>
        </w:tc>
        <w:tc>
          <w:tcPr>
            <w:tcW w:type="dxa" w:w="1850"/>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Tasa de conversión comercial</w:t>
            </w:r>
          </w:p>
        </w:tc>
        <w:tc>
          <w:tcPr>
            <w:tcW w:type="dxa" w:w="2550"/>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Registro del sistema: interacción comercial que culminó en venta (Sí/No)</w:t>
            </w:r>
          </w:p>
        </w:tc>
        <w:tc>
          <w:tcPr>
            <w:tcW w:type="dxa" w:w="1150"/>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Razón</w:t>
            </w:r>
          </w:p>
        </w:tc>
        <w:tc>
          <w:tcPr>
            <w:tcW w:type="dxa" w:w="1350"/>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[23]</w:t>
            </w:r>
          </w:p>
        </w:tc>
        <w:tc>
          <w:tcPr>
            <w:tcW w:type="dxa" w:w="2500"/>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(Interacciones con venta concretada / total de interacciones comerciales) × 100</w:t>
            </w:r>
          </w:p>
        </w:tc>
      </w:tr>
      <w:tr>
        <w:trPr>
          <w:cantSplit/>
          <w:tblHeader w:val="off"/>
        </w:trPr>
        <w:tc>
          <w:tcPr>
            <w:tcW w:type="dxa" w:w="1500"/>
            <w:vMerge w:val="continue"/>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p>
        </w:tc>
        <w:tc>
          <w:tcPr>
            <w:tcW w:type="dxa" w:w="1500"/>
            <w:vMerge w:val="continue"/>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p>
        </w:tc>
        <w:tc>
          <w:tcPr>
            <w:tcW w:type="dxa" w:w="1850"/>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Tasa de oportunidades calificadas</w:t>
            </w:r>
          </w:p>
        </w:tc>
        <w:tc>
          <w:tcPr>
            <w:tcW w:type="dxa" w:w="2550"/>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Registro del sistema: interacción convertida en oportunidad comercial (Sí/No)</w:t>
            </w:r>
          </w:p>
        </w:tc>
        <w:tc>
          <w:tcPr>
            <w:tcW w:type="dxa" w:w="1150"/>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Razón</w:t>
            </w:r>
          </w:p>
        </w:tc>
        <w:tc>
          <w:tcPr>
            <w:tcW w:type="dxa" w:w="1350"/>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[14], [23]</w:t>
            </w:r>
          </w:p>
        </w:tc>
        <w:tc>
          <w:tcPr>
            <w:tcW w:type="dxa" w:w="2500"/>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(Oportunidades calificadas / total de interacciones comerciales) × 100</w:t>
            </w:r>
          </w:p>
        </w:tc>
      </w:tr>
      <w:tr>
        <w:trPr>
          <w:cantSplit/>
          <w:tblHeader w:val="off"/>
        </w:trPr>
        <w:tc>
          <w:tcPr>
            <w:tcW w:type="dxa" w:w="1500"/>
            <w:vMerge w:val="continue"/>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p>
        </w:tc>
        <w:tc>
          <w:tcPr>
            <w:tcW w:type="dxa" w:w="1500"/>
            <w:vMerge w:val="restart"/>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D4. Eficiencia operativa</w:t>
            </w:r>
          </w:p>
        </w:tc>
        <w:tc>
          <w:tcPr>
            <w:tcW w:type="dxa" w:w="1850"/>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Tasa de resolución sin intervención humana</w:t>
            </w:r>
          </w:p>
        </w:tc>
        <w:tc>
          <w:tcPr>
            <w:tcW w:type="dxa" w:w="2550"/>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Registro del sistema: caso cerrado sin participación de un agente humano (Sí/No)</w:t>
            </w:r>
          </w:p>
        </w:tc>
        <w:tc>
          <w:tcPr>
            <w:tcW w:type="dxa" w:w="1150"/>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Razón</w:t>
            </w:r>
          </w:p>
        </w:tc>
        <w:tc>
          <w:tcPr>
            <w:tcW w:type="dxa" w:w="1350"/>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[3], [25]</w:t>
            </w:r>
          </w:p>
        </w:tc>
        <w:tc>
          <w:tcPr>
            <w:tcW w:type="dxa" w:w="2500"/>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(Casos resueltos sin intervención humana / total de casos) × 100</w:t>
            </w:r>
          </w:p>
        </w:tc>
      </w:tr>
      <w:tr>
        <w:trPr>
          <w:cantSplit/>
          <w:tblHeader w:val="off"/>
        </w:trPr>
        <w:tc>
          <w:tcPr>
            <w:tcW w:type="dxa" w:w="1500"/>
            <w:vMerge w:val="continue"/>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p>
        </w:tc>
        <w:tc>
          <w:tcPr>
            <w:tcW w:type="dxa" w:w="1500"/>
            <w:vMerge w:val="continue"/>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p>
        </w:tc>
        <w:tc>
          <w:tcPr>
            <w:tcW w:type="dxa" w:w="1850"/>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Casos atendidos por hora</w:t>
            </w:r>
          </w:p>
        </w:tc>
        <w:tc>
          <w:tcPr>
            <w:tcW w:type="dxa" w:w="2550"/>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Registro del sistema: número de casos cerrados y horas de atención del periodo</w:t>
            </w:r>
          </w:p>
        </w:tc>
        <w:tc>
          <w:tcPr>
            <w:tcW w:type="dxa" w:w="1150"/>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Razón</w:t>
            </w:r>
          </w:p>
        </w:tc>
        <w:tc>
          <w:tcPr>
            <w:tcW w:type="dxa" w:w="1350"/>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[3]</w:t>
            </w:r>
          </w:p>
        </w:tc>
        <w:tc>
          <w:tcPr>
            <w:tcW w:type="dxa" w:w="2500"/>
            <w:tcBorders>
              <w:top w:val="single" w:color="595959" w:sz="6"/>
              <w:left w:val="single" w:color="595959" w:sz="6"/>
              <w:bottom w:val="single" w:color="595959" w:sz="6"/>
              <w:right w:val="single" w:color="595959" w:sz="6"/>
            </w:tcBorders>
            <w:tcMar>
              <w:top w:type="dxa" w:w="30"/>
              <w:left w:type="dxa" w:w="70"/>
              <w:bottom w:type="dxa" w:w="30"/>
              <w:right w:type="dxa" w:w="70"/>
            </w:tcMar>
            <w:vAlign w:val="center"/>
          </w:tcPr>
          <w:p>
            <w:pPr>
              <w:jc w:val="left"/>
            </w:pPr>
            <w:r>
              <w:rPr>
                <w:rFonts w:ascii="Arial" w:cs="Arial" w:eastAsia="Arial" w:hAnsi="Arial"/>
                <w:sz w:val="16"/>
                <w:szCs w:val="16"/>
              </w:rPr>
              <w:t xml:space="preserve">Casos cerrados en el periodo / horas de atención del periodo</w:t>
            </w:r>
          </w:p>
        </w:tc>
      </w:tr>
    </w:tbl>
    <w:p>
      <w:pPr>
        <w:spacing w:after="120"/>
      </w:pPr>
    </w:p>
    <w:p>
      <w:pPr>
        <w:spacing w:before="60"/>
        <w:jc w:val="both"/>
        <w:sectPr>
          <w:footerReference w:type="default" r:id="rId7"/>
          <w:pgSz w:w="16838" w:h="11906" w:orient="landscape"/>
          <w:pgMar w:top="1000" w:right="1418" w:bottom="1000" w:left="1418" w:header="708" w:footer="708" w:gutter="0"/>
          <w:pgNumType/>
          <w:docGrid w:linePitch="360"/>
        </w:sectPr>
      </w:pPr>
      <w:r>
        <w:rPr>
          <w:rFonts w:ascii="Arial" w:cs="Arial" w:eastAsia="Arial" w:hAnsi="Arial"/>
          <w:sz w:val="18"/>
          <w:szCs w:val="18"/>
        </w:rPr>
        <w:t xml:space="preserve">Nota. En la preprueba no existe agente de respuesta, por lo que los indicadores de la variable independiente se midieron únicamente en la posprueba; los indicadores de la variable dependiente se midieron en ambos momentos. El cuestionario de satisfacción y de calidad conversacional será sometido a validez de contenido por juicio de expertos y a confiabilidad mediante el coeficiente alfa de Cronbach antes de su aplicación.</w:t>
      </w:r>
    </w:p>
    <w:p>
      <w:pPr>
        <w:spacing w:after="240" w:before="0" w:line="360"/>
        <w:jc w:val="center"/>
      </w:pPr>
      <w:r>
        <w:rPr>
          <w:rFonts w:ascii="Arial" w:cs="Arial" w:eastAsia="Arial" w:hAnsi="Arial"/>
          <w:b/>
          <w:bCs/>
          <w:sz w:val="24"/>
          <w:szCs w:val="24"/>
        </w:rPr>
        <w:t xml:space="preserve">REFERENCIAS</w:t>
      </w:r>
    </w:p>
    <w:p>
      <w:pPr>
        <w:tabs>
          <w:tab w:val="left" w:pos="567"/>
        </w:tabs>
        <w:spacing w:after="120" w:before="0" w:line="360"/>
        <w:ind w:left="567" w:hanging="567"/>
      </w:pPr>
      <w:r>
        <w:rPr>
          <w:rFonts w:ascii="Arial" w:cs="Arial" w:eastAsia="Arial" w:hAnsi="Arial"/>
          <w:sz w:val="24"/>
          <w:szCs w:val="24"/>
        </w:rPr>
        <w:t xml:space="preserve">[3]</w:t>
      </w:r>
      <w:r>
        <w:rPr>
          <w:rFonts w:ascii="Arial" w:cs="Arial" w:eastAsia="Arial" w:hAnsi="Arial"/>
          <w:sz w:val="24"/>
          <w:szCs w:val="24"/>
        </w:rPr>
        <w:t xml:space="preserve">	</w:t>
      </w:r>
      <w:r>
        <w:rPr>
          <w:rFonts w:ascii="Arial" w:cs="Arial" w:eastAsia="Arial" w:hAnsi="Arial"/>
          <w:sz w:val="24"/>
          <w:szCs w:val="24"/>
        </w:rPr>
        <w:t xml:space="preserve">E. Brynjolfsson, D. Li y L. Raymond, “Generative AI at work,” </w:t>
      </w:r>
      <w:r>
        <w:rPr>
          <w:rFonts w:ascii="Arial" w:cs="Arial" w:eastAsia="Arial" w:hAnsi="Arial"/>
          <w:i/>
          <w:iCs/>
          <w:sz w:val="24"/>
          <w:szCs w:val="24"/>
        </w:rPr>
        <w:t xml:space="preserve">The Quarterly Journal of Economics</w:t>
      </w:r>
      <w:r>
        <w:rPr>
          <w:rFonts w:ascii="Arial" w:cs="Arial" w:eastAsia="Arial" w:hAnsi="Arial"/>
          <w:sz w:val="24"/>
          <w:szCs w:val="24"/>
        </w:rPr>
        <w:t xml:space="preserve">, vol. 140, no. 2, pp. 889–942, 2025, doi: 10.1093/qje/qjae044.</w:t>
      </w:r>
    </w:p>
    <w:p>
      <w:pPr>
        <w:tabs>
          <w:tab w:val="left" w:pos="567"/>
        </w:tabs>
        <w:spacing w:after="120" w:before="0" w:line="360"/>
        <w:ind w:left="567" w:hanging="567"/>
      </w:pPr>
      <w:r>
        <w:rPr>
          <w:rFonts w:ascii="Arial" w:cs="Arial" w:eastAsia="Arial" w:hAnsi="Arial"/>
          <w:sz w:val="24"/>
          <w:szCs w:val="24"/>
        </w:rPr>
        <w:t xml:space="preserve">[4]</w:t>
      </w:r>
      <w:r>
        <w:rPr>
          <w:rFonts w:ascii="Arial" w:cs="Arial" w:eastAsia="Arial" w:hAnsi="Arial"/>
          <w:sz w:val="24"/>
          <w:szCs w:val="24"/>
        </w:rPr>
        <w:t xml:space="preserve">	</w:t>
      </w:r>
      <w:r>
        <w:rPr>
          <w:rFonts w:ascii="Arial" w:cs="Arial" w:eastAsia="Arial" w:hAnsi="Arial"/>
          <w:sz w:val="24"/>
          <w:szCs w:val="24"/>
        </w:rPr>
        <w:t xml:space="preserve">C.-L. Hsu y J. C.-C. Lin, “Understanding the user satisfaction and loyalty of customer service chatbots,” </w:t>
      </w:r>
      <w:r>
        <w:rPr>
          <w:rFonts w:ascii="Arial" w:cs="Arial" w:eastAsia="Arial" w:hAnsi="Arial"/>
          <w:i/>
          <w:iCs/>
          <w:sz w:val="24"/>
          <w:szCs w:val="24"/>
        </w:rPr>
        <w:t xml:space="preserve">Journal of Retailing and Consumer Services</w:t>
      </w:r>
      <w:r>
        <w:rPr>
          <w:rFonts w:ascii="Arial" w:cs="Arial" w:eastAsia="Arial" w:hAnsi="Arial"/>
          <w:sz w:val="24"/>
          <w:szCs w:val="24"/>
        </w:rPr>
        <w:t xml:space="preserve">, vol. 71, art. no. 103211, 2023, doi: 10.1016/j.jretconser.2022.103211.</w:t>
      </w:r>
    </w:p>
    <w:p>
      <w:pPr>
        <w:tabs>
          <w:tab w:val="left" w:pos="567"/>
        </w:tabs>
        <w:spacing w:after="120" w:before="0" w:line="360"/>
        <w:ind w:left="567" w:hanging="567"/>
      </w:pPr>
      <w:r>
        <w:rPr>
          <w:rFonts w:ascii="Arial" w:cs="Arial" w:eastAsia="Arial" w:hAnsi="Arial"/>
          <w:sz w:val="24"/>
          <w:szCs w:val="24"/>
        </w:rPr>
        <w:t xml:space="preserve">[12]</w:t>
      </w:r>
      <w:r>
        <w:rPr>
          <w:rFonts w:ascii="Arial" w:cs="Arial" w:eastAsia="Arial" w:hAnsi="Arial"/>
          <w:sz w:val="24"/>
          <w:szCs w:val="24"/>
        </w:rPr>
        <w:t xml:space="preserve">	</w:t>
      </w:r>
      <w:r>
        <w:rPr>
          <w:rFonts w:ascii="Arial" w:cs="Arial" w:eastAsia="Arial" w:hAnsi="Arial"/>
          <w:sz w:val="24"/>
          <w:szCs w:val="24"/>
        </w:rPr>
        <w:t xml:space="preserve">C. Ledro, A. Nosella y A. Vinelli, “Artificial intelligence in customer relationship management: Literature review and future research directions,” </w:t>
      </w:r>
      <w:r>
        <w:rPr>
          <w:rFonts w:ascii="Arial" w:cs="Arial" w:eastAsia="Arial" w:hAnsi="Arial"/>
          <w:i/>
          <w:iCs/>
          <w:sz w:val="24"/>
          <w:szCs w:val="24"/>
        </w:rPr>
        <w:t xml:space="preserve">Journal of Business &amp; Industrial Marketing</w:t>
      </w:r>
      <w:r>
        <w:rPr>
          <w:rFonts w:ascii="Arial" w:cs="Arial" w:eastAsia="Arial" w:hAnsi="Arial"/>
          <w:sz w:val="24"/>
          <w:szCs w:val="24"/>
        </w:rPr>
        <w:t xml:space="preserve">, vol. 37, no. 13, pp. 48–63, 2022, doi: 10.1108/JBIM-07-2021-0332.</w:t>
      </w:r>
    </w:p>
    <w:p>
      <w:pPr>
        <w:tabs>
          <w:tab w:val="left" w:pos="567"/>
        </w:tabs>
        <w:spacing w:after="120" w:before="0" w:line="360"/>
        <w:ind w:left="567" w:hanging="567"/>
      </w:pPr>
      <w:r>
        <w:rPr>
          <w:rFonts w:ascii="Arial" w:cs="Arial" w:eastAsia="Arial" w:hAnsi="Arial"/>
          <w:sz w:val="24"/>
          <w:szCs w:val="24"/>
        </w:rPr>
        <w:t xml:space="preserve">[13]</w:t>
      </w:r>
      <w:r>
        <w:rPr>
          <w:rFonts w:ascii="Arial" w:cs="Arial" w:eastAsia="Arial" w:hAnsi="Arial"/>
          <w:sz w:val="24"/>
          <w:szCs w:val="24"/>
        </w:rPr>
        <w:t xml:space="preserve">	</w:t>
      </w:r>
      <w:r>
        <w:rPr>
          <w:rFonts w:ascii="Arial" w:cs="Arial" w:eastAsia="Arial" w:hAnsi="Arial"/>
          <w:sz w:val="24"/>
          <w:szCs w:val="24"/>
        </w:rPr>
        <w:t xml:space="preserve">D. Ozay, M. Jahanbakht, A. Shoomal y S. Wang, “Artificial intelligence (AI)-based customer relationship management (CRM): A comprehensive bibliometric and systematic literature review with outlook on future research,” </w:t>
      </w:r>
      <w:r>
        <w:rPr>
          <w:rFonts w:ascii="Arial" w:cs="Arial" w:eastAsia="Arial" w:hAnsi="Arial"/>
          <w:i/>
          <w:iCs/>
          <w:sz w:val="24"/>
          <w:szCs w:val="24"/>
        </w:rPr>
        <w:t xml:space="preserve">Enterprise Information Systems</w:t>
      </w:r>
      <w:r>
        <w:rPr>
          <w:rFonts w:ascii="Arial" w:cs="Arial" w:eastAsia="Arial" w:hAnsi="Arial"/>
          <w:sz w:val="24"/>
          <w:szCs w:val="24"/>
        </w:rPr>
        <w:t xml:space="preserve">, vol. 18, no. 7, art. no. 2351869, 2024, doi: 10.1080/17517575.2024.2351869.</w:t>
      </w:r>
    </w:p>
    <w:p>
      <w:pPr>
        <w:tabs>
          <w:tab w:val="left" w:pos="567"/>
        </w:tabs>
        <w:spacing w:after="120" w:before="0" w:line="360"/>
        <w:ind w:left="567" w:hanging="567"/>
      </w:pPr>
      <w:r>
        <w:rPr>
          <w:rFonts w:ascii="Arial" w:cs="Arial" w:eastAsia="Arial" w:hAnsi="Arial"/>
          <w:sz w:val="24"/>
          <w:szCs w:val="24"/>
        </w:rPr>
        <w:t xml:space="preserve">[14]</w:t>
      </w:r>
      <w:r>
        <w:rPr>
          <w:rFonts w:ascii="Arial" w:cs="Arial" w:eastAsia="Arial" w:hAnsi="Arial"/>
          <w:sz w:val="24"/>
          <w:szCs w:val="24"/>
        </w:rPr>
        <w:t xml:space="preserve">	</w:t>
      </w:r>
      <w:r>
        <w:rPr>
          <w:rFonts w:ascii="Arial" w:cs="Arial" w:eastAsia="Arial" w:hAnsi="Arial"/>
          <w:sz w:val="24"/>
          <w:szCs w:val="24"/>
        </w:rPr>
        <w:t xml:space="preserve">C. Ledro, A. Nosella, A. Vinelli, I. Dalla Pozza y T. Souverain, “Artificial intelligence in customer relationship management: A systematic framework for a successful integration,” </w:t>
      </w:r>
      <w:r>
        <w:rPr>
          <w:rFonts w:ascii="Arial" w:cs="Arial" w:eastAsia="Arial" w:hAnsi="Arial"/>
          <w:i/>
          <w:iCs/>
          <w:sz w:val="24"/>
          <w:szCs w:val="24"/>
        </w:rPr>
        <w:t xml:space="preserve">Journal of Business Research</w:t>
      </w:r>
      <w:r>
        <w:rPr>
          <w:rFonts w:ascii="Arial" w:cs="Arial" w:eastAsia="Arial" w:hAnsi="Arial"/>
          <w:sz w:val="24"/>
          <w:szCs w:val="24"/>
        </w:rPr>
        <w:t xml:space="preserve">, vol. 199, art. no. 115531, 2025, doi: 10.1016/j.jbusres.2025.115531.</w:t>
      </w:r>
    </w:p>
    <w:p>
      <w:pPr>
        <w:tabs>
          <w:tab w:val="left" w:pos="567"/>
        </w:tabs>
        <w:spacing w:after="120" w:before="0" w:line="360"/>
        <w:ind w:left="567" w:hanging="567"/>
      </w:pPr>
      <w:r>
        <w:rPr>
          <w:rFonts w:ascii="Arial" w:cs="Arial" w:eastAsia="Arial" w:hAnsi="Arial"/>
          <w:sz w:val="24"/>
          <w:szCs w:val="24"/>
        </w:rPr>
        <w:t xml:space="preserve">[15]</w:t>
      </w:r>
      <w:r>
        <w:rPr>
          <w:rFonts w:ascii="Arial" w:cs="Arial" w:eastAsia="Arial" w:hAnsi="Arial"/>
          <w:sz w:val="24"/>
          <w:szCs w:val="24"/>
        </w:rPr>
        <w:t xml:space="preserve">	</w:t>
      </w:r>
      <w:r>
        <w:rPr>
          <w:rFonts w:ascii="Arial" w:cs="Arial" w:eastAsia="Arial" w:hAnsi="Arial"/>
          <w:sz w:val="24"/>
          <w:szCs w:val="24"/>
        </w:rPr>
        <w:t xml:space="preserve">M. Chung, E. Ko, H. Joung y S. J. Kim, “Chatbot e-service and customer satisfaction regarding luxury brands,” </w:t>
      </w:r>
      <w:r>
        <w:rPr>
          <w:rFonts w:ascii="Arial" w:cs="Arial" w:eastAsia="Arial" w:hAnsi="Arial"/>
          <w:i/>
          <w:iCs/>
          <w:sz w:val="24"/>
          <w:szCs w:val="24"/>
        </w:rPr>
        <w:t xml:space="preserve">Journal of Business Research</w:t>
      </w:r>
      <w:r>
        <w:rPr>
          <w:rFonts w:ascii="Arial" w:cs="Arial" w:eastAsia="Arial" w:hAnsi="Arial"/>
          <w:sz w:val="24"/>
          <w:szCs w:val="24"/>
        </w:rPr>
        <w:t xml:space="preserve">, vol. 117, pp. 587–595, 2020, doi: 10.1016/j.jbusres.2018.10.004.</w:t>
      </w:r>
    </w:p>
    <w:p>
      <w:pPr>
        <w:tabs>
          <w:tab w:val="left" w:pos="567"/>
        </w:tabs>
        <w:spacing w:after="120" w:before="0" w:line="360"/>
        <w:ind w:left="567" w:hanging="567"/>
      </w:pPr>
      <w:r>
        <w:rPr>
          <w:rFonts w:ascii="Arial" w:cs="Arial" w:eastAsia="Arial" w:hAnsi="Arial"/>
          <w:sz w:val="24"/>
          <w:szCs w:val="24"/>
        </w:rPr>
        <w:t xml:space="preserve">[16]</w:t>
      </w:r>
      <w:r>
        <w:rPr>
          <w:rFonts w:ascii="Arial" w:cs="Arial" w:eastAsia="Arial" w:hAnsi="Arial"/>
          <w:sz w:val="24"/>
          <w:szCs w:val="24"/>
        </w:rPr>
        <w:t xml:space="preserve">	</w:t>
      </w:r>
      <w:r>
        <w:rPr>
          <w:rFonts w:ascii="Arial" w:cs="Arial" w:eastAsia="Arial" w:hAnsi="Arial"/>
          <w:sz w:val="24"/>
          <w:szCs w:val="24"/>
        </w:rPr>
        <w:t xml:space="preserve">J.-S. Chen, T.-T.-Y. Le y D. Florence, “Usability and responsiveness of artificial intelligence chatbot on online customer experience in e-retailing,” </w:t>
      </w:r>
      <w:r>
        <w:rPr>
          <w:rFonts w:ascii="Arial" w:cs="Arial" w:eastAsia="Arial" w:hAnsi="Arial"/>
          <w:i/>
          <w:iCs/>
          <w:sz w:val="24"/>
          <w:szCs w:val="24"/>
        </w:rPr>
        <w:t xml:space="preserve">International Journal of Retail &amp; Distribution Management</w:t>
      </w:r>
      <w:r>
        <w:rPr>
          <w:rFonts w:ascii="Arial" w:cs="Arial" w:eastAsia="Arial" w:hAnsi="Arial"/>
          <w:sz w:val="24"/>
          <w:szCs w:val="24"/>
        </w:rPr>
        <w:t xml:space="preserve">, vol. 49, no. 11, pp. 1512–1531, 2021, doi: 10.1108/IJRDM-08-2020-0312.</w:t>
      </w:r>
    </w:p>
    <w:p>
      <w:pPr>
        <w:tabs>
          <w:tab w:val="left" w:pos="567"/>
        </w:tabs>
        <w:spacing w:after="120" w:before="0" w:line="360"/>
        <w:ind w:left="567" w:hanging="567"/>
      </w:pPr>
      <w:r>
        <w:rPr>
          <w:rFonts w:ascii="Arial" w:cs="Arial" w:eastAsia="Arial" w:hAnsi="Arial"/>
          <w:sz w:val="24"/>
          <w:szCs w:val="24"/>
        </w:rPr>
        <w:t xml:space="preserve">[18]</w:t>
      </w:r>
      <w:r>
        <w:rPr>
          <w:rFonts w:ascii="Arial" w:cs="Arial" w:eastAsia="Arial" w:hAnsi="Arial"/>
          <w:sz w:val="24"/>
          <w:szCs w:val="24"/>
        </w:rPr>
        <w:t xml:space="preserve">	</w:t>
      </w:r>
      <w:r>
        <w:rPr>
          <w:rFonts w:ascii="Arial" w:cs="Arial" w:eastAsia="Arial" w:hAnsi="Arial"/>
          <w:sz w:val="24"/>
          <w:szCs w:val="24"/>
        </w:rPr>
        <w:t xml:space="preserve">M. Adam, M. Wessel y A. Benlian, “AI-based chatbots in customer service and their effects on user compliance,” </w:t>
      </w:r>
      <w:r>
        <w:rPr>
          <w:rFonts w:ascii="Arial" w:cs="Arial" w:eastAsia="Arial" w:hAnsi="Arial"/>
          <w:i/>
          <w:iCs/>
          <w:sz w:val="24"/>
          <w:szCs w:val="24"/>
        </w:rPr>
        <w:t xml:space="preserve">Electronic Markets</w:t>
      </w:r>
      <w:r>
        <w:rPr>
          <w:rFonts w:ascii="Arial" w:cs="Arial" w:eastAsia="Arial" w:hAnsi="Arial"/>
          <w:sz w:val="24"/>
          <w:szCs w:val="24"/>
        </w:rPr>
        <w:t xml:space="preserve">, vol. 31, no. 2, pp. 427–445, 2021, doi: 10.1007/s12525-020-00414-7.</w:t>
      </w:r>
    </w:p>
    <w:p>
      <w:pPr>
        <w:tabs>
          <w:tab w:val="left" w:pos="567"/>
        </w:tabs>
        <w:spacing w:after="120" w:before="0" w:line="360"/>
        <w:ind w:left="567" w:hanging="567"/>
      </w:pPr>
      <w:r>
        <w:rPr>
          <w:rFonts w:ascii="Arial" w:cs="Arial" w:eastAsia="Arial" w:hAnsi="Arial"/>
          <w:sz w:val="24"/>
          <w:szCs w:val="24"/>
        </w:rPr>
        <w:t xml:space="preserve">[19]</w:t>
      </w:r>
      <w:r>
        <w:rPr>
          <w:rFonts w:ascii="Arial" w:cs="Arial" w:eastAsia="Arial" w:hAnsi="Arial"/>
          <w:sz w:val="24"/>
          <w:szCs w:val="24"/>
        </w:rPr>
        <w:t xml:space="preserve">	</w:t>
      </w:r>
      <w:r>
        <w:rPr>
          <w:rFonts w:ascii="Arial" w:cs="Arial" w:eastAsia="Arial" w:hAnsi="Arial"/>
          <w:sz w:val="24"/>
          <w:szCs w:val="24"/>
        </w:rPr>
        <w:t xml:space="preserve">B. Sheehan, H. S. Jin y U. Gottlieb, “Customer service chatbots: Anthropomorphism and adoption,” </w:t>
      </w:r>
      <w:r>
        <w:rPr>
          <w:rFonts w:ascii="Arial" w:cs="Arial" w:eastAsia="Arial" w:hAnsi="Arial"/>
          <w:i/>
          <w:iCs/>
          <w:sz w:val="24"/>
          <w:szCs w:val="24"/>
        </w:rPr>
        <w:t xml:space="preserve">Journal of Business Research</w:t>
      </w:r>
      <w:r>
        <w:rPr>
          <w:rFonts w:ascii="Arial" w:cs="Arial" w:eastAsia="Arial" w:hAnsi="Arial"/>
          <w:sz w:val="24"/>
          <w:szCs w:val="24"/>
        </w:rPr>
        <w:t xml:space="preserve">, vol. 115, pp. 14–24, 2020, doi: 10.1016/j.jbusres.2020.04.030.</w:t>
      </w:r>
    </w:p>
    <w:p>
      <w:pPr>
        <w:tabs>
          <w:tab w:val="left" w:pos="567"/>
        </w:tabs>
        <w:spacing w:after="120" w:before="0" w:line="360"/>
        <w:ind w:left="567" w:hanging="567"/>
      </w:pPr>
      <w:r>
        <w:rPr>
          <w:rFonts w:ascii="Arial" w:cs="Arial" w:eastAsia="Arial" w:hAnsi="Arial"/>
          <w:sz w:val="24"/>
          <w:szCs w:val="24"/>
        </w:rPr>
        <w:t xml:space="preserve">[21]</w:t>
      </w:r>
      <w:r>
        <w:rPr>
          <w:rFonts w:ascii="Arial" w:cs="Arial" w:eastAsia="Arial" w:hAnsi="Arial"/>
          <w:sz w:val="24"/>
          <w:szCs w:val="24"/>
        </w:rPr>
        <w:t xml:space="preserve">	</w:t>
      </w:r>
      <w:r>
        <w:rPr>
          <w:rFonts w:ascii="Arial" w:cs="Arial" w:eastAsia="Arial" w:hAnsi="Arial"/>
          <w:sz w:val="24"/>
          <w:szCs w:val="24"/>
        </w:rPr>
        <w:t xml:space="preserve">C. V. Misischia, F. Poecze y C. Strauss, “Chatbots in customer service: Their relevance and impact on service quality,” </w:t>
      </w:r>
      <w:r>
        <w:rPr>
          <w:rFonts w:ascii="Arial" w:cs="Arial" w:eastAsia="Arial" w:hAnsi="Arial"/>
          <w:i/>
          <w:iCs/>
          <w:sz w:val="24"/>
          <w:szCs w:val="24"/>
        </w:rPr>
        <w:t xml:space="preserve">Procedia Computer Science</w:t>
      </w:r>
      <w:r>
        <w:rPr>
          <w:rFonts w:ascii="Arial" w:cs="Arial" w:eastAsia="Arial" w:hAnsi="Arial"/>
          <w:sz w:val="24"/>
          <w:szCs w:val="24"/>
        </w:rPr>
        <w:t xml:space="preserve">, vol. 201, pp. 421–428, 2022, doi: 10.1016/j.procs.2022.03.055.</w:t>
      </w:r>
    </w:p>
    <w:p>
      <w:pPr>
        <w:tabs>
          <w:tab w:val="left" w:pos="567"/>
        </w:tabs>
        <w:spacing w:after="120" w:before="0" w:line="360"/>
        <w:ind w:left="567" w:hanging="567"/>
      </w:pPr>
      <w:r>
        <w:rPr>
          <w:rFonts w:ascii="Arial" w:cs="Arial" w:eastAsia="Arial" w:hAnsi="Arial"/>
          <w:sz w:val="24"/>
          <w:szCs w:val="24"/>
        </w:rPr>
        <w:t xml:space="preserve">[23]</w:t>
      </w:r>
      <w:r>
        <w:rPr>
          <w:rFonts w:ascii="Arial" w:cs="Arial" w:eastAsia="Arial" w:hAnsi="Arial"/>
          <w:sz w:val="24"/>
          <w:szCs w:val="24"/>
        </w:rPr>
        <w:t xml:space="preserve">	</w:t>
      </w:r>
      <w:r>
        <w:rPr>
          <w:rFonts w:ascii="Arial" w:cs="Arial" w:eastAsia="Arial" w:hAnsi="Arial"/>
          <w:sz w:val="24"/>
          <w:szCs w:val="24"/>
        </w:rPr>
        <w:t xml:space="preserve">M. Madanchian, “The impact of artificial intelligence marketing on e-commerce sales,” </w:t>
      </w:r>
      <w:r>
        <w:rPr>
          <w:rFonts w:ascii="Arial" w:cs="Arial" w:eastAsia="Arial" w:hAnsi="Arial"/>
          <w:i/>
          <w:iCs/>
          <w:sz w:val="24"/>
          <w:szCs w:val="24"/>
        </w:rPr>
        <w:t xml:space="preserve">Systems</w:t>
      </w:r>
      <w:r>
        <w:rPr>
          <w:rFonts w:ascii="Arial" w:cs="Arial" w:eastAsia="Arial" w:hAnsi="Arial"/>
          <w:sz w:val="24"/>
          <w:szCs w:val="24"/>
        </w:rPr>
        <w:t xml:space="preserve">, vol. 12, no. 10, art. no. 429, 2024, doi: 10.3390/systems12100429.</w:t>
      </w:r>
    </w:p>
    <w:p>
      <w:pPr>
        <w:tabs>
          <w:tab w:val="left" w:pos="567"/>
        </w:tabs>
        <w:spacing w:after="120" w:before="0" w:line="360"/>
        <w:ind w:left="567" w:hanging="567"/>
      </w:pPr>
      <w:r>
        <w:rPr>
          <w:rFonts w:ascii="Arial" w:cs="Arial" w:eastAsia="Arial" w:hAnsi="Arial"/>
          <w:sz w:val="24"/>
          <w:szCs w:val="24"/>
        </w:rPr>
        <w:t xml:space="preserve">[25]</w:t>
      </w:r>
      <w:r>
        <w:rPr>
          <w:rFonts w:ascii="Arial" w:cs="Arial" w:eastAsia="Arial" w:hAnsi="Arial"/>
          <w:sz w:val="24"/>
          <w:szCs w:val="24"/>
        </w:rPr>
        <w:t xml:space="preserve">	</w:t>
      </w:r>
      <w:r>
        <w:rPr>
          <w:rFonts w:ascii="Arial" w:cs="Arial" w:eastAsia="Arial" w:hAnsi="Arial"/>
          <w:sz w:val="24"/>
          <w:szCs w:val="24"/>
        </w:rPr>
        <w:t xml:space="preserve">M.-H. Huang y R. T. Rust, “Artificial intelligence in service,” </w:t>
      </w:r>
      <w:r>
        <w:rPr>
          <w:rFonts w:ascii="Arial" w:cs="Arial" w:eastAsia="Arial" w:hAnsi="Arial"/>
          <w:i/>
          <w:iCs/>
          <w:sz w:val="24"/>
          <w:szCs w:val="24"/>
        </w:rPr>
        <w:t xml:space="preserve">Journal of Service Research</w:t>
      </w:r>
      <w:r>
        <w:rPr>
          <w:rFonts w:ascii="Arial" w:cs="Arial" w:eastAsia="Arial" w:hAnsi="Arial"/>
          <w:sz w:val="24"/>
          <w:szCs w:val="24"/>
        </w:rPr>
        <w:t xml:space="preserve">, vol. 21, no. 2, pp. 155–172, 2018, doi: 10.1177/1094670517752459.</w:t>
      </w:r>
    </w:p>
    <w:p>
      <w:pPr>
        <w:tabs>
          <w:tab w:val="left" w:pos="567"/>
        </w:tabs>
        <w:spacing w:after="120" w:before="0" w:line="360"/>
        <w:ind w:left="567" w:hanging="567"/>
      </w:pPr>
      <w:r>
        <w:rPr>
          <w:rFonts w:ascii="Arial" w:cs="Arial" w:eastAsia="Arial" w:hAnsi="Arial"/>
          <w:sz w:val="24"/>
          <w:szCs w:val="24"/>
        </w:rPr>
        <w:t xml:space="preserve">[26]</w:t>
      </w:r>
      <w:r>
        <w:rPr>
          <w:rFonts w:ascii="Arial" w:cs="Arial" w:eastAsia="Arial" w:hAnsi="Arial"/>
          <w:sz w:val="24"/>
          <w:szCs w:val="24"/>
        </w:rPr>
        <w:t xml:space="preserve">	</w:t>
      </w:r>
      <w:r>
        <w:rPr>
          <w:rFonts w:ascii="Arial" w:cs="Arial" w:eastAsia="Arial" w:hAnsi="Arial"/>
          <w:sz w:val="24"/>
          <w:szCs w:val="24"/>
        </w:rPr>
        <w:t xml:space="preserve">F. D. Davis, “Perceived usefulness, perceived ease of use, and user acceptance of information technology,” </w:t>
      </w:r>
      <w:r>
        <w:rPr>
          <w:rFonts w:ascii="Arial" w:cs="Arial" w:eastAsia="Arial" w:hAnsi="Arial"/>
          <w:i/>
          <w:iCs/>
          <w:sz w:val="24"/>
          <w:szCs w:val="24"/>
        </w:rPr>
        <w:t xml:space="preserve">MIS Quarterly</w:t>
      </w:r>
      <w:r>
        <w:rPr>
          <w:rFonts w:ascii="Arial" w:cs="Arial" w:eastAsia="Arial" w:hAnsi="Arial"/>
          <w:sz w:val="24"/>
          <w:szCs w:val="24"/>
        </w:rPr>
        <w:t xml:space="preserve">, vol. 13, no. 3, pp. 319–340, 1989, doi: 10.2307/249008.</w:t>
      </w:r>
    </w:p>
    <w:p>
      <w:pPr>
        <w:tabs>
          <w:tab w:val="left" w:pos="567"/>
        </w:tabs>
        <w:spacing w:after="120" w:before="0" w:line="360"/>
        <w:ind w:left="567" w:hanging="567"/>
      </w:pPr>
      <w:r>
        <w:rPr>
          <w:rFonts w:ascii="Arial" w:cs="Arial" w:eastAsia="Arial" w:hAnsi="Arial"/>
          <w:sz w:val="24"/>
          <w:szCs w:val="24"/>
        </w:rPr>
        <w:t xml:space="preserve">[27]</w:t>
      </w:r>
      <w:r>
        <w:rPr>
          <w:rFonts w:ascii="Arial" w:cs="Arial" w:eastAsia="Arial" w:hAnsi="Arial"/>
          <w:sz w:val="24"/>
          <w:szCs w:val="24"/>
        </w:rPr>
        <w:t xml:space="preserve">	</w:t>
      </w:r>
      <w:r>
        <w:rPr>
          <w:rFonts w:ascii="Arial" w:cs="Arial" w:eastAsia="Arial" w:hAnsi="Arial"/>
          <w:sz w:val="24"/>
          <w:szCs w:val="24"/>
        </w:rPr>
        <w:t xml:space="preserve">W. H. DeLone y E. R. McLean, “The DeLone and McLean model of information systems success: A ten-year update,” </w:t>
      </w:r>
      <w:r>
        <w:rPr>
          <w:rFonts w:ascii="Arial" w:cs="Arial" w:eastAsia="Arial" w:hAnsi="Arial"/>
          <w:i/>
          <w:iCs/>
          <w:sz w:val="24"/>
          <w:szCs w:val="24"/>
        </w:rPr>
        <w:t xml:space="preserve">Journal of Management Information Systems</w:t>
      </w:r>
      <w:r>
        <w:rPr>
          <w:rFonts w:ascii="Arial" w:cs="Arial" w:eastAsia="Arial" w:hAnsi="Arial"/>
          <w:sz w:val="24"/>
          <w:szCs w:val="24"/>
        </w:rPr>
        <w:t xml:space="preserve">, vol. 19, no. 4, pp. 9–30, 2003, doi: 10.1080/07421222.2003.11045748.</w:t>
      </w:r>
    </w:p>
    <w:p>
      <w:pPr>
        <w:tabs>
          <w:tab w:val="left" w:pos="567"/>
        </w:tabs>
        <w:spacing w:after="120" w:before="0" w:line="360"/>
        <w:ind w:left="567" w:hanging="567"/>
      </w:pPr>
      <w:r>
        <w:rPr>
          <w:rFonts w:ascii="Arial" w:cs="Arial" w:eastAsia="Arial" w:hAnsi="Arial"/>
          <w:sz w:val="24"/>
          <w:szCs w:val="24"/>
        </w:rPr>
        <w:t xml:space="preserve">[28]</w:t>
      </w:r>
      <w:r>
        <w:rPr>
          <w:rFonts w:ascii="Arial" w:cs="Arial" w:eastAsia="Arial" w:hAnsi="Arial"/>
          <w:sz w:val="24"/>
          <w:szCs w:val="24"/>
        </w:rPr>
        <w:t xml:space="preserve">	</w:t>
      </w:r>
      <w:r>
        <w:rPr>
          <w:rFonts w:ascii="Arial" w:cs="Arial" w:eastAsia="Arial" w:hAnsi="Arial"/>
          <w:sz w:val="24"/>
          <w:szCs w:val="24"/>
        </w:rPr>
        <w:t xml:space="preserve">Instituto Nacional de Estadística e Informática, </w:t>
      </w:r>
      <w:r>
        <w:rPr>
          <w:rFonts w:ascii="Arial" w:cs="Arial" w:eastAsia="Arial" w:hAnsi="Arial"/>
          <w:i/>
          <w:iCs/>
          <w:sz w:val="24"/>
          <w:szCs w:val="24"/>
        </w:rPr>
        <w:t xml:space="preserve">Perú: Tecnologías de Información y Comunicación en las Empresas, 2023</w:t>
      </w:r>
      <w:r>
        <w:rPr>
          <w:rFonts w:ascii="Arial" w:cs="Arial" w:eastAsia="Arial" w:hAnsi="Arial"/>
          <w:sz w:val="24"/>
          <w:szCs w:val="24"/>
        </w:rPr>
        <w:t xml:space="preserve">. Lima, Perú: INEI, mar. 2026. [En línea]. Disponible en: https://www.gob.pe/institucion/inei/informes-publicaciones/7820458-peru-tecnologias-de-informacion-y-comunicacion-en-las-empresas-2023</w:t>
      </w:r>
    </w:p>
    <w:p>
      <w:pPr>
        <w:tabs>
          <w:tab w:val="left" w:pos="567"/>
        </w:tabs>
        <w:spacing w:after="120" w:before="0" w:line="360"/>
        <w:ind w:left="567" w:hanging="567"/>
      </w:pPr>
      <w:r>
        <w:rPr>
          <w:rFonts w:ascii="Arial" w:cs="Arial" w:eastAsia="Arial" w:hAnsi="Arial"/>
          <w:sz w:val="24"/>
          <w:szCs w:val="24"/>
        </w:rPr>
        <w:t xml:space="preserve">[34]</w:t>
      </w:r>
      <w:r>
        <w:rPr>
          <w:rFonts w:ascii="Arial" w:cs="Arial" w:eastAsia="Arial" w:hAnsi="Arial"/>
          <w:sz w:val="24"/>
          <w:szCs w:val="24"/>
        </w:rPr>
        <w:t xml:space="preserve">	</w:t>
      </w:r>
      <w:r>
        <w:rPr>
          <w:rFonts w:ascii="Arial" w:cs="Arial" w:eastAsia="Arial" w:hAnsi="Arial"/>
          <w:sz w:val="24"/>
          <w:szCs w:val="24"/>
        </w:rPr>
        <w:t xml:space="preserve">N. R. Bravo Maruri, A. G. Ramirez Reina, F. R. Orozco Lara y M. P. Espinoza Martínez, “Automatización del soporte al cliente mediante un chatbot con IA integrado al CRM: caso de estudio empresa EDITRATECH,” </w:t>
      </w:r>
      <w:r>
        <w:rPr>
          <w:rFonts w:ascii="Arial" w:cs="Arial" w:eastAsia="Arial" w:hAnsi="Arial"/>
          <w:i/>
          <w:iCs/>
          <w:sz w:val="24"/>
          <w:szCs w:val="24"/>
        </w:rPr>
        <w:t xml:space="preserve">GADE: Revista Científica</w:t>
      </w:r>
      <w:r>
        <w:rPr>
          <w:rFonts w:ascii="Arial" w:cs="Arial" w:eastAsia="Arial" w:hAnsi="Arial"/>
          <w:sz w:val="24"/>
          <w:szCs w:val="24"/>
        </w:rPr>
        <w:t xml:space="preserve">, vol. 5, no. 3, pp. 206–219, 2025, doi: 10.63549/rg.v5i3.705.</w:t>
      </w:r>
    </w:p>
    <w:sectPr>
      <w:footerReference w:type="default" r:id="rId8"/>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4"/>
        <w:szCs w:val="24"/>
      </w:rPr>
      <w:fldChar w:fldCharType="begin"/>
    </w:r>
    <w:r>
      <w:rPr>
        <w:rFonts w:ascii="Arial" w:cs="Arial" w:eastAsia="Arial" w:hAnsi="Arial"/>
        <w:sz w:val="24"/>
        <w:szCs w:val="24"/>
      </w:rPr>
      <w:instrText xml:space="preserve">PAGE</w:instrText>
    </w:r>
    <w:r>
      <w:rPr>
        <w:rFonts w:ascii="Arial" w:cs="Arial" w:eastAsia="Arial" w:hAnsi="Arial"/>
        <w:sz w:val="24"/>
        <w:szCs w:val="24"/>
      </w:rPr>
      <w:fldChar w:fldCharType="separate"/>
    </w:r>
    <w:r>
      <w:rPr>
        <w:rFonts w:ascii="Arial" w:cs="Arial" w:eastAsia="Arial" w:hAnsi="Arial"/>
        <w:sz w:val="24"/>
        <w:szCs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4"/>
        <w:szCs w:val="24"/>
      </w:rPr>
      <w:fldChar w:fldCharType="begin"/>
    </w:r>
    <w:r>
      <w:rPr>
        <w:rFonts w:ascii="Arial" w:cs="Arial" w:eastAsia="Arial" w:hAnsi="Arial"/>
        <w:sz w:val="24"/>
        <w:szCs w:val="24"/>
      </w:rPr>
      <w:instrText xml:space="preserve">PAGE</w:instrText>
    </w:r>
    <w:r>
      <w:rPr>
        <w:rFonts w:ascii="Arial" w:cs="Arial" w:eastAsia="Arial" w:hAnsi="Arial"/>
        <w:sz w:val="24"/>
        <w:szCs w:val="24"/>
      </w:rPr>
      <w:fldChar w:fldCharType="separate"/>
    </w:r>
    <w:r>
      <w:rPr>
        <w:rFonts w:ascii="Arial" w:cs="Arial" w:eastAsia="Arial" w:hAnsi="Arial"/>
        <w:sz w:val="24"/>
        <w:szCs w:val="24"/>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4"/>
        <w:szCs w:val="24"/>
      </w:rPr>
      <w:fldChar w:fldCharType="begin"/>
    </w:r>
    <w:r>
      <w:rPr>
        <w:rFonts w:ascii="Arial" w:cs="Arial" w:eastAsia="Arial" w:hAnsi="Arial"/>
        <w:sz w:val="24"/>
        <w:szCs w:val="24"/>
      </w:rPr>
      <w:instrText xml:space="preserve">PAGE</w:instrText>
    </w:r>
    <w:r>
      <w:rPr>
        <w:rFonts w:ascii="Arial" w:cs="Arial" w:eastAsia="Arial" w:hAnsi="Arial"/>
        <w:sz w:val="24"/>
        <w:szCs w:val="24"/>
      </w:rPr>
      <w:fldChar w:fldCharType="separate"/>
    </w:r>
    <w:r>
      <w:rPr>
        <w:rFonts w:ascii="Arial" w:cs="Arial" w:eastAsia="Arial" w:hAnsi="Arial"/>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2026-10-20T04:51:07.087Z</dcterms:created>
  <dcterms:modified xsi:type="dcterms:W3CDTF">2026-10-20T04:51:07.088Z</dcterms:modified>
</cp:coreProperties>
</file>

<file path=docProps/custom.xml><?xml version="1.0" encoding="utf-8"?>
<Properties xmlns="http://schemas.openxmlformats.org/officeDocument/2006/custom-properties" xmlns:vt="http://schemas.openxmlformats.org/officeDocument/2006/docPropsVTypes"/>
</file>