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360"/>
        <w:jc w:val="center"/>
      </w:pPr>
      <w:r>
        <w:rPr>
          <w:rFonts w:ascii="Arial" w:cs="Arial" w:eastAsia="Arial" w:hAnsi="Arial"/>
          <w:b/>
          <w:bCs/>
          <w:sz w:val="24"/>
          <w:szCs w:val="24"/>
        </w:rPr>
        <w:t xml:space="preserve">CAPÍTULO IV. REVISIÓN DE LITERATURA</w:t>
      </w:r>
    </w:p>
    <w:p>
      <w:pPr>
        <w:spacing w:after="0" w:before="0" w:line="360"/>
        <w:ind w:firstLine="709"/>
        <w:jc w:val="both"/>
      </w:pPr>
      <w:r>
        <w:rPr>
          <w:rFonts w:ascii="Arial" w:cs="Arial" w:eastAsia="Arial" w:hAnsi="Arial"/>
          <w:sz w:val="24"/>
          <w:szCs w:val="24"/>
        </w:rPr>
        <w:t xml:space="preserve">La revisión de literatura tuvo como propósito identificar qué se investigó previamente sobre la implementación de agentes de respuesta basados en inteligencia artificial para la atención al cliente y las ventas, qué sostienen las teorías y los estudios recientes, y qué vacíos persisten que la presente investigación puede atender. Para ello, se diseñó una estrategia de búsqueda reproducible, se definieron criterios de selección, se estableció un protocolo de tipo PRISMA y se organizaron los estudios en una matriz, una síntesis temática y un marco de antecedentes.</w:t>
      </w:r>
    </w:p>
    <w:p>
      <w:pPr>
        <w:keepNext/>
        <w:spacing w:after="120" w:before="240" w:line="360"/>
      </w:pPr>
      <w:r>
        <w:rPr>
          <w:rFonts w:ascii="Arial" w:cs="Arial" w:eastAsia="Arial" w:hAnsi="Arial"/>
          <w:b/>
          <w:bCs/>
          <w:sz w:val="24"/>
          <w:szCs w:val="24"/>
        </w:rPr>
        <w:t xml:space="preserve">4.1. Ecuaciones de búsqueda</w:t>
      </w:r>
    </w:p>
    <w:p>
      <w:pPr>
        <w:spacing w:after="0" w:before="0" w:line="360"/>
        <w:ind w:firstLine="709"/>
        <w:jc w:val="both"/>
      </w:pPr>
      <w:r>
        <w:rPr>
          <w:rFonts w:ascii="Arial" w:cs="Arial" w:eastAsia="Arial" w:hAnsi="Arial"/>
          <w:sz w:val="24"/>
          <w:szCs w:val="24"/>
        </w:rPr>
        <w:t xml:space="preserve">La estrategia de búsqueda se construyó a partir de tres bloques conceptuales, combinados con el operador AND: la tecnología (agente conversacional basado en inteligencia artificial), el proceso (atención al cliente y ventas) y el sistema (gestión de relaciones con clientes). Dentro de cada bloque, los sinónimos se combinaron con el operador OR, y el operador NOT se utilizó para excluir dominios ajenos al estudio, como salud y educación. El rango temporal se fijó entre 2019 y 2026, y se consideraron publicaciones en inglés, español y portugués.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7070"/>
      </w:tblGrid>
      <w:tr>
        <w:trPr>
          <w:cantSplit/>
          <w:tblHeader/>
        </w:trPr>
        <w:tc>
          <w:tcPr>
            <w:tcW w:type="dxa" w:w="20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Bloque</w:t>
            </w:r>
          </w:p>
        </w:tc>
        <w:tc>
          <w:tcPr>
            <w:tcW w:type="dxa" w:w="70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Términos y sinónimos</w:t>
            </w:r>
          </w:p>
        </w:tc>
      </w:tr>
      <w:tr>
        <w:trPr>
          <w:cantSplit/>
          <w:tblHeader w:val="off"/>
        </w:trPr>
        <w:tc>
          <w:tcPr>
            <w:tcW w:type="dxa" w:w="20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Tecnología</w:t>
            </w:r>
          </w:p>
        </w:tc>
        <w:tc>
          <w:tcPr>
            <w:tcW w:type="dxa" w:w="7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"chatbot</w:t>
            </w:r>
            <w:r>
              <w:rPr>
                <w:rFonts w:ascii="Arial" w:cs="Arial" w:eastAsia="Arial" w:hAnsi="Arial"/>
                <w:i/>
                <w:iCs/>
                <w:sz w:val="20"/>
                <w:szCs w:val="20"/>
              </w:rPr>
              <w:t xml:space="preserve">" OR "conversational agent</w:t>
            </w:r>
            <w:r>
              <w:rPr>
                <w:rFonts w:ascii="Arial" w:cs="Arial" w:eastAsia="Arial" w:hAnsi="Arial"/>
                <w:sz w:val="20"/>
                <w:szCs w:val="20"/>
              </w:rPr>
              <w:t xml:space="preserve">" OR "virtual assistant</w:t>
            </w:r>
            <w:r>
              <w:rPr>
                <w:rFonts w:ascii="Arial" w:cs="Arial" w:eastAsia="Arial" w:hAnsi="Arial"/>
                <w:i/>
                <w:iCs/>
                <w:sz w:val="20"/>
                <w:szCs w:val="20"/>
              </w:rPr>
              <w:t xml:space="preserve">" OR "conversational AI" OR "generative AI" OR "large language model</w:t>
            </w:r>
            <w:r>
              <w:rPr>
                <w:rFonts w:ascii="Arial" w:cs="Arial" w:eastAsia="Arial" w:hAnsi="Arial"/>
                <w:sz w:val="20"/>
                <w:szCs w:val="20"/>
              </w:rPr>
              <w:t xml:space="preserve">" OR "agente conversacional" OR "asistente virtual" OR "inteligencia artificial"</w:t>
            </w:r>
          </w:p>
        </w:tc>
      </w:tr>
      <w:tr>
        <w:trPr>
          <w:cantSplit/>
          <w:tblHeader w:val="off"/>
        </w:trPr>
        <w:tc>
          <w:tcPr>
            <w:tcW w:type="dxa" w:w="20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Proceso</w:t>
            </w:r>
          </w:p>
        </w:tc>
        <w:tc>
          <w:tcPr>
            <w:tcW w:type="dxa" w:w="7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"customer service" OR "customer support" OR "customer care" OR "customer satisfaction" OR "sales" OR "conversion" OR "purchase*" OR "atención al cliente" OR "servicio al cliente" OR "ventas"</w:t>
            </w:r>
          </w:p>
        </w:tc>
      </w:tr>
      <w:tr>
        <w:trPr>
          <w:cantSplit/>
          <w:tblHeader w:val="off"/>
        </w:trPr>
        <w:tc>
          <w:tcPr>
            <w:tcW w:type="dxa" w:w="20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Sistema</w:t>
            </w:r>
          </w:p>
        </w:tc>
        <w:tc>
          <w:tcPr>
            <w:tcW w:type="dxa" w:w="7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"customer relationship management" OR "CRM" OR "gestión de relaciones con clientes"</w:t>
            </w:r>
          </w:p>
        </w:tc>
      </w:tr>
      <w:tr>
        <w:trPr>
          <w:cantSplit/>
          <w:tblHeader w:val="off"/>
        </w:trPr>
        <w:tc>
          <w:tcPr>
            <w:tcW w:type="dxa" w:w="20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Exclusión</w:t>
            </w:r>
          </w:p>
        </w:tc>
        <w:tc>
          <w:tcPr>
            <w:tcW w:type="dxa" w:w="7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"health</w:t>
            </w:r>
            <w:r>
              <w:rPr>
                <w:rFonts w:ascii="Arial" w:cs="Arial" w:eastAsia="Arial" w:hAnsi="Arial"/>
                <w:i/>
                <w:iCs/>
                <w:sz w:val="20"/>
                <w:szCs w:val="20"/>
              </w:rPr>
              <w:t xml:space="preserve">" OR "medical" OR "patient</w:t>
            </w:r>
            <w:r>
              <w:rPr>
                <w:rFonts w:ascii="Arial" w:cs="Arial" w:eastAsia="Arial" w:hAnsi="Arial"/>
                <w:sz w:val="20"/>
                <w:szCs w:val="20"/>
              </w:rPr>
              <w:t xml:space="preserve">" OR "education</w:t>
            </w:r>
            <w:r>
              <w:rPr>
                <w:rFonts w:ascii="Arial" w:cs="Arial" w:eastAsia="Arial" w:hAnsi="Arial"/>
                <w:i/>
                <w:iCs/>
                <w:sz w:val="20"/>
                <w:szCs w:val="20"/>
              </w:rPr>
              <w:t xml:space="preserve">" OR "student</w:t>
            </w:r>
            <w:r>
              <w:rPr>
                <w:rFonts w:ascii="Arial" w:cs="Arial" w:eastAsia="Arial" w:hAnsi="Arial"/>
                <w:sz w:val="20"/>
                <w:szCs w:val="20"/>
              </w:rPr>
              <w:t xml:space="preserve">"</w:t>
            </w:r>
          </w:p>
        </w:tc>
      </w:tr>
    </w:tbl>
    <w:p>
      <w:pPr>
        <w:spacing w:after="120"/>
      </w:pP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7270"/>
      </w:tblGrid>
      <w:tr>
        <w:trPr>
          <w:cantSplit/>
          <w:tblHeader/>
        </w:trPr>
        <w:tc>
          <w:tcPr>
            <w:tcW w:type="dxa" w:w="18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Base de datos</w:t>
            </w:r>
          </w:p>
        </w:tc>
        <w:tc>
          <w:tcPr>
            <w:tcW w:type="dxa" w:w="72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Ecuación de búsqueda</w:t>
            </w:r>
          </w:p>
        </w:tc>
      </w:tr>
      <w:tr>
        <w:trPr>
          <w:cantSplit/>
          <w:tblHeader w:val="off"/>
        </w:trPr>
        <w:tc>
          <w:tcPr>
            <w:tcW w:type="dxa" w:w="18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Scopus</w:t>
            </w:r>
          </w:p>
        </w:tc>
        <w:tc>
          <w:tcPr>
            <w:tcW w:type="dxa" w:w="72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TITLE-ABS-KEY ( ( "chatbot</w:t>
            </w:r>
            <w:r>
              <w:rPr>
                <w:rFonts w:ascii="Arial" w:cs="Arial" w:eastAsia="Arial" w:hAnsi="Arial"/>
                <w:i/>
                <w:iCs/>
                <w:sz w:val="20"/>
                <w:szCs w:val="20"/>
              </w:rPr>
              <w:t xml:space="preserve">" OR "conversational agent</w:t>
            </w:r>
            <w:r>
              <w:rPr>
                <w:rFonts w:ascii="Arial" w:cs="Arial" w:eastAsia="Arial" w:hAnsi="Arial"/>
                <w:sz w:val="20"/>
                <w:szCs w:val="20"/>
              </w:rPr>
              <w:t xml:space="preserve">" OR "virtual assistant</w:t>
            </w:r>
            <w:r>
              <w:rPr>
                <w:rFonts w:ascii="Arial" w:cs="Arial" w:eastAsia="Arial" w:hAnsi="Arial"/>
                <w:i/>
                <w:iCs/>
                <w:sz w:val="20"/>
                <w:szCs w:val="20"/>
              </w:rPr>
              <w:t xml:space="preserve">" OR "conversational AI" OR "generative AI" OR "large language model</w:t>
            </w:r>
            <w:r>
              <w:rPr>
                <w:rFonts w:ascii="Arial" w:cs="Arial" w:eastAsia="Arial" w:hAnsi="Arial"/>
                <w:sz w:val="20"/>
                <w:szCs w:val="20"/>
              </w:rPr>
              <w:t xml:space="preserve">" ) AND ( "customer service" OR "customer support" OR "customer satisfaction" OR "sales" OR "conversion" OR "purchase</w:t>
            </w:r>
            <w:r>
              <w:rPr>
                <w:rFonts w:ascii="Arial" w:cs="Arial" w:eastAsia="Arial" w:hAnsi="Arial"/>
                <w:i/>
                <w:iCs/>
                <w:sz w:val="20"/>
                <w:szCs w:val="20"/>
              </w:rPr>
              <w:t xml:space="preserve">" ) ) AND NOT TITLE-ABS-KEY ( "health</w:t>
            </w:r>
            <w:r>
              <w:rPr>
                <w:rFonts w:ascii="Arial" w:cs="Arial" w:eastAsia="Arial" w:hAnsi="Arial"/>
                <w:sz w:val="20"/>
                <w:szCs w:val="20"/>
              </w:rPr>
              <w:t xml:space="preserve">" OR "medical" OR "patient</w:t>
            </w:r>
            <w:r>
              <w:rPr>
                <w:rFonts w:ascii="Arial" w:cs="Arial" w:eastAsia="Arial" w:hAnsi="Arial"/>
                <w:i/>
                <w:iCs/>
                <w:sz w:val="20"/>
                <w:szCs w:val="20"/>
              </w:rPr>
              <w:t xml:space="preserve">" OR "education</w:t>
            </w:r>
            <w:r>
              <w:rPr>
                <w:rFonts w:ascii="Arial" w:cs="Arial" w:eastAsia="Arial" w:hAnsi="Arial"/>
                <w:sz w:val="20"/>
                <w:szCs w:val="20"/>
              </w:rPr>
              <w:t xml:space="preserve">" OR "student*" ) AND PUBYEAR &gt; 2018 AND PUBYEAR &lt; 2027 AND ( LIMIT-TO ( DOCTYPE , "ar" ) OR LIMIT-TO ( DOCTYPE , "re" ) ) AND ( LIMIT-TO ( LANGUAGE , "English" ) OR LIMIT-TO ( LANGUAGE , "Spanish" ) OR LIMIT-TO ( LANGUAGE , "Portuguese" ) )</w:t>
            </w:r>
          </w:p>
        </w:tc>
      </w:tr>
      <w:tr>
        <w:trPr>
          <w:cantSplit/>
          <w:tblHeader w:val="off"/>
        </w:trPr>
        <w:tc>
          <w:tcPr>
            <w:tcW w:type="dxa" w:w="18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Scopus (búsqueda focalizada en el sistema)</w:t>
            </w:r>
          </w:p>
        </w:tc>
        <w:tc>
          <w:tcPr>
            <w:tcW w:type="dxa" w:w="72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TITLE-ABS-KEY ( ( "chatbot</w:t>
            </w:r>
            <w:r>
              <w:rPr>
                <w:rFonts w:ascii="Arial" w:cs="Arial" w:eastAsia="Arial" w:hAnsi="Arial"/>
                <w:i/>
                <w:iCs/>
                <w:sz w:val="20"/>
                <w:szCs w:val="20"/>
              </w:rPr>
              <w:t xml:space="preserve">" OR "conversational agent</w:t>
            </w:r>
            <w:r>
              <w:rPr>
                <w:rFonts w:ascii="Arial" w:cs="Arial" w:eastAsia="Arial" w:hAnsi="Arial"/>
                <w:sz w:val="20"/>
                <w:szCs w:val="20"/>
              </w:rPr>
              <w:t xml:space="preserve">" OR "artificial intelligence" ) AND ( "customer relationship management" OR "CRM" ) ) AND PUBYEAR &gt; 2018 AND PUBYEAR &lt; 2027</w:t>
            </w:r>
          </w:p>
        </w:tc>
      </w:tr>
      <w:tr>
        <w:trPr>
          <w:cantSplit/>
          <w:tblHeader w:val="off"/>
        </w:trPr>
        <w:tc>
          <w:tcPr>
            <w:tcW w:type="dxa" w:w="18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Web of Science</w:t>
            </w:r>
          </w:p>
        </w:tc>
        <w:tc>
          <w:tcPr>
            <w:tcW w:type="dxa" w:w="72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TS=( ("chatbot</w:t>
            </w:r>
            <w:r>
              <w:rPr>
                <w:rFonts w:ascii="Arial" w:cs="Arial" w:eastAsia="Arial" w:hAnsi="Arial"/>
                <w:i/>
                <w:iCs/>
                <w:sz w:val="20"/>
                <w:szCs w:val="20"/>
              </w:rPr>
              <w:t xml:space="preserve">" OR "conversational agent</w:t>
            </w:r>
            <w:r>
              <w:rPr>
                <w:rFonts w:ascii="Arial" w:cs="Arial" w:eastAsia="Arial" w:hAnsi="Arial"/>
                <w:sz w:val="20"/>
                <w:szCs w:val="20"/>
              </w:rPr>
              <w:t xml:space="preserve">" OR "virtual assistant</w:t>
            </w:r>
            <w:r>
              <w:rPr>
                <w:rFonts w:ascii="Arial" w:cs="Arial" w:eastAsia="Arial" w:hAnsi="Arial"/>
                <w:i/>
                <w:iCs/>
                <w:sz w:val="20"/>
                <w:szCs w:val="20"/>
              </w:rPr>
              <w:t xml:space="preserve">" OR "conversational AI" OR "generative AI" OR "large language model</w:t>
            </w:r>
            <w:r>
              <w:rPr>
                <w:rFonts w:ascii="Arial" w:cs="Arial" w:eastAsia="Arial" w:hAnsi="Arial"/>
                <w:sz w:val="20"/>
                <w:szCs w:val="20"/>
              </w:rPr>
              <w:t xml:space="preserve">") AND ("customer service" OR "customer support" OR "customer satisfaction" OR "sales" OR "conversion" OR "purchase</w:t>
            </w:r>
            <w:r>
              <w:rPr>
                <w:rFonts w:ascii="Arial" w:cs="Arial" w:eastAsia="Arial" w:hAnsi="Arial"/>
                <w:i/>
                <w:iCs/>
                <w:sz w:val="20"/>
                <w:szCs w:val="20"/>
              </w:rPr>
              <w:t xml:space="preserve">") NOT ("health</w:t>
            </w:r>
            <w:r>
              <w:rPr>
                <w:rFonts w:ascii="Arial" w:cs="Arial" w:eastAsia="Arial" w:hAnsi="Arial"/>
                <w:sz w:val="20"/>
                <w:szCs w:val="20"/>
              </w:rPr>
              <w:t xml:space="preserve">" OR "medical" OR "patient</w:t>
            </w:r>
            <w:r>
              <w:rPr>
                <w:rFonts w:ascii="Arial" w:cs="Arial" w:eastAsia="Arial" w:hAnsi="Arial"/>
                <w:i/>
                <w:iCs/>
                <w:sz w:val="20"/>
                <w:szCs w:val="20"/>
              </w:rPr>
              <w:t xml:space="preserve">" OR "education</w:t>
            </w:r>
            <w:r>
              <w:rPr>
                <w:rFonts w:ascii="Arial" w:cs="Arial" w:eastAsia="Arial" w:hAnsi="Arial"/>
                <w:sz w:val="20"/>
                <w:szCs w:val="20"/>
              </w:rPr>
              <w:t xml:space="preserve">" OR "student*") ). Filtros: años de publicación 2019–2026; tipo de documento: artículo y artículo de revisión; idiomas: inglés, español y portugués</w:t>
            </w:r>
          </w:p>
        </w:tc>
      </w:tr>
      <w:tr>
        <w:trPr>
          <w:cantSplit/>
          <w:tblHeader w:val="off"/>
        </w:trPr>
        <w:tc>
          <w:tcPr>
            <w:tcW w:type="dxa" w:w="18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Google Scholar</w:t>
            </w:r>
          </w:p>
        </w:tc>
        <w:tc>
          <w:tcPr>
            <w:tcW w:type="dxa" w:w="72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("chatbot" OR "agente conversacional" OR "asistente virtual") ("atención al cliente" OR "ventas") ("inteligencia artificial" OR "CRM") Perú. Filtro: intervalo personalizado 2019–2026; revisión de las primeras 100 entradas ordenadas por relevancia</w:t>
            </w:r>
          </w:p>
        </w:tc>
      </w:tr>
      <w:tr>
        <w:trPr>
          <w:cantSplit/>
          <w:tblHeader w:val="off"/>
        </w:trPr>
        <w:tc>
          <w:tcPr>
            <w:tcW w:type="dxa" w:w="1800"/>
            <w:tcBorders>
              <w:top w:val="single" w:color="595959" w:sz="6"/>
              <w:left w:val="single" w:color="595959" w:sz="6"/>
              <w:bottom w:val="single" w:color="595959" w:sz="6"/>
              <w:right w:val="single" w:color="595959" w:sz="6"/>
            </w:tcBorders>
            <w:shd w:fill="F2F2F2" w:color="auto" w:val="clear"/>
            <w:tcMar>
              <w:top w:type="dxa" w:w="60"/>
              <w:left w:type="dxa" w:w="90"/>
              <w:bottom w:type="dxa" w:w="60"/>
              <w:right w:type="dxa" w:w="90"/>
            </w:tcMar>
            <w:vAlign w:val="center"/>
          </w:tcPr>
          <w:p>
            <w:pPr>
              <w:jc w:val="left"/>
            </w:pPr>
            <w:r>
              <w:rPr>
                <w:rFonts w:ascii="Arial" w:cs="Arial" w:eastAsia="Arial" w:hAnsi="Arial"/>
                <w:sz w:val="20"/>
                <w:szCs w:val="20"/>
              </w:rPr>
              <w:t xml:space="preserve">SciELO / Redalyc</w:t>
            </w:r>
          </w:p>
        </w:tc>
        <w:tc>
          <w:tcPr>
            <w:tcW w:type="dxa" w:w="72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(chatbot OR "asistente virtual") AND ("atención al cliente" OR "satisfacción del cliente" OR ventas). Filtro: años 2019–2026; idioma español y portugués</w:t>
            </w:r>
          </w:p>
        </w:tc>
      </w:tr>
    </w:tbl>
    <w:p>
      <w:pPr>
        <w:spacing w:after="120"/>
      </w:pPr>
    </w:p>
    <w:p>
      <w:pPr>
        <w:keepNext/>
        <w:spacing w:after="120" w:before="240" w:line="360"/>
      </w:pPr>
      <w:r>
        <w:rPr>
          <w:rFonts w:ascii="Arial" w:cs="Arial" w:eastAsia="Arial" w:hAnsi="Arial"/>
          <w:b/>
          <w:bCs/>
          <w:sz w:val="24"/>
          <w:szCs w:val="24"/>
        </w:rPr>
        <w:t xml:space="preserve">4.2. Criterios de inclusión y exclusión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70"/>
      </w:tblGrid>
      <w:tr>
        <w:trPr>
          <w:cantSplit/>
          <w:tblHeader/>
        </w:trPr>
        <w:tc>
          <w:tcPr>
            <w:tcW w:type="dxa" w:w="18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Aspecto</w:t>
            </w:r>
          </w:p>
        </w:tc>
        <w:tc>
          <w:tcPr>
            <w:tcW w:type="dxa" w:w="32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Criterio</w:t>
            </w:r>
          </w:p>
        </w:tc>
        <w:tc>
          <w:tcPr>
            <w:tcW w:type="dxa" w:w="40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Justificación</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Idioma</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inglés, español y portugués. Exclusión: otros idiomas</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El inglés concentra la producción indexada, mientras que el español y el portugués permiten recuperar la evidencia latinoamericana necesaria para la contextualización</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Fecha de publicación</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2019–2026. Se admiten obras teóricas fundacionales anteriores</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La inteligencia artificial conversacional cambió sustancialmente con los modelos de lenguaje generativos; las teorías clásicas se incluyen solo como sustento conceptual</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Tipo de documento</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artículos científicos revisados por pares, revisiones sistemáticas e informes de organismos oficiales. Exclusión: notas de prensa comerciales, blogs y trabajos sin revisión</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Garantiza la calidad y la trazabilidad de la evidencia</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Indexación</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preferente: Scopus, Web of Science, SciELO y revistas en SJR Scimago</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Responde a la exigencia de la guía institucional sobre fuentes de calidad</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Tipo de estudio y diseño</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estudios empíricos cuantitativos, cualitativos o mixtos, experimentos, estudios de caso y revisiones. Exclusión: ensayos de opinión sin datos</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Permite comparar efectos y valorar el nivel de evidencia de cada hallazgo</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Población y contexto</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clientes, empresas o personal de atención en contextos comerciales y de servicios. Exclusión: contextos de salud, educación y administración pública</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Asegura la correspondencia con la unidad de análisis de la tesis</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Variables</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estudios que midan tiempo de respuesta, satisfacción, adopción, conversión, ventas o productividad. Exclusión: estudios solo técnicos sin resultados en clientes u organizaciones</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Mantiene la coherencia con las dimensiones de la variable dependiente</w:t>
            </w:r>
          </w:p>
        </w:tc>
      </w:tr>
      <w:tr>
        <w:trPr>
          <w:cantSplit/>
          <w:tblHeader w:val="off"/>
        </w:trPr>
        <w:tc>
          <w:tcPr>
            <w:tcW w:type="dxa" w:w="1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Acceso</w:t>
            </w:r>
          </w:p>
        </w:tc>
        <w:tc>
          <w:tcPr>
            <w:tcW w:type="dxa" w:w="3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 texto completo o resumen con información suficiente sobre método y resultados</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Evita incluir estudios cuyos hallazgos no pueden verificarse</w:t>
            </w:r>
          </w:p>
        </w:tc>
      </w:tr>
    </w:tbl>
    <w:p>
      <w:pPr>
        <w:spacing w:after="120"/>
      </w:pPr>
    </w:p>
    <w:p>
      <w:pPr>
        <w:keepNext/>
        <w:spacing w:after="120" w:before="240" w:line="360"/>
      </w:pPr>
      <w:r>
        <w:rPr>
          <w:rFonts w:ascii="Arial" w:cs="Arial" w:eastAsia="Arial" w:hAnsi="Arial"/>
          <w:b/>
          <w:bCs/>
          <w:sz w:val="24"/>
          <w:szCs w:val="24"/>
        </w:rPr>
        <w:t xml:space="preserve">4.3. Protocolo de revisión tipo PRISMA</w:t>
      </w:r>
    </w:p>
    <w:p>
      <w:pPr>
        <w:spacing w:after="0" w:before="0" w:line="360"/>
        <w:ind w:firstLine="709"/>
        <w:jc w:val="both"/>
      </w:pPr>
      <w:r>
        <w:rPr>
          <w:rFonts w:ascii="Arial" w:cs="Arial" w:eastAsia="Arial" w:hAnsi="Arial"/>
          <w:sz w:val="24"/>
          <w:szCs w:val="24"/>
        </w:rPr>
        <w:t xml:space="preserve">El protocolo se estructuró en las cuatro fases del modelo PRISMA. En cada fase se definieron los datos que deben registrarse y los riesgos de sesgo que deben controlarse, con el fin de que el proceso sea transparente y replicable.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3770"/>
      </w:tblGrid>
      <w:tr>
        <w:trPr>
          <w:cantSplit/>
          <w:tblHeader/>
        </w:trPr>
        <w:tc>
          <w:tcPr>
            <w:tcW w:type="dxa" w:w="15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Fase</w:t>
            </w:r>
          </w:p>
        </w:tc>
        <w:tc>
          <w:tcPr>
            <w:tcW w:type="dxa" w:w="38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Datos que se registran</w:t>
            </w:r>
          </w:p>
        </w:tc>
        <w:tc>
          <w:tcPr>
            <w:tcW w:type="dxa" w:w="37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Riesgos de sesgo y control</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Identificación</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Base de datos consultada, ecuación exacta, fecha de búsqueda, filtros aplicados y número de registros obtenidos en cada base; número de duplicados eliminados</w:t>
            </w:r>
          </w:p>
        </w:tc>
        <w:tc>
          <w:tcPr>
            <w:tcW w:type="dxa" w:w="37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Sesgo de selección de bases y de idioma: se controla combinando bases internacionales y regionales. Sesgo de publicación: se incluye la búsqueda en SciELO y Redalyc</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Cribado</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Número de registros evaluados por título y resumen; número de excluidos y motivo de exclusión según los criterios del apartado 4.2</w:t>
            </w:r>
          </w:p>
        </w:tc>
        <w:tc>
          <w:tcPr>
            <w:tcW w:type="dxa" w:w="37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Sesgo del revisor: se aplica una ficha de cribado estandarizada y se registra el motivo de cada exclusión</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Elegibilidad</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Número de textos completos evaluados; número de excluidos y motivo, como la ausencia de datos sobre resultados o un contexto ajeno</w:t>
            </w:r>
          </w:p>
        </w:tc>
        <w:tc>
          <w:tcPr>
            <w:tcW w:type="dxa" w:w="37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Sesgo de información incompleta: se verifica el DOI y los metadatos de cada estudio en Crossref o en la fuente oficial</w:t>
            </w:r>
          </w:p>
        </w:tc>
      </w:tr>
      <w:tr>
        <w:trPr>
          <w:cantSplit/>
          <w:tblHeader w:val="off"/>
        </w:trPr>
        <w:tc>
          <w:tcPr>
            <w:tcW w:type="dxa" w:w="15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Número final de estudios incluidos; extracción de autor, año, país, muestra, método, hallazgos y limitaciones en la matriz de literatura</w:t>
            </w:r>
          </w:p>
        </w:tc>
        <w:tc>
          <w:tcPr>
            <w:tcW w:type="dxa" w:w="37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Sesgo de interpretación: se extraen los hallazgos del resumen y del texto publicado, sin parafrasear resultados no reportados</w:t>
            </w:r>
          </w:p>
        </w:tc>
      </w:tr>
    </w:tbl>
    <w:p>
      <w:pPr>
        <w:spacing w:after="120"/>
      </w:pPr>
    </w:p>
    <w:p>
      <w:pPr>
        <w:keepNext/>
        <w:spacing w:after="120" w:before="120"/>
        <w:jc w:val="center"/>
      </w:pPr>
      <w:r>
        <w:rPr>
          <w:rFonts w:ascii="Arial" w:cs="Arial" w:eastAsia="Arial" w:hAnsi="Arial"/>
          <w:b/>
          <w:bCs/>
          <w:sz w:val="24"/>
          <w:szCs w:val="24"/>
        </w:rPr>
        <w:t xml:space="preserve">Figura 1. Diagrama de flujo del protocolo tipo PRISMA</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170"/>
      </w:tblGrid>
      <w:tr>
        <w:trPr>
          <w:cantSplit/>
          <w:tblHeader/>
        </w:trPr>
        <w:tc>
          <w:tcPr>
            <w:tcW w:type="dxa" w:w="17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Fase</w:t>
            </w:r>
          </w:p>
        </w:tc>
        <w:tc>
          <w:tcPr>
            <w:tcW w:type="dxa" w:w="42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Proceso</w:t>
            </w:r>
          </w:p>
        </w:tc>
        <w:tc>
          <w:tcPr>
            <w:tcW w:type="dxa" w:w="31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Registros excluidos</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Identificación</w:t>
            </w:r>
          </w:p>
        </w:tc>
        <w:tc>
          <w:tcPr>
            <w:tcW w:type="dxa" w:w="4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Registros identificados: Scopus (n = __), Web of Science (n = __), Google Scholar (n = __), SciELO/Redalyc (n = __)</w:t>
            </w:r>
          </w:p>
        </w:tc>
        <w:tc>
          <w:tcPr>
            <w:tcW w:type="dxa" w:w="31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Registros duplicados eliminados (n = __)</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Cribado</w:t>
            </w:r>
          </w:p>
        </w:tc>
        <w:tc>
          <w:tcPr>
            <w:tcW w:type="dxa" w:w="4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Registros cribados por título y resumen (n = __)</w:t>
            </w:r>
          </w:p>
        </w:tc>
        <w:tc>
          <w:tcPr>
            <w:tcW w:type="dxa" w:w="31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Registros excluidos por criterios del apartado 4.2 (n = __)</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Elegibilidad</w:t>
            </w:r>
          </w:p>
        </w:tc>
        <w:tc>
          <w:tcPr>
            <w:tcW w:type="dxa" w:w="4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Textos completos evaluados para elegibilidad (n = __)</w:t>
            </w:r>
          </w:p>
        </w:tc>
        <w:tc>
          <w:tcPr>
            <w:tcW w:type="dxa" w:w="31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Textos completos excluidos, con motivo (n = __)</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Inclusión</w:t>
            </w:r>
          </w:p>
        </w:tc>
        <w:tc>
          <w:tcPr>
            <w:tcW w:type="dxa" w:w="4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Estudios incluidos en la síntesis cualitativa (n = __)</w:t>
            </w:r>
          </w:p>
        </w:tc>
        <w:tc>
          <w:tcPr>
            <w:tcW w:type="dxa" w:w="31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w:t>
            </w:r>
          </w:p>
        </w:tc>
      </w:tr>
    </w:tbl>
    <w:p>
      <w:pPr>
        <w:spacing w:before="60"/>
        <w:jc w:val="both"/>
      </w:pPr>
      <w:r>
        <w:rPr>
          <w:rFonts w:ascii="Arial" w:cs="Arial" w:eastAsia="Arial" w:hAnsi="Arial"/>
          <w:sz w:val="18"/>
          <w:szCs w:val="18"/>
        </w:rPr>
        <w:t xml:space="preserve">Nota. Los valores n deben completarse al ejecutar las ecuaciones de búsqueda en cada base, registrando la fecha de consulta. A la fecha de este capítulo, el proceso de verificación aplicado permitió incluir los quince estudios empíricos de la matriz del apartado 4.4 y seis revisiones de literatura, todos con identificador DOI o documento oficial verificado.</w:t>
      </w:r>
    </w:p>
    <w:p>
      <w:pPr>
        <w:keepNext/>
        <w:spacing w:after="120" w:before="240" w:line="360"/>
      </w:pPr>
      <w:r>
        <w:rPr>
          <w:rFonts w:ascii="Arial" w:cs="Arial" w:eastAsia="Arial" w:hAnsi="Arial"/>
          <w:b/>
          <w:bCs/>
          <w:sz w:val="24"/>
          <w:szCs w:val="24"/>
        </w:rPr>
        <w:t xml:space="preserve">4.4. Matriz de literatura</w:t>
      </w:r>
    </w:p>
    <w:p>
      <w:pPr>
        <w:spacing w:after="0" w:before="0" w:line="360"/>
        <w:ind w:firstLine="709"/>
        <w:jc w:val="both"/>
        <w:sectPr>
          <w:footerReference w:type="default" r:id="rId6"/>
          <w:pgSz w:w="11906" w:h="16838" w:orient="portrait"/>
          <w:pgMar w:top="1418" w:right="1418" w:bottom="1418" w:left="1418" w:header="708" w:footer="708" w:gutter="0"/>
          <w:pgNumType/>
          <w:docGrid w:linePitch="360"/>
        </w:sectPr>
      </w:pPr>
      <w:r>
        <w:rPr>
          <w:rFonts w:ascii="Arial" w:cs="Arial" w:eastAsia="Arial" w:hAnsi="Arial"/>
          <w:sz w:val="24"/>
          <w:szCs w:val="24"/>
        </w:rPr>
        <w:t xml:space="preserve">La matriz organizó los estudios empíricos incluidos según su contexto, método, hallazgos, limitaciones y relevancia para la investigación. En lugar de ejemplos simulados, se registraron únicamente estudios reales cuyos datos fueron verificados en sus resúmenes publicados; cuando el resumen no reportó el país del estudio, se consignó «No reportado».</w:t>
      </w:r>
    </w:p>
    <w:p>
      <w:pPr>
        <w:spacing w:after="120"/>
        <w:jc w:val="center"/>
      </w:pPr>
      <w:r>
        <w:rPr>
          <w:rFonts w:ascii="Arial" w:cs="Arial" w:eastAsia="Arial" w:hAnsi="Arial"/>
          <w:b/>
          <w:bCs/>
          <w:sz w:val="24"/>
          <w:szCs w:val="24"/>
        </w:rPr>
        <w:t xml:space="preserve">Tabla 1. Matriz de literatura</w:t>
      </w:r>
    </w:p>
    <w:tbl>
      <w:tblPr>
        <w:tblW w:type="dxa" w:w="12500"/>
        <w:tblBorders>
          <w:top w:val="single" w:color="auto" w:sz="4"/>
          <w:left w:val="single" w:color="auto" w:sz="4"/>
          <w:bottom w:val="single" w:color="auto" w:sz="4"/>
          <w:right w:val="single" w:color="auto" w:sz="4"/>
          <w:insideH w:val="single" w:color="auto" w:sz="4"/>
          <w:insideV w:val="single" w:color="auto" w:sz="4"/>
        </w:tblBorders>
      </w:tblPr>
      <w:tblGrid>
        <w:gridCol w:w="1650"/>
        <w:gridCol w:w="1050"/>
        <w:gridCol w:w="1650"/>
        <w:gridCol w:w="1350"/>
        <w:gridCol w:w="2850"/>
        <w:gridCol w:w="1950"/>
        <w:gridCol w:w="2000"/>
      </w:tblGrid>
      <w:tr>
        <w:trPr>
          <w:cantSplit/>
          <w:tblHeader/>
        </w:trPr>
        <w:tc>
          <w:tcPr>
            <w:tcW w:type="dxa" w:w="165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15"/>
                <w:szCs w:val="15"/>
              </w:rPr>
              <w:t xml:space="preserve">Autor / Año</w:t>
            </w:r>
          </w:p>
        </w:tc>
        <w:tc>
          <w:tcPr>
            <w:tcW w:type="dxa" w:w="105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15"/>
                <w:szCs w:val="15"/>
              </w:rPr>
              <w:t xml:space="preserve">País</w:t>
            </w:r>
          </w:p>
        </w:tc>
        <w:tc>
          <w:tcPr>
            <w:tcW w:type="dxa" w:w="165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15"/>
                <w:szCs w:val="15"/>
              </w:rPr>
              <w:t xml:space="preserve">Muestra / Contexto</w:t>
            </w:r>
          </w:p>
        </w:tc>
        <w:tc>
          <w:tcPr>
            <w:tcW w:type="dxa" w:w="135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15"/>
                <w:szCs w:val="15"/>
              </w:rPr>
              <w:t xml:space="preserve">Método</w:t>
            </w:r>
          </w:p>
        </w:tc>
        <w:tc>
          <w:tcPr>
            <w:tcW w:type="dxa" w:w="285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15"/>
                <w:szCs w:val="15"/>
              </w:rPr>
              <w:t xml:space="preserve">Principales hallazgos</w:t>
            </w:r>
          </w:p>
        </w:tc>
        <w:tc>
          <w:tcPr>
            <w:tcW w:type="dxa" w:w="195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15"/>
                <w:szCs w:val="15"/>
              </w:rPr>
              <w:t xml:space="preserve">Limitaciones</w:t>
            </w:r>
          </w:p>
        </w:tc>
        <w:tc>
          <w:tcPr>
            <w:tcW w:type="dxa" w:w="20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15"/>
                <w:szCs w:val="15"/>
              </w:rPr>
              <w:t xml:space="preserve">Relevancia para la investigación</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Luo et al., 2019 [35]</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Más de 6200 clientes de una empresa de servicios financieros; llamadas de venta</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Experimento de campo</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Los agentes conversacionales no revelados fueron tan eficaces como vendedores competentes; la revelación previa de su identidad redujo las compras en más de 79,7 % por menor conocimiento y empatía percibidos</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Canal telefónico y una sola empresa</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Sustenta el efecto del agente sobre la conversión (OE3) y la tensión con la transparencia exigida por la Ley N.° 31814</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Brynjolfsson, Li y Raymond, 2025 [3]</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Multinacional (agentes de varios países)</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5172 agentes de soporte al cliente</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Introducción escalonada (cuasiexperimental)</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asistente de IA generativa aumentó 15 % los casos resueltos por hora; mayores mejoras en trabajadores con menos experiencia; clientes más corteses</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asistente apoya a humanos y no responde de forma autónoma; una sola empresa</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Fundamenta la dimensión de eficiencia operativa (OE4) y el indicador de casos por hora</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Hsu y Lin, 2023 [4]</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219 usuarios de agentes de servicio al cliente</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Encuesta y modelo estructural</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La calidad de recuperación ante fallas y la calidad conversacional influyeron en la satisfacción; la calidad del servicio y la satisfacción influyeron en la lealtad</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Diseño transversal basado en percepciones</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Sustenta la dimensión de calidad conversacional y su relación con la satisfacción (OE2)</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Chung et al., 2020 [15]</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Clientes de marcas de moda de lujo</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Encuesta; modelo de cinco dimensiones</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servicio electrónico mediante agentes conversacionales generó encuentros interactivos y atractivos, con efecto en la calidad de la comunicación y la satisfacción</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Contexto de lujo, poco comparable con empresas de menor tamaño</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Aporta ítems y dimensiones para medir la satisfacción</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Chen, Le y Florence, 2021 [16]</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425 cuestionarios en línea; comercio minorista electrónico</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Encuesta; PLS-SEM</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La usabilidad y la capacidad de respuesta del agente mejoraron la experiencia del cliente, que se relacionó con la satisfacción</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Medición perceptiva; no midió tiempos reales</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Respalda los ítems de calidad conversacional y el vínculo respuesta–satisfacción</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Sheehan, Jin y Gottlieb, 2020 [19]</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Dos experimentos con consumidores</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Experimental</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Los errores no resueltos redujeron el antropomorfismo y la intención de adopción; pedir aclaración fue tan eficaz como no cometer errores</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Escenarios simulados, no interacciones reales</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Justifica la dimensión de derivación a atención humana</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Adam, Wessel y Benlian, 2021 [18]</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Usuarios de chat de servicio en comercio electrónico</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Experimento en línea aleatorizado</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Las señales antropomórficas verbales y la técnica de pie en la puerta aumentaron el cumplimiento de solicitudes, mediado por la presencia social</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Una sola tarea (solicitud de retroalimentación)</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Orienta el diseño conversacional del agente</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Sidlauskiene, Joye y Auruskeviciene, 2023 [22]</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Pretest (n = 135) y dos experimentos (n = 180 y 237)</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Experimentos en línea</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antropomorfismo aumentó la personalización percibida del producto; su interacción con la soledad situacional influyó en la disposición a pagar más</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Escenarios experimentales; no midió ventas reales</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Vincula el diseño del agente con la decisión de compra (OE3)</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Marjerison, Zhang y Zheng, 2022 [20]</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China</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540 compradores en línea frecuentes</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Encuesta; teoría de usos y gratificaciones</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La autenticidad de la conversación, la conveniencia y el disfrute favorecieron la actitud hacia el agente; privacidad e inmadurez tecnológica la redujeron</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Muestra de un solo país; medición de actitudes</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Identifica barreras de privacidad pertinentes a la Ley N.° 29733</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Al-Shafei, 2025 [17]</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Consumidores usuarios de agentes de servicio</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Cualitativo: reflexiones, entrevistas y grupos focales</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antropomorfismo y el estilo de comunicación afectaron la satisfacción; las emociones negativas y la privacidad condicionaron la interacción</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Resultados no generalizables estadísticamente</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Aporta categorías para interpretar resultados de satisfacción</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Ramos De Santis, 2024 [6]</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Colombia, Perú y Ecuador</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1250 usuarios de diez empresas logísticas</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Encuesta; regresión múltiple</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Cinco factores, como la resolución de problemas y el conocimiento de la empresa, explicaron 75,12 % de la satisfacción</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Sector logístico; diseño transversal</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Evidencia regional sobre determinantes de la satisfacción</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Lavanda Reyes et al., 2026 [31]</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Perú</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600 clientes de entidades financieras, comerciales, de servicios, salud y educación</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Cuantitativo, no experimental, correlacional (Spearman)</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uso de agentes conversacionales influyó significativamente en la satisfacción de los clientes</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Diseño correlacional; no midió tiempos ni ventas</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Antecedente nacional directo para OE2</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López Leonardo y Lozada Tiglla, 2026 [32]</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Perú</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128 clientes que compran pasajes por WhatsApp en una empresa de transportes</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Cuantitativo, descriptivo, no experimental</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agente conversacional generó ventajas en la atención: respuestas rápidas, menor espera y mayor satisfacción</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Percepción del cliente; sin datos del sistema</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Antecedente nacional de venta digital por mensajería</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Bravo Maruri et al., 2025 [34]</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No reportado</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Soporte técnico de nivel 1 de una empresa tecnológica</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Mixto: encuestas, entrevistas y reportes del sistema</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El agente integrado al sistema de gestión de relaciones con clientes redujo 30 % el tiempo de atención y aumentó 25 % la satisfacción</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Estudio de caso; no midió ventas</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Antecedente más cercano a la integración propuesta (OE1, OE2)</w:t>
            </w:r>
          </w:p>
        </w:tc>
      </w:tr>
      <w:tr>
        <w:trPr>
          <w:cantSplit/>
          <w:tblHeader w:val="off"/>
        </w:trPr>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Ranjan y Upadhyay, 2025 [24]</w:t>
            </w:r>
          </w:p>
        </w:tc>
        <w:tc>
          <w:tcPr>
            <w:tcW w:type="dxa" w:w="10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India (plataforma de moda en línea)</w:t>
            </w:r>
          </w:p>
        </w:tc>
        <w:tc>
          <w:tcPr>
            <w:tcW w:type="dxa" w:w="16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25 entrevistados</w:t>
            </w:r>
          </w:p>
        </w:tc>
        <w:tc>
          <w:tcPr>
            <w:tcW w:type="dxa" w:w="13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Cualitativo: entrevistas en profundidad</w:t>
            </w:r>
          </w:p>
        </w:tc>
        <w:tc>
          <w:tcPr>
            <w:tcW w:type="dxa" w:w="28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Los agentes mejoraron la personalización, pero fallaron ante preguntas complejas y no igualaron la empatía humana</w:t>
            </w:r>
          </w:p>
        </w:tc>
        <w:tc>
          <w:tcPr>
            <w:tcW w:type="dxa" w:w="195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Muestra pequeña y cualitativa</w:t>
            </w:r>
          </w:p>
        </w:tc>
        <w:tc>
          <w:tcPr>
            <w:tcW w:type="dxa" w:w="20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15"/>
                <w:szCs w:val="15"/>
              </w:rPr>
              <w:t xml:space="preserve">Respalda el modelo híbrido con derivación humana</w:t>
            </w:r>
          </w:p>
        </w:tc>
      </w:tr>
    </w:tbl>
    <w:p>
      <w:pPr>
        <w:spacing w:after="120"/>
        <w:sectPr>
          <w:footerReference w:type="default" r:id="rId7"/>
          <w:pgSz w:w="16838" w:h="11906" w:orient="landscape"/>
          <w:pgMar w:top="1000" w:right="1418" w:bottom="1000" w:left="1418" w:header="708" w:footer="708" w:gutter="0"/>
          <w:pgNumType/>
          <w:docGrid w:linePitch="360"/>
        </w:sectPr>
      </w:pPr>
    </w:p>
    <w:p>
      <w:pPr>
        <w:keepNext/>
        <w:spacing w:after="120" w:before="240" w:line="360"/>
      </w:pPr>
      <w:r>
        <w:rPr>
          <w:rFonts w:ascii="Arial" w:cs="Arial" w:eastAsia="Arial" w:hAnsi="Arial"/>
          <w:b/>
          <w:bCs/>
          <w:sz w:val="24"/>
          <w:szCs w:val="24"/>
        </w:rPr>
        <w:t xml:space="preserve">4.5. Síntesis temática</w:t>
      </w:r>
    </w:p>
    <w:p>
      <w:pPr>
        <w:spacing w:after="0" w:before="0" w:line="360"/>
        <w:ind w:firstLine="709"/>
        <w:jc w:val="both"/>
      </w:pPr>
      <w:r>
        <w:rPr>
          <w:rFonts w:ascii="Arial" w:cs="Arial" w:eastAsia="Arial" w:hAnsi="Arial"/>
          <w:sz w:val="24"/>
          <w:szCs w:val="24"/>
        </w:rPr>
        <w:t xml:space="preserve">Los hallazgos de los estudios incluidos se agruparon en cuatro bloques temáticos. Para cada bloque se identificó la tesis central, los estudios que la respaldan, los resultados opuestos y el nivel de evidencia disponible.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900"/>
        <w:gridCol w:w="1900"/>
        <w:gridCol w:w="1370"/>
      </w:tblGrid>
      <w:tr>
        <w:trPr>
          <w:cantSplit/>
          <w:tblHeader/>
        </w:trPr>
        <w:tc>
          <w:tcPr>
            <w:tcW w:type="dxa" w:w="17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Bloque</w:t>
            </w:r>
          </w:p>
        </w:tc>
        <w:tc>
          <w:tcPr>
            <w:tcW w:type="dxa" w:w="22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Tesis central</w:t>
            </w:r>
          </w:p>
        </w:tc>
        <w:tc>
          <w:tcPr>
            <w:tcW w:type="dxa" w:w="19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Estudios que la respaldan</w:t>
            </w:r>
          </w:p>
        </w:tc>
        <w:tc>
          <w:tcPr>
            <w:tcW w:type="dxa" w:w="19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Contraejemplos o resultados opuestos</w:t>
            </w:r>
          </w:p>
        </w:tc>
        <w:tc>
          <w:tcPr>
            <w:tcW w:type="dxa" w:w="13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Nivel de evidencia</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1. Eficiencia operativa y productividad</w:t>
            </w:r>
          </w:p>
        </w:tc>
        <w:tc>
          <w:tcPr>
            <w:tcW w:type="dxa" w:w="2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La inteligencia artificial reduce los tiempos de atención y aumenta los casos resueltos por unidad de tiempo</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[3], [32], [34]</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Los trabajadores más experimentados obtuvieron mejoras menores e incluso leves caídas de calidad [3]; los agentes fallan ante consultas complejas [24]</w:t>
            </w:r>
          </w:p>
        </w:tc>
        <w:tc>
          <w:tcPr>
            <w:tcW w:type="dxa" w:w="1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Medio–alto: un estudio cuasiexperimental de gran escala y estudios de caso</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2. Satisfacción y calidad conversacional</w:t>
            </w:r>
          </w:p>
        </w:tc>
        <w:tc>
          <w:tcPr>
            <w:tcW w:type="dxa" w:w="2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La satisfacción depende de la calidad de la conversación, la usabilidad y la capacidad de respuesta, no de la mera presencia del agente</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[4], [6], [15], [16], [31]</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Los errores no resueltos reducen la adopción [19]; las emociones negativas y la privacidad deterioran la experiencia [17]</w:t>
            </w:r>
          </w:p>
        </w:tc>
        <w:tc>
          <w:tcPr>
            <w:tcW w:type="dxa" w:w="1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Medio: predominan encuestas transversales</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3. Ventas y conversión comercial</w:t>
            </w:r>
          </w:p>
        </w:tc>
        <w:tc>
          <w:tcPr>
            <w:tcW w:type="dxa" w:w="2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Un agente bien diseñado puede generar compras con eficacia comparable a la humana y modelar la disposición a pagar</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[22], [23], [24], [35]</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La revelación de la identidad artificial redujo las compras [35]; la privacidad y la inmadurez tecnológica restaron aceptación [20]</w:t>
            </w:r>
          </w:p>
        </w:tc>
        <w:tc>
          <w:tcPr>
            <w:tcW w:type="dxa" w:w="1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Medio: un experimento de campo, experimentos en línea y una revisión</w:t>
            </w:r>
          </w:p>
        </w:tc>
      </w:tr>
      <w:tr>
        <w:trPr>
          <w:cantSplit/>
          <w:tblHeader w:val="off"/>
        </w:trPr>
        <w:tc>
          <w:tcPr>
            <w:tcW w:type="dxa" w:w="1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4. Integración con el sistema de gestión de relaciones con clientes</w:t>
            </w:r>
          </w:p>
        </w:tc>
        <w:tc>
          <w:tcPr>
            <w:tcW w:type="dxa" w:w="2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El valor de la inteligencia artificial depende de su integración con los datos y procesos de la relación con el cliente</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[12], [13], [14], [34]</w:t>
            </w:r>
          </w:p>
        </w:tc>
        <w:tc>
          <w:tcPr>
            <w:tcW w:type="dxa" w:w="19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Las revisiones advierten la escasez de evaluaciones empíricas de resultados [12], [13]</w:t>
            </w:r>
          </w:p>
        </w:tc>
        <w:tc>
          <w:tcPr>
            <w:tcW w:type="dxa" w:w="13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Bajo: predominan revisiones y un solo estudio de caso</w:t>
            </w:r>
          </w:p>
        </w:tc>
      </w:tr>
    </w:tbl>
    <w:p>
      <w:pPr>
        <w:spacing w:after="120"/>
      </w:pPr>
    </w:p>
    <w:p>
      <w:pPr>
        <w:keepNext/>
        <w:spacing w:after="120" w:before="240" w:line="360"/>
      </w:pPr>
      <w:r>
        <w:rPr>
          <w:rFonts w:ascii="Arial" w:cs="Arial" w:eastAsia="Arial" w:hAnsi="Arial"/>
          <w:b/>
          <w:bCs/>
          <w:sz w:val="24"/>
          <w:szCs w:val="24"/>
        </w:rPr>
        <w:t xml:space="preserve">4.6. Brechas y agenda de investigación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700"/>
        <w:gridCol w:w="3600"/>
        <w:gridCol w:w="2770"/>
      </w:tblGrid>
      <w:tr>
        <w:trPr>
          <w:cantSplit/>
          <w:tblHeader/>
        </w:trPr>
        <w:tc>
          <w:tcPr>
            <w:tcW w:type="dxa" w:w="27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Brecha de conocimiento</w:t>
            </w:r>
          </w:p>
        </w:tc>
        <w:tc>
          <w:tcPr>
            <w:tcW w:type="dxa" w:w="36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Línea futura de investigación</w:t>
            </w:r>
          </w:p>
        </w:tc>
        <w:tc>
          <w:tcPr>
            <w:tcW w:type="dxa" w:w="27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Diseño metodológico sugerido</w:t>
            </w:r>
          </w:p>
        </w:tc>
      </w:tr>
      <w:tr>
        <w:trPr>
          <w:cantSplit/>
          <w:tblHeader w:val="off"/>
        </w:trPr>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B1. Ausencia de estudios que midan simultáneamente el efecto de un agente integrado al sistema de gestión de relaciones con clientes sobre la atención y las ventas con datos objetivos del sistema [12], [34]</w:t>
            </w:r>
          </w:p>
        </w:tc>
        <w:tc>
          <w:tcPr>
            <w:tcW w:type="dxa" w:w="36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Evaluar el efecto de la implementación sobre tiempos de respuesta, satisfacción, conversión y eficiencia en empresas comerciales (línea que aborda esta tesis)</w:t>
            </w:r>
          </w:p>
        </w:tc>
        <w:tc>
          <w:tcPr>
            <w:tcW w:type="dxa" w:w="27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Preexperimental de preprueba y posprueba en una empresa; posteriormente, cuasiexperimental con grupo de comparación</w:t>
            </w:r>
          </w:p>
        </w:tc>
      </w:tr>
      <w:tr>
        <w:trPr>
          <w:cantSplit/>
          <w:tblHeader w:val="off"/>
        </w:trPr>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B2. Escasa evidencia en regiones peruanas y en micro y pequeñas empresas, pese a su peso en el tejido empresarial [30], [31]</w:t>
            </w:r>
          </w:p>
        </w:tc>
        <w:tc>
          <w:tcPr>
            <w:tcW w:type="dxa" w:w="36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Comparar los efectos de la implementación entre empresas de distintas regiones, sectores y tamaños</w:t>
            </w:r>
          </w:p>
        </w:tc>
        <w:tc>
          <w:tcPr>
            <w:tcW w:type="dxa" w:w="27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Cuasiexperimental multiempresa o descriptivo comparativo</w:t>
            </w:r>
          </w:p>
        </w:tc>
      </w:tr>
      <w:tr>
        <w:trPr>
          <w:cantSplit/>
          <w:tblHeader w:val="off"/>
        </w:trPr>
        <w:tc>
          <w:tcPr>
            <w:tcW w:type="dxa" w:w="27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B3. Tensión no resuelta entre la transparencia exigida por la regulación y el efecto negativo de revelar la identidad artificial del agente sobre las compras [8], [35]</w:t>
            </w:r>
          </w:p>
        </w:tc>
        <w:tc>
          <w:tcPr>
            <w:tcW w:type="dxa" w:w="36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Analizar cómo el momento y la forma de informar al cliente que interactúa con inteligencia artificial influyen en la conversión y la confianza</w:t>
            </w:r>
          </w:p>
        </w:tc>
        <w:tc>
          <w:tcPr>
            <w:tcW w:type="dxa" w:w="27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Experimental (pruebas A/B con asignación aleatoria de mensajes de revelación)</w:t>
            </w:r>
          </w:p>
        </w:tc>
      </w:tr>
    </w:tbl>
    <w:p>
      <w:pPr>
        <w:spacing w:after="120"/>
      </w:pPr>
    </w:p>
    <w:p>
      <w:pPr>
        <w:keepNext/>
        <w:spacing w:after="120" w:before="240" w:line="360"/>
      </w:pPr>
      <w:r>
        <w:rPr>
          <w:rFonts w:ascii="Arial" w:cs="Arial" w:eastAsia="Arial" w:hAnsi="Arial"/>
          <w:b/>
          <w:bCs/>
          <w:sz w:val="24"/>
          <w:szCs w:val="24"/>
        </w:rPr>
        <w:t xml:space="preserve">4.7. Marco de antecedentes</w:t>
      </w:r>
    </w:p>
    <w:p>
      <w:pPr>
        <w:spacing w:after="0" w:before="0" w:line="360"/>
        <w:ind w:firstLine="709"/>
        <w:jc w:val="both"/>
      </w:pPr>
      <w:r>
        <w:rPr>
          <w:rFonts w:ascii="Arial" w:cs="Arial" w:eastAsia="Arial" w:hAnsi="Arial"/>
          <w:sz w:val="24"/>
          <w:szCs w:val="24"/>
        </w:rPr>
        <w:t xml:space="preserve">En el plano internacional, la evidencia sobre los agentes de respuesta basados en inteligencia artificial evolucionó desde el estudio de su aceptación hacia la medición de sus efectos sobre el desempeño. Uno de los antecedentes de mayor solidez fue el experimento de campo de Luo et al., quienes, con más de 6200 clientes de una empresa de servicios financieros, demostraron que los agentes conversacionales no revelados lograron compras con una eficacia comparable a la de vendedores competentes, aunque la revelación anticipada de su identidad artificial redujo las compras en más de 79,7 %, debido a que los clientes percibieron menor conocimiento y empatía [35]. Este hallazgo fue relevante para la presente investigación, porque mostró que el efecto comercial del agente dependía no solo de su capacidad técnica, sino también de la forma en que el cliente lo percibía.</w:t>
      </w:r>
    </w:p>
    <w:p>
      <w:pPr>
        <w:spacing w:after="0" w:before="0" w:line="360"/>
        <w:ind w:firstLine="709"/>
        <w:jc w:val="both"/>
      </w:pPr>
      <w:r>
        <w:rPr>
          <w:rFonts w:ascii="Arial" w:cs="Arial" w:eastAsia="Arial" w:hAnsi="Arial"/>
          <w:sz w:val="24"/>
          <w:szCs w:val="24"/>
        </w:rPr>
        <w:t xml:space="preserve">En una línea complementaria, centrada en la productividad, Brynjolfsson, Li y Raymond analizaron la introducción escalonada de un asistente basado en inteligencia artificial generativa en 5172 agentes de soporte y encontraron un incremento promedio de 15 % en los casos resueltos por hora, con mejoras más marcadas en los trabajadores con menor experiencia, aunque los más experimentados registraron leves caídas en la calidad [3]. De este modo, la evidencia sugirió que los beneficios de la tecnología no fueron homogéneos y que su efecto debía medirse en el contexto específico de cada organización.</w:t>
      </w:r>
    </w:p>
    <w:p>
      <w:pPr>
        <w:spacing w:after="0" w:before="0" w:line="360"/>
        <w:ind w:firstLine="709"/>
        <w:jc w:val="both"/>
      </w:pPr>
      <w:r>
        <w:rPr>
          <w:rFonts w:ascii="Arial" w:cs="Arial" w:eastAsia="Arial" w:hAnsi="Arial"/>
          <w:sz w:val="24"/>
          <w:szCs w:val="24"/>
        </w:rPr>
        <w:t xml:space="preserve">Respecto de la satisfacción, los estudios coincidieron en que esta dependió de la calidad del servicio conversacional. Hsu y Lin, con 219 usuarios, demostraron que la calidad conversacional y la recuperación ante fallas determinaron la satisfacción, y que esta, a su vez, explicó la lealtad [4]. De forma convergente, Chen, Le y Florence, con 425 cuestionarios, evidenciaron que la usabilidad y la capacidad de respuesta del agente mejoraron la experiencia del cliente en el comercio minorista en línea [16], mientras que Chung et al. mostraron que el servicio electrónico mediante agentes conversacionales generó interacciones atractivas en marcas de lujo [15]. No obstante, Sheehan, Jin y Gottlieb advirtieron que los errores no resueltos redujeron la percepción de humanidad y la intención de adopción, aunque solicitar una aclaración resultó tan eficaz como evitar el error [19], y Al-Shafei identificó que las emociones negativas y las preocupaciones de privacidad condicionaron la interacción [17]. Estos contrastes indicaron que la derivación oportuna a una persona constituye una condición de diseño, más que un fracaso del agente.</w:t>
      </w:r>
    </w:p>
    <w:p>
      <w:pPr>
        <w:spacing w:after="0" w:before="0" w:line="360"/>
        <w:ind w:firstLine="709"/>
        <w:jc w:val="both"/>
      </w:pPr>
      <w:r>
        <w:rPr>
          <w:rFonts w:ascii="Arial" w:cs="Arial" w:eastAsia="Arial" w:hAnsi="Arial"/>
          <w:sz w:val="24"/>
          <w:szCs w:val="24"/>
        </w:rPr>
        <w:t xml:space="preserve">En relación con el diseño conversacional y la decisión de compra, Adam, Wessel y Benlian comprobaron que las señales antropomórficas verbales incrementaron el cumplimiento de las solicitudes del agente por efecto de la presencia social [18], y Sidlauskiene, Joye y Auruskeviciene encontraron que el antropomorfismo elevó la personalización percibida del producto y, en interacción con la soledad situacional, la disposición a pagar un precio mayor [22]. Sin embargo, Marjerison, Zhang y Zheng, con 540 compradores en línea en China, señalaron que la privacidad y la inmadurez tecnológica afectaron negativamente la aceptación [20], y Ranjan y Upadhyay observaron que los agentes no igualaron la empatía humana ante consultas complejas [24]. Desde una perspectiva integradora, la revisión de Madanchian concluyó que los agentes conversacionales, junto con la personalización y la analítica predictiva, mejoraron la adquisición y la conversión en el comercio electrónico [23].</w:t>
      </w:r>
    </w:p>
    <w:p>
      <w:pPr>
        <w:spacing w:after="0" w:before="0" w:line="360"/>
        <w:ind w:firstLine="709"/>
        <w:jc w:val="both"/>
      </w:pPr>
      <w:r>
        <w:rPr>
          <w:rFonts w:ascii="Arial" w:cs="Arial" w:eastAsia="Arial" w:hAnsi="Arial"/>
          <w:sz w:val="24"/>
          <w:szCs w:val="24"/>
        </w:rPr>
        <w:t xml:space="preserve">En cuanto a la integración con los sistemas de gestión de relaciones con clientes, Ledro, Nosella y Vinelli identificaron la escasez de estudios sobre la implementación organizacional de la inteligencia artificial en estos sistemas [12], Ozay et al. agruparon la literatura en cuatro conglomerados, desde las estrategias basadas en datos hasta la experiencia del cliente [13], y Ledro et al. propusieron un marco para una integración exitosa que depende de factores tecnológicos, organizacionales y relacionales [14]. El estudio de caso de Bravo Maruri et al. constituyó el antecedente más cercano a la propuesta, al reportar que un agente con inteligencia artificial integrado al sistema redujo en 30 % los tiempos de atención y aumentó en 25 % la satisfacción, aunque no midió su efecto sobre las ventas [34].</w:t>
      </w:r>
    </w:p>
    <w:p>
      <w:pPr>
        <w:spacing w:after="0" w:before="0" w:line="360"/>
        <w:ind w:firstLine="709"/>
        <w:jc w:val="both"/>
      </w:pPr>
      <w:r>
        <w:rPr>
          <w:rFonts w:ascii="Arial" w:cs="Arial" w:eastAsia="Arial" w:hAnsi="Arial"/>
          <w:sz w:val="24"/>
          <w:szCs w:val="24"/>
        </w:rPr>
        <w:t xml:space="preserve">En el ámbito latinoamericano y nacional, Ramos De Santis, con 1250 usuarios de empresas logísticas de Colombia, Perú y Ecuador, demostró que la capacidad de resolver problemas y el conocimiento de la empresa explicaron el 75,12 % de la satisfacción [6]. En el Perú, Lavanda Reyes et al., con 600 clientes, concluyeron que el uso de agentes conversacionales influyó significativamente en la satisfacción [31], y López Leonardo y Lozada Tiglla, con 128 clientes que compran pasajes por mensajería, reportaron respuestas más rápidas y menores tiempos de espera [32]. A estos se sumaron las revisiones de Rojas Ahumada, López Zavaleta y Mendoza de los Santos [10] y de Casazola Cruz et al. [11], que sintetizaron beneficios potenciales en la atención al cliente y en la usabilidad percibida.</w:t>
      </w:r>
    </w:p>
    <w:p>
      <w:pPr>
        <w:spacing w:after="0" w:before="0" w:line="360"/>
        <w:ind w:firstLine="709"/>
        <w:jc w:val="both"/>
      </w:pPr>
      <w:r>
        <w:rPr>
          <w:rFonts w:ascii="Arial" w:cs="Arial" w:eastAsia="Arial" w:hAnsi="Arial"/>
          <w:sz w:val="24"/>
          <w:szCs w:val="24"/>
        </w:rPr>
        <w:t xml:space="preserve">En síntesis, la literatura demostró que los agentes de respuesta basados en inteligencia artificial pueden mejorar la productividad, la satisfacción y las ventas, pero también que estos efectos dependen de la calidad conversacional, de la integración con los datos del cliente y de la forma en que el cliente percibe al agente. Persistió, sin embargo, la ausencia de estudios que midieran simultáneamente estos efectos con datos objetivos del sistema en empresas de regiones peruanas, vacío que la presente investigación buscó atender.</w:t>
      </w:r>
    </w:p>
    <w:p>
      <w:pPr>
        <w:keepNext/>
        <w:spacing w:after="120" w:before="240" w:line="360"/>
      </w:pPr>
      <w:r>
        <w:rPr>
          <w:rFonts w:ascii="Arial" w:cs="Arial" w:eastAsia="Arial" w:hAnsi="Arial"/>
          <w:b/>
          <w:bCs/>
          <w:sz w:val="24"/>
          <w:szCs w:val="24"/>
        </w:rPr>
        <w:t xml:space="preserve">4.8. Verificación de las referencias</w:t>
      </w:r>
    </w:p>
    <w:p>
      <w:pPr>
        <w:spacing w:after="0" w:before="0" w:line="360"/>
        <w:ind w:firstLine="709"/>
        <w:jc w:val="both"/>
      </w:pPr>
      <w:r>
        <w:rPr>
          <w:rFonts w:ascii="Arial" w:cs="Arial" w:eastAsia="Arial" w:hAnsi="Arial"/>
          <w:sz w:val="24"/>
          <w:szCs w:val="24"/>
        </w:rPr>
        <w:t xml:space="preserve">Conforme a la decisión metodológica de emplear el estilo IEEE en toda la tesis, las referencias de este capítulo se presentan en dicho formato y no en APA 7. Para cumplir el propósito de control de calidad, se verificó la existencia y los metadatos de cada fuente, sin que se identificaran referencias inventadas.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200"/>
        <w:gridCol w:w="4070"/>
        <w:gridCol w:w="3800"/>
      </w:tblGrid>
      <w:tr>
        <w:trPr>
          <w:cantSplit/>
          <w:tblHeader/>
        </w:trPr>
        <w:tc>
          <w:tcPr>
            <w:tcW w:type="dxa" w:w="12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Referencias</w:t>
            </w:r>
          </w:p>
        </w:tc>
        <w:tc>
          <w:tcPr>
            <w:tcW w:type="dxa" w:w="407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Estado</w:t>
            </w:r>
          </w:p>
        </w:tc>
        <w:tc>
          <w:tcPr>
            <w:tcW w:type="dxa" w:w="3800"/>
            <w:tcBorders>
              <w:top w:val="single" w:color="595959" w:sz="6"/>
              <w:left w:val="single" w:color="595959" w:sz="6"/>
              <w:bottom w:val="single" w:color="595959" w:sz="6"/>
              <w:right w:val="single" w:color="595959" w:sz="6"/>
            </w:tcBorders>
            <w:shd w:fill="D9D9D9" w:color="auto" w:val="clear"/>
            <w:tcMar>
              <w:top w:type="dxa" w:w="60"/>
              <w:left w:type="dxa" w:w="90"/>
              <w:bottom w:type="dxa" w:w="60"/>
              <w:right w:type="dxa" w:w="90"/>
            </w:tcMar>
            <w:vAlign w:val="center"/>
          </w:tcPr>
          <w:p>
            <w:pPr>
              <w:jc w:val="center"/>
            </w:pPr>
            <w:r>
              <w:rPr>
                <w:rFonts w:ascii="Arial" w:cs="Arial" w:eastAsia="Arial" w:hAnsi="Arial"/>
                <w:b/>
                <w:bCs/>
                <w:sz w:val="20"/>
                <w:szCs w:val="20"/>
              </w:rPr>
              <w:t xml:space="preserve">Observación</w:t>
            </w:r>
          </w:p>
        </w:tc>
      </w:tr>
      <w:tr>
        <w:trPr>
          <w:cantSplit/>
          <w:tblHeader w:val="off"/>
        </w:trPr>
        <w:tc>
          <w:tcPr>
            <w:tcW w:type="dxa" w:w="1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[3], [4], [6], [10], [11], [12], [13], [14], [15], [16], [17], [18], [19], [20], [22], [23], [24], [31], [32], [35]</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Verificadas</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DOI y metadatos (autores, revista, volumen, páginas) comprobados en Crossref o en la página editorial</w:t>
            </w:r>
          </w:p>
        </w:tc>
      </w:tr>
      <w:tr>
        <w:trPr>
          <w:cantSplit/>
          <w:tblHeader w:val="off"/>
        </w:trPr>
        <w:tc>
          <w:tcPr>
            <w:tcW w:type="dxa" w:w="1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[34]</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Verificada</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DOI y metadatos comprobados en la página oficial de la revista</w:t>
            </w:r>
          </w:p>
        </w:tc>
      </w:tr>
      <w:tr>
        <w:trPr>
          <w:cantSplit/>
          <w:tblHeader w:val="off"/>
        </w:trPr>
        <w:tc>
          <w:tcPr>
            <w:tcW w:type="dxa" w:w="1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[30]</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Verificada</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Datos extraídos del documento oficial en PDF del Ministerio de la Producción</w:t>
            </w:r>
          </w:p>
        </w:tc>
      </w:tr>
      <w:tr>
        <w:trPr>
          <w:cantSplit/>
          <w:tblHeader w:val="off"/>
        </w:trPr>
        <w:tc>
          <w:tcPr>
            <w:tcW w:type="dxa" w:w="12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[8]</w:t>
            </w:r>
          </w:p>
        </w:tc>
        <w:tc>
          <w:tcPr>
            <w:tcW w:type="dxa" w:w="407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Verificada parcialmente</w:t>
            </w:r>
          </w:p>
        </w:tc>
        <w:tc>
          <w:tcPr>
            <w:tcW w:type="dxa" w:w="3800"/>
            <w:tcBorders>
              <w:top w:val="single" w:color="595959" w:sz="6"/>
              <w:left w:val="single" w:color="595959" w:sz="6"/>
              <w:bottom w:val="single" w:color="595959" w:sz="6"/>
              <w:right w:val="single" w:color="595959" w:sz="6"/>
            </w:tcBorders>
            <w:tcMar>
              <w:top w:type="dxa" w:w="60"/>
              <w:left w:type="dxa" w:w="90"/>
              <w:bottom w:type="dxa" w:w="60"/>
              <w:right w:type="dxa" w:w="90"/>
            </w:tcMar>
            <w:vAlign w:val="center"/>
          </w:tcPr>
          <w:p>
            <w:pPr>
              <w:jc w:val="left"/>
            </w:pPr>
            <w:r>
              <w:rPr>
                <w:rFonts w:ascii="Arial" w:cs="Arial" w:eastAsia="Arial" w:hAnsi="Arial"/>
                <w:sz w:val="20"/>
                <w:szCs w:val="20"/>
              </w:rPr>
              <w:t xml:space="preserve">Norma vigente con enlace oficial; se recomienda contrastar con el texto publicado en el diario oficial</w:t>
            </w:r>
          </w:p>
        </w:tc>
      </w:tr>
    </w:tbl>
    <w:p>
      <w:pPr>
        <w:spacing w:after="120"/>
      </w:pPr>
    </w:p>
    <w:p>
      <w:pPr>
        <w:pageBreakBefore/>
        <w:spacing w:after="240" w:before="0" w:line="360"/>
        <w:jc w:val="center"/>
      </w:pPr>
      <w:r>
        <w:rPr>
          <w:rFonts w:ascii="Arial" w:cs="Arial" w:eastAsia="Arial" w:hAnsi="Arial"/>
          <w:b/>
          <w:bCs/>
          <w:sz w:val="24"/>
          <w:szCs w:val="24"/>
        </w:rPr>
        <w:t xml:space="preserve">REFERENCIAS</w:t>
      </w:r>
    </w:p>
    <w:p>
      <w:pPr>
        <w:tabs>
          <w:tab w:val="left" w:pos="567"/>
        </w:tabs>
        <w:spacing w:after="120" w:before="0" w:line="360"/>
        <w:ind w:left="567" w:hanging="567"/>
      </w:pPr>
      <w:r>
        <w:rPr>
          <w:rFonts w:ascii="Arial" w:cs="Arial" w:eastAsia="Arial" w:hAnsi="Arial"/>
          <w:sz w:val="24"/>
          <w:szCs w:val="24"/>
        </w:rPr>
        <w:t xml:space="preserve">[3]</w:t>
      </w:r>
      <w:r>
        <w:rPr>
          <w:rFonts w:ascii="Arial" w:cs="Arial" w:eastAsia="Arial" w:hAnsi="Arial"/>
          <w:sz w:val="24"/>
          <w:szCs w:val="24"/>
        </w:rPr>
        <w:t xml:space="preserve">	</w:t>
      </w:r>
      <w:r>
        <w:rPr>
          <w:rFonts w:ascii="Arial" w:cs="Arial" w:eastAsia="Arial" w:hAnsi="Arial"/>
          <w:sz w:val="24"/>
          <w:szCs w:val="24"/>
        </w:rPr>
        <w:t xml:space="preserve">E. Brynjolfsson, D. Li y L. Raymond, “Generative AI at work,” </w:t>
      </w:r>
      <w:r>
        <w:rPr>
          <w:rFonts w:ascii="Arial" w:cs="Arial" w:eastAsia="Arial" w:hAnsi="Arial"/>
          <w:i/>
          <w:iCs/>
          <w:sz w:val="24"/>
          <w:szCs w:val="24"/>
        </w:rPr>
        <w:t xml:space="preserve">The Quarterly Journal of Economics</w:t>
      </w:r>
      <w:r>
        <w:rPr>
          <w:rFonts w:ascii="Arial" w:cs="Arial" w:eastAsia="Arial" w:hAnsi="Arial"/>
          <w:sz w:val="24"/>
          <w:szCs w:val="24"/>
        </w:rPr>
        <w:t xml:space="preserve">, vol. 140, no. 2, pp. 889–942, 2025, doi: 10.1093/qje/qjae044.</w:t>
      </w:r>
    </w:p>
    <w:p>
      <w:pPr>
        <w:tabs>
          <w:tab w:val="left" w:pos="567"/>
        </w:tabs>
        <w:spacing w:after="120" w:before="0" w:line="360"/>
        <w:ind w:left="567" w:hanging="567"/>
      </w:pPr>
      <w:r>
        <w:rPr>
          <w:rFonts w:ascii="Arial" w:cs="Arial" w:eastAsia="Arial" w:hAnsi="Arial"/>
          <w:sz w:val="24"/>
          <w:szCs w:val="24"/>
        </w:rPr>
        <w:t xml:space="preserve">[4]</w:t>
      </w:r>
      <w:r>
        <w:rPr>
          <w:rFonts w:ascii="Arial" w:cs="Arial" w:eastAsia="Arial" w:hAnsi="Arial"/>
          <w:sz w:val="24"/>
          <w:szCs w:val="24"/>
        </w:rPr>
        <w:t xml:space="preserve">	</w:t>
      </w:r>
      <w:r>
        <w:rPr>
          <w:rFonts w:ascii="Arial" w:cs="Arial" w:eastAsia="Arial" w:hAnsi="Arial"/>
          <w:sz w:val="24"/>
          <w:szCs w:val="24"/>
        </w:rPr>
        <w:t xml:space="preserve">C.-L. Hsu y J. C.-C. Lin, “Understanding the user satisfaction and loyalty of customer service chatbots,” </w:t>
      </w:r>
      <w:r>
        <w:rPr>
          <w:rFonts w:ascii="Arial" w:cs="Arial" w:eastAsia="Arial" w:hAnsi="Arial"/>
          <w:i/>
          <w:iCs/>
          <w:sz w:val="24"/>
          <w:szCs w:val="24"/>
        </w:rPr>
        <w:t xml:space="preserve">Journal of Retailing and Consumer Services</w:t>
      </w:r>
      <w:r>
        <w:rPr>
          <w:rFonts w:ascii="Arial" w:cs="Arial" w:eastAsia="Arial" w:hAnsi="Arial"/>
          <w:sz w:val="24"/>
          <w:szCs w:val="24"/>
        </w:rPr>
        <w:t xml:space="preserve">, vol. 71, art. no. 103211, 2023, doi: 10.1016/j.jretconser.2022.103211.</w:t>
      </w:r>
    </w:p>
    <w:p>
      <w:pPr>
        <w:tabs>
          <w:tab w:val="left" w:pos="567"/>
        </w:tabs>
        <w:spacing w:after="120" w:before="0" w:line="360"/>
        <w:ind w:left="567" w:hanging="567"/>
      </w:pPr>
      <w:r>
        <w:rPr>
          <w:rFonts w:ascii="Arial" w:cs="Arial" w:eastAsia="Arial" w:hAnsi="Arial"/>
          <w:sz w:val="24"/>
          <w:szCs w:val="24"/>
        </w:rPr>
        <w:t xml:space="preserve">[6]</w:t>
      </w:r>
      <w:r>
        <w:rPr>
          <w:rFonts w:ascii="Arial" w:cs="Arial" w:eastAsia="Arial" w:hAnsi="Arial"/>
          <w:sz w:val="24"/>
          <w:szCs w:val="24"/>
        </w:rPr>
        <w:t xml:space="preserve">	</w:t>
      </w:r>
      <w:r>
        <w:rPr>
          <w:rFonts w:ascii="Arial" w:cs="Arial" w:eastAsia="Arial" w:hAnsi="Arial"/>
          <w:sz w:val="24"/>
          <w:szCs w:val="24"/>
        </w:rPr>
        <w:t xml:space="preserve">P. Ramos De Santis, “Satisfacción del cliente en la logística: un análisis de chatbots en las empresas líderes de Colombia, Perú y Ecuador,” </w:t>
      </w:r>
      <w:r>
        <w:rPr>
          <w:rFonts w:ascii="Arial" w:cs="Arial" w:eastAsia="Arial" w:hAnsi="Arial"/>
          <w:i/>
          <w:iCs/>
          <w:sz w:val="24"/>
          <w:szCs w:val="24"/>
        </w:rPr>
        <w:t xml:space="preserve">Retos. Revista de Ciencias de la Administración y Economía</w:t>
      </w:r>
      <w:r>
        <w:rPr>
          <w:rFonts w:ascii="Arial" w:cs="Arial" w:eastAsia="Arial" w:hAnsi="Arial"/>
          <w:sz w:val="24"/>
          <w:szCs w:val="24"/>
        </w:rPr>
        <w:t xml:space="preserve">, vol. 14, no. 27, pp. 115–130, 2024, doi: 10.17163/ret.n27.2024.08.</w:t>
      </w:r>
    </w:p>
    <w:p>
      <w:pPr>
        <w:tabs>
          <w:tab w:val="left" w:pos="567"/>
        </w:tabs>
        <w:spacing w:after="120" w:before="0" w:line="360"/>
        <w:ind w:left="567" w:hanging="567"/>
      </w:pPr>
      <w:r>
        <w:rPr>
          <w:rFonts w:ascii="Arial" w:cs="Arial" w:eastAsia="Arial" w:hAnsi="Arial"/>
          <w:sz w:val="24"/>
          <w:szCs w:val="24"/>
        </w:rPr>
        <w:t xml:space="preserve">[8]</w:t>
      </w:r>
      <w:r>
        <w:rPr>
          <w:rFonts w:ascii="Arial" w:cs="Arial" w:eastAsia="Arial" w:hAnsi="Arial"/>
          <w:sz w:val="24"/>
          <w:szCs w:val="24"/>
        </w:rPr>
        <w:t xml:space="preserve">	</w:t>
      </w:r>
      <w:r>
        <w:rPr>
          <w:rFonts w:ascii="Arial" w:cs="Arial" w:eastAsia="Arial" w:hAnsi="Arial"/>
          <w:sz w:val="24"/>
          <w:szCs w:val="24"/>
        </w:rPr>
        <w:t xml:space="preserve">Congreso de la República del Perú, </w:t>
      </w:r>
      <w:r>
        <w:rPr>
          <w:rFonts w:ascii="Arial" w:cs="Arial" w:eastAsia="Arial" w:hAnsi="Arial"/>
          <w:i/>
          <w:iCs/>
          <w:sz w:val="24"/>
          <w:szCs w:val="24"/>
        </w:rPr>
        <w:t xml:space="preserve">Ley N.° 31814, Ley que promueve el uso de la inteligencia artificial en favor del desarrollo económico y social del país</w:t>
      </w:r>
      <w:r>
        <w:rPr>
          <w:rFonts w:ascii="Arial" w:cs="Arial" w:eastAsia="Arial" w:hAnsi="Arial"/>
          <w:sz w:val="24"/>
          <w:szCs w:val="24"/>
        </w:rPr>
        <w:t xml:space="preserve">. Lima, Perú: Diario Oficial El Peruano, 5 jul. 2023. [En línea]. Disponible en: https://www.gob.pe/institucion/congreso-de-la-republica/normas-legales/4565760-31814</w:t>
      </w:r>
    </w:p>
    <w:p>
      <w:pPr>
        <w:tabs>
          <w:tab w:val="left" w:pos="567"/>
        </w:tabs>
        <w:spacing w:after="120" w:before="0" w:line="360"/>
        <w:ind w:left="567" w:hanging="567"/>
      </w:pPr>
      <w:r>
        <w:rPr>
          <w:rFonts w:ascii="Arial" w:cs="Arial" w:eastAsia="Arial" w:hAnsi="Arial"/>
          <w:sz w:val="24"/>
          <w:szCs w:val="24"/>
        </w:rPr>
        <w:t xml:space="preserve">[10]</w:t>
      </w:r>
      <w:r>
        <w:rPr>
          <w:rFonts w:ascii="Arial" w:cs="Arial" w:eastAsia="Arial" w:hAnsi="Arial"/>
          <w:sz w:val="24"/>
          <w:szCs w:val="24"/>
        </w:rPr>
        <w:t xml:space="preserve">	</w:t>
      </w:r>
      <w:r>
        <w:rPr>
          <w:rFonts w:ascii="Arial" w:cs="Arial" w:eastAsia="Arial" w:hAnsi="Arial"/>
          <w:sz w:val="24"/>
          <w:szCs w:val="24"/>
        </w:rPr>
        <w:t xml:space="preserve">K. A. Rojas Ahumada, V. López Zavaleta y A. C. Mendoza de los Santos, “El impacto de la inteligencia artificial en la mejora de la atención al cliente: una revisión sistémica,” </w:t>
      </w:r>
      <w:r>
        <w:rPr>
          <w:rFonts w:ascii="Arial" w:cs="Arial" w:eastAsia="Arial" w:hAnsi="Arial"/>
          <w:i/>
          <w:iCs/>
          <w:sz w:val="24"/>
          <w:szCs w:val="24"/>
        </w:rPr>
        <w:t xml:space="preserve">Innovación y Software</w:t>
      </w:r>
      <w:r>
        <w:rPr>
          <w:rFonts w:ascii="Arial" w:cs="Arial" w:eastAsia="Arial" w:hAnsi="Arial"/>
          <w:sz w:val="24"/>
          <w:szCs w:val="24"/>
        </w:rPr>
        <w:t xml:space="preserve">, vol. 4, no. 2, pp. 201–222, 2023, doi: 10.48168/innosoft.s12.a90.</w:t>
      </w:r>
    </w:p>
    <w:p>
      <w:pPr>
        <w:tabs>
          <w:tab w:val="left" w:pos="567"/>
        </w:tabs>
        <w:spacing w:after="120" w:before="0" w:line="360"/>
        <w:ind w:left="567" w:hanging="567"/>
      </w:pPr>
      <w:r>
        <w:rPr>
          <w:rFonts w:ascii="Arial" w:cs="Arial" w:eastAsia="Arial" w:hAnsi="Arial"/>
          <w:sz w:val="24"/>
          <w:szCs w:val="24"/>
        </w:rPr>
        <w:t xml:space="preserve">[11]</w:t>
      </w:r>
      <w:r>
        <w:rPr>
          <w:rFonts w:ascii="Arial" w:cs="Arial" w:eastAsia="Arial" w:hAnsi="Arial"/>
          <w:sz w:val="24"/>
          <w:szCs w:val="24"/>
        </w:rPr>
        <w:t xml:space="preserve">	</w:t>
      </w:r>
      <w:r>
        <w:rPr>
          <w:rFonts w:ascii="Arial" w:cs="Arial" w:eastAsia="Arial" w:hAnsi="Arial"/>
          <w:sz w:val="24"/>
          <w:szCs w:val="24"/>
        </w:rPr>
        <w:t xml:space="preserve">O. D. Casazola Cruz, G. Alfaro Mariño, J. Burgos Tejada y O. A. Ramos More, “La usabilidad percibida de los chatbots sobre la atención al cliente en las organizaciones: una revisión de la literatura,” </w:t>
      </w:r>
      <w:r>
        <w:rPr>
          <w:rFonts w:ascii="Arial" w:cs="Arial" w:eastAsia="Arial" w:hAnsi="Arial"/>
          <w:i/>
          <w:iCs/>
          <w:sz w:val="24"/>
          <w:szCs w:val="24"/>
        </w:rPr>
        <w:t xml:space="preserve">Interfases</w:t>
      </w:r>
      <w:r>
        <w:rPr>
          <w:rFonts w:ascii="Arial" w:cs="Arial" w:eastAsia="Arial" w:hAnsi="Arial"/>
          <w:sz w:val="24"/>
          <w:szCs w:val="24"/>
        </w:rPr>
        <w:t xml:space="preserve">, no. 14, pp. 184–204, 2021, doi: 10.26439/interfases2021.n014.5401.</w:t>
      </w:r>
    </w:p>
    <w:p>
      <w:pPr>
        <w:tabs>
          <w:tab w:val="left" w:pos="567"/>
        </w:tabs>
        <w:spacing w:after="120" w:before="0" w:line="360"/>
        <w:ind w:left="567" w:hanging="567"/>
      </w:pPr>
      <w:r>
        <w:rPr>
          <w:rFonts w:ascii="Arial" w:cs="Arial" w:eastAsia="Arial" w:hAnsi="Arial"/>
          <w:sz w:val="24"/>
          <w:szCs w:val="24"/>
        </w:rPr>
        <w:t xml:space="preserve">[12]</w:t>
      </w:r>
      <w:r>
        <w:rPr>
          <w:rFonts w:ascii="Arial" w:cs="Arial" w:eastAsia="Arial" w:hAnsi="Arial"/>
          <w:sz w:val="24"/>
          <w:szCs w:val="24"/>
        </w:rPr>
        <w:t xml:space="preserve">	</w:t>
      </w:r>
      <w:r>
        <w:rPr>
          <w:rFonts w:ascii="Arial" w:cs="Arial" w:eastAsia="Arial" w:hAnsi="Arial"/>
          <w:sz w:val="24"/>
          <w:szCs w:val="24"/>
        </w:rPr>
        <w:t xml:space="preserve">C. Ledro, A. Nosella y A. Vinelli, “Artificial intelligence in customer relationship management: Literature review and future research directions,” </w:t>
      </w:r>
      <w:r>
        <w:rPr>
          <w:rFonts w:ascii="Arial" w:cs="Arial" w:eastAsia="Arial" w:hAnsi="Arial"/>
          <w:i/>
          <w:iCs/>
          <w:sz w:val="24"/>
          <w:szCs w:val="24"/>
        </w:rPr>
        <w:t xml:space="preserve">Journal of Business &amp; Industrial Marketing</w:t>
      </w:r>
      <w:r>
        <w:rPr>
          <w:rFonts w:ascii="Arial" w:cs="Arial" w:eastAsia="Arial" w:hAnsi="Arial"/>
          <w:sz w:val="24"/>
          <w:szCs w:val="24"/>
        </w:rPr>
        <w:t xml:space="preserve">, vol. 37, no. 13, pp. 48–63, 2022, doi: 10.1108/JBIM-07-2021-0332.</w:t>
      </w:r>
    </w:p>
    <w:p>
      <w:pPr>
        <w:tabs>
          <w:tab w:val="left" w:pos="567"/>
        </w:tabs>
        <w:spacing w:after="120" w:before="0" w:line="360"/>
        <w:ind w:left="567" w:hanging="567"/>
      </w:pPr>
      <w:r>
        <w:rPr>
          <w:rFonts w:ascii="Arial" w:cs="Arial" w:eastAsia="Arial" w:hAnsi="Arial"/>
          <w:sz w:val="24"/>
          <w:szCs w:val="24"/>
        </w:rPr>
        <w:t xml:space="preserve">[13]</w:t>
      </w:r>
      <w:r>
        <w:rPr>
          <w:rFonts w:ascii="Arial" w:cs="Arial" w:eastAsia="Arial" w:hAnsi="Arial"/>
          <w:sz w:val="24"/>
          <w:szCs w:val="24"/>
        </w:rPr>
        <w:t xml:space="preserve">	</w:t>
      </w:r>
      <w:r>
        <w:rPr>
          <w:rFonts w:ascii="Arial" w:cs="Arial" w:eastAsia="Arial" w:hAnsi="Arial"/>
          <w:sz w:val="24"/>
          <w:szCs w:val="24"/>
        </w:rPr>
        <w:t xml:space="preserve">D. Ozay, M. Jahanbakht, A. Shoomal y S. Wang, “Artificial intelligence (AI)-based customer relationship management (CRM): A comprehensive bibliometric and systematic literature review with outlook on future research,” </w:t>
      </w:r>
      <w:r>
        <w:rPr>
          <w:rFonts w:ascii="Arial" w:cs="Arial" w:eastAsia="Arial" w:hAnsi="Arial"/>
          <w:i/>
          <w:iCs/>
          <w:sz w:val="24"/>
          <w:szCs w:val="24"/>
        </w:rPr>
        <w:t xml:space="preserve">Enterprise Information Systems</w:t>
      </w:r>
      <w:r>
        <w:rPr>
          <w:rFonts w:ascii="Arial" w:cs="Arial" w:eastAsia="Arial" w:hAnsi="Arial"/>
          <w:sz w:val="24"/>
          <w:szCs w:val="24"/>
        </w:rPr>
        <w:t xml:space="preserve">, vol. 18, no. 7, art. no. 2351869, 2024, doi: 10.1080/17517575.2024.2351869.</w:t>
      </w:r>
    </w:p>
    <w:p>
      <w:pPr>
        <w:tabs>
          <w:tab w:val="left" w:pos="567"/>
        </w:tabs>
        <w:spacing w:after="120" w:before="0" w:line="360"/>
        <w:ind w:left="567" w:hanging="567"/>
      </w:pPr>
      <w:r>
        <w:rPr>
          <w:rFonts w:ascii="Arial" w:cs="Arial" w:eastAsia="Arial" w:hAnsi="Arial"/>
          <w:sz w:val="24"/>
          <w:szCs w:val="24"/>
        </w:rPr>
        <w:t xml:space="preserve">[14]</w:t>
      </w:r>
      <w:r>
        <w:rPr>
          <w:rFonts w:ascii="Arial" w:cs="Arial" w:eastAsia="Arial" w:hAnsi="Arial"/>
          <w:sz w:val="24"/>
          <w:szCs w:val="24"/>
        </w:rPr>
        <w:t xml:space="preserve">	</w:t>
      </w:r>
      <w:r>
        <w:rPr>
          <w:rFonts w:ascii="Arial" w:cs="Arial" w:eastAsia="Arial" w:hAnsi="Arial"/>
          <w:sz w:val="24"/>
          <w:szCs w:val="24"/>
        </w:rPr>
        <w:t xml:space="preserve">C. Ledro, A. Nosella, A. Vinelli, I. Dalla Pozza y T. Souverain, “Artificial intelligence in customer relationship management: A systematic framework for a successful integration,”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199, art. no. 115531, 2025, doi: 10.1016/j.jbusres.2025.115531.</w:t>
      </w:r>
    </w:p>
    <w:p>
      <w:pPr>
        <w:tabs>
          <w:tab w:val="left" w:pos="567"/>
        </w:tabs>
        <w:spacing w:after="120" w:before="0" w:line="360"/>
        <w:ind w:left="567" w:hanging="567"/>
      </w:pPr>
      <w:r>
        <w:rPr>
          <w:rFonts w:ascii="Arial" w:cs="Arial" w:eastAsia="Arial" w:hAnsi="Arial"/>
          <w:sz w:val="24"/>
          <w:szCs w:val="24"/>
        </w:rPr>
        <w:t xml:space="preserve">[15]</w:t>
      </w:r>
      <w:r>
        <w:rPr>
          <w:rFonts w:ascii="Arial" w:cs="Arial" w:eastAsia="Arial" w:hAnsi="Arial"/>
          <w:sz w:val="24"/>
          <w:szCs w:val="24"/>
        </w:rPr>
        <w:t xml:space="preserve">	</w:t>
      </w:r>
      <w:r>
        <w:rPr>
          <w:rFonts w:ascii="Arial" w:cs="Arial" w:eastAsia="Arial" w:hAnsi="Arial"/>
          <w:sz w:val="24"/>
          <w:szCs w:val="24"/>
        </w:rPr>
        <w:t xml:space="preserve">M. Chung, E. Ko, H. Joung y S. J. Kim, “Chatbot e-service and customer satisfaction regarding luxury brands,” </w:t>
      </w:r>
      <w:r>
        <w:rPr>
          <w:rFonts w:ascii="Arial" w:cs="Arial" w:eastAsia="Arial" w:hAnsi="Arial"/>
          <w:i/>
          <w:iCs/>
          <w:sz w:val="24"/>
          <w:szCs w:val="24"/>
        </w:rPr>
        <w:t xml:space="preserve">Journal of Business Research</w:t>
      </w:r>
      <w:r>
        <w:rPr>
          <w:rFonts w:ascii="Arial" w:cs="Arial" w:eastAsia="Arial" w:hAnsi="Arial"/>
          <w:sz w:val="24"/>
          <w:szCs w:val="24"/>
        </w:rPr>
        <w:t xml:space="preserve">, vol. 117, pp. 587–595, 2020, doi: 10.1016/j.jbusres.2018.10.004.</w:t>
      </w:r>
    </w:p>
    <w:p>
      <w:pPr>
        <w:tabs>
          <w:tab w:val="left" w:pos="567"/>
        </w:tabs>
        <w:spacing w:after="120" w:before="0" w:line="360"/>
        <w:ind w:left="567" w:hanging="567"/>
      </w:pPr>
      <w:r>
        <w:rPr>
          <w:rFonts w:ascii="Arial" w:cs="Arial" w:eastAsia="Arial" w:hAnsi="Arial"/>
          <w:sz w:val="24"/>
          <w:szCs w:val="24"/>
        </w:rPr>
        <w:t xml:space="preserve">[16]</w:t>
      </w:r>
      <w:r>
        <w:rPr>
          <w:rFonts w:ascii="Arial" w:cs="Arial" w:eastAsia="Arial" w:hAnsi="Arial"/>
          <w:sz w:val="24"/>
          <w:szCs w:val="24"/>
        </w:rPr>
        <w:t xml:space="preserve">	</w:t>
      </w:r>
      <w:r>
        <w:rPr>
          <w:rFonts w:ascii="Arial" w:cs="Arial" w:eastAsia="Arial" w:hAnsi="Arial"/>
          <w:sz w:val="24"/>
          <w:szCs w:val="24"/>
        </w:rPr>
        <w:t xml:space="preserve">J.-S. Chen, T.-T.-Y. Le y D. Florence, “Usability and responsiveness of artificial intelligence chatbot on online customer experience in e-retailing,” </w:t>
      </w:r>
      <w:r>
        <w:rPr>
          <w:rFonts w:ascii="Arial" w:cs="Arial" w:eastAsia="Arial" w:hAnsi="Arial"/>
          <w:i/>
          <w:iCs/>
          <w:sz w:val="24"/>
          <w:szCs w:val="24"/>
        </w:rPr>
        <w:t xml:space="preserve">International Journal of Retail &amp; Distribution Management</w:t>
      </w:r>
      <w:r>
        <w:rPr>
          <w:rFonts w:ascii="Arial" w:cs="Arial" w:eastAsia="Arial" w:hAnsi="Arial"/>
          <w:sz w:val="24"/>
          <w:szCs w:val="24"/>
        </w:rPr>
        <w:t xml:space="preserve">, vol. 49, no. 11, pp. 1512–1531, 2021, doi: 10.1108/IJRDM-08-2020-0312.</w:t>
      </w:r>
    </w:p>
    <w:p>
      <w:pPr>
        <w:tabs>
          <w:tab w:val="left" w:pos="567"/>
        </w:tabs>
        <w:spacing w:after="120" w:before="0" w:line="360"/>
        <w:ind w:left="567" w:hanging="567"/>
      </w:pPr>
      <w:r>
        <w:rPr>
          <w:rFonts w:ascii="Arial" w:cs="Arial" w:eastAsia="Arial" w:hAnsi="Arial"/>
          <w:sz w:val="24"/>
          <w:szCs w:val="24"/>
        </w:rPr>
        <w:t xml:space="preserve">[17]</w:t>
      </w:r>
      <w:r>
        <w:rPr>
          <w:rFonts w:ascii="Arial" w:cs="Arial" w:eastAsia="Arial" w:hAnsi="Arial"/>
          <w:sz w:val="24"/>
          <w:szCs w:val="24"/>
        </w:rPr>
        <w:t xml:space="preserve">	</w:t>
      </w:r>
      <w:r>
        <w:rPr>
          <w:rFonts w:ascii="Arial" w:cs="Arial" w:eastAsia="Arial" w:hAnsi="Arial"/>
          <w:sz w:val="24"/>
          <w:szCs w:val="24"/>
        </w:rPr>
        <w:t xml:space="preserve">M. Al-Shafei, “Navigating human-chatbot interactions: An investigation into factors influencing user satisfaction and engagement,” </w:t>
      </w:r>
      <w:r>
        <w:rPr>
          <w:rFonts w:ascii="Arial" w:cs="Arial" w:eastAsia="Arial" w:hAnsi="Arial"/>
          <w:i/>
          <w:iCs/>
          <w:sz w:val="24"/>
          <w:szCs w:val="24"/>
        </w:rPr>
        <w:t xml:space="preserve">International Journal of Human–Computer Interaction</w:t>
      </w:r>
      <w:r>
        <w:rPr>
          <w:rFonts w:ascii="Arial" w:cs="Arial" w:eastAsia="Arial" w:hAnsi="Arial"/>
          <w:sz w:val="24"/>
          <w:szCs w:val="24"/>
        </w:rPr>
        <w:t xml:space="preserve">, vol. 41, no. 1, pp. 411–428, 2025, doi: 10.1080/10447318.2023.2301252.</w:t>
      </w:r>
    </w:p>
    <w:p>
      <w:pPr>
        <w:tabs>
          <w:tab w:val="left" w:pos="567"/>
        </w:tabs>
        <w:spacing w:after="120" w:before="0" w:line="360"/>
        <w:ind w:left="567" w:hanging="567"/>
      </w:pPr>
      <w:r>
        <w:rPr>
          <w:rFonts w:ascii="Arial" w:cs="Arial" w:eastAsia="Arial" w:hAnsi="Arial"/>
          <w:sz w:val="24"/>
          <w:szCs w:val="24"/>
        </w:rPr>
        <w:t xml:space="preserve">[18]</w:t>
      </w:r>
      <w:r>
        <w:rPr>
          <w:rFonts w:ascii="Arial" w:cs="Arial" w:eastAsia="Arial" w:hAnsi="Arial"/>
          <w:sz w:val="24"/>
          <w:szCs w:val="24"/>
        </w:rPr>
        <w:t xml:space="preserve">	</w:t>
      </w:r>
      <w:r>
        <w:rPr>
          <w:rFonts w:ascii="Arial" w:cs="Arial" w:eastAsia="Arial" w:hAnsi="Arial"/>
          <w:sz w:val="24"/>
          <w:szCs w:val="24"/>
        </w:rPr>
        <w:t xml:space="preserve">M. Adam, M. Wessel y A. Benlian, “AI-based chatbots in customer service and their effects on user compliance,” </w:t>
      </w:r>
      <w:r>
        <w:rPr>
          <w:rFonts w:ascii="Arial" w:cs="Arial" w:eastAsia="Arial" w:hAnsi="Arial"/>
          <w:i/>
          <w:iCs/>
          <w:sz w:val="24"/>
          <w:szCs w:val="24"/>
        </w:rPr>
        <w:t xml:space="preserve">Electronic Markets</w:t>
      </w:r>
      <w:r>
        <w:rPr>
          <w:rFonts w:ascii="Arial" w:cs="Arial" w:eastAsia="Arial" w:hAnsi="Arial"/>
          <w:sz w:val="24"/>
          <w:szCs w:val="24"/>
        </w:rPr>
        <w:t xml:space="preserve">, vol. 31, no. 2, pp. 427–445, 2021, doi: 10.1007/s12525-020-00414-7.</w:t>
      </w:r>
    </w:p>
    <w:p>
      <w:pPr>
        <w:tabs>
          <w:tab w:val="left" w:pos="567"/>
        </w:tabs>
        <w:spacing w:after="120" w:before="0" w:line="360"/>
        <w:ind w:left="567" w:hanging="567"/>
      </w:pPr>
      <w:r>
        <w:rPr>
          <w:rFonts w:ascii="Arial" w:cs="Arial" w:eastAsia="Arial" w:hAnsi="Arial"/>
          <w:sz w:val="24"/>
          <w:szCs w:val="24"/>
        </w:rPr>
        <w:t xml:space="preserve">[19]</w:t>
      </w:r>
      <w:r>
        <w:rPr>
          <w:rFonts w:ascii="Arial" w:cs="Arial" w:eastAsia="Arial" w:hAnsi="Arial"/>
          <w:sz w:val="24"/>
          <w:szCs w:val="24"/>
        </w:rPr>
        <w:t xml:space="preserve">	</w:t>
      </w:r>
      <w:r>
        <w:rPr>
          <w:rFonts w:ascii="Arial" w:cs="Arial" w:eastAsia="Arial" w:hAnsi="Arial"/>
          <w:sz w:val="24"/>
          <w:szCs w:val="24"/>
        </w:rPr>
        <w:t xml:space="preserve">B. Sheehan, H. S. Jin y U. Gottlieb, “Customer service chatbots: Anthropomorphism and adoption,” </w:t>
      </w:r>
      <w:r>
        <w:rPr>
          <w:rFonts w:ascii="Arial" w:cs="Arial" w:eastAsia="Arial" w:hAnsi="Arial"/>
          <w:i/>
          <w:iCs/>
          <w:sz w:val="24"/>
          <w:szCs w:val="24"/>
        </w:rPr>
        <w:t xml:space="preserve">Journal of Business Research</w:t>
      </w:r>
      <w:r>
        <w:rPr>
          <w:rFonts w:ascii="Arial" w:cs="Arial" w:eastAsia="Arial" w:hAnsi="Arial"/>
          <w:sz w:val="24"/>
          <w:szCs w:val="24"/>
        </w:rPr>
        <w:t xml:space="preserve">, vol. 115, pp. 14–24, 2020, doi: 10.1016/j.jbusres.2020.04.030.</w:t>
      </w:r>
    </w:p>
    <w:p>
      <w:pPr>
        <w:tabs>
          <w:tab w:val="left" w:pos="567"/>
        </w:tabs>
        <w:spacing w:after="120" w:before="0" w:line="360"/>
        <w:ind w:left="567" w:hanging="567"/>
      </w:pPr>
      <w:r>
        <w:rPr>
          <w:rFonts w:ascii="Arial" w:cs="Arial" w:eastAsia="Arial" w:hAnsi="Arial"/>
          <w:sz w:val="24"/>
          <w:szCs w:val="24"/>
        </w:rPr>
        <w:t xml:space="preserve">[20]</w:t>
      </w:r>
      <w:r>
        <w:rPr>
          <w:rFonts w:ascii="Arial" w:cs="Arial" w:eastAsia="Arial" w:hAnsi="Arial"/>
          <w:sz w:val="24"/>
          <w:szCs w:val="24"/>
        </w:rPr>
        <w:t xml:space="preserve">	</w:t>
      </w:r>
      <w:r>
        <w:rPr>
          <w:rFonts w:ascii="Arial" w:cs="Arial" w:eastAsia="Arial" w:hAnsi="Arial"/>
          <w:sz w:val="24"/>
          <w:szCs w:val="24"/>
        </w:rPr>
        <w:t xml:space="preserve">R. K. Marjerison, Y. Zhang y H. Zheng, “AI in e-commerce: Application of the use and gratification model to the acceptance of chatbots,” </w:t>
      </w:r>
      <w:r>
        <w:rPr>
          <w:rFonts w:ascii="Arial" w:cs="Arial" w:eastAsia="Arial" w:hAnsi="Arial"/>
          <w:i/>
          <w:iCs/>
          <w:sz w:val="24"/>
          <w:szCs w:val="24"/>
        </w:rPr>
        <w:t xml:space="preserve">Sustainability</w:t>
      </w:r>
      <w:r>
        <w:rPr>
          <w:rFonts w:ascii="Arial" w:cs="Arial" w:eastAsia="Arial" w:hAnsi="Arial"/>
          <w:sz w:val="24"/>
          <w:szCs w:val="24"/>
        </w:rPr>
        <w:t xml:space="preserve">, vol. 14, no. 21, art. no. 14270, 2022, doi: 10.3390/su142114270.</w:t>
      </w:r>
    </w:p>
    <w:p>
      <w:pPr>
        <w:tabs>
          <w:tab w:val="left" w:pos="567"/>
        </w:tabs>
        <w:spacing w:after="120" w:before="0" w:line="360"/>
        <w:ind w:left="567" w:hanging="567"/>
      </w:pPr>
      <w:r>
        <w:rPr>
          <w:rFonts w:ascii="Arial" w:cs="Arial" w:eastAsia="Arial" w:hAnsi="Arial"/>
          <w:sz w:val="24"/>
          <w:szCs w:val="24"/>
        </w:rPr>
        <w:t xml:space="preserve">[22]</w:t>
      </w:r>
      <w:r>
        <w:rPr>
          <w:rFonts w:ascii="Arial" w:cs="Arial" w:eastAsia="Arial" w:hAnsi="Arial"/>
          <w:sz w:val="24"/>
          <w:szCs w:val="24"/>
        </w:rPr>
        <w:t xml:space="preserve">	</w:t>
      </w:r>
      <w:r>
        <w:rPr>
          <w:rFonts w:ascii="Arial" w:cs="Arial" w:eastAsia="Arial" w:hAnsi="Arial"/>
          <w:sz w:val="24"/>
          <w:szCs w:val="24"/>
        </w:rPr>
        <w:t xml:space="preserve">J. Sidlauskiene, Y. Joye y V. Auruskeviciene, “AI-based chatbots in conversational commerce and their effects on product and price perceptions,” </w:t>
      </w:r>
      <w:r>
        <w:rPr>
          <w:rFonts w:ascii="Arial" w:cs="Arial" w:eastAsia="Arial" w:hAnsi="Arial"/>
          <w:i/>
          <w:iCs/>
          <w:sz w:val="24"/>
          <w:szCs w:val="24"/>
        </w:rPr>
        <w:t xml:space="preserve">Electronic Markets</w:t>
      </w:r>
      <w:r>
        <w:rPr>
          <w:rFonts w:ascii="Arial" w:cs="Arial" w:eastAsia="Arial" w:hAnsi="Arial"/>
          <w:sz w:val="24"/>
          <w:szCs w:val="24"/>
        </w:rPr>
        <w:t xml:space="preserve">, vol. 33, no. 1, art. no. 24, 2023, doi: 10.1007/s12525-023-00633-8.</w:t>
      </w:r>
    </w:p>
    <w:p>
      <w:pPr>
        <w:tabs>
          <w:tab w:val="left" w:pos="567"/>
        </w:tabs>
        <w:spacing w:after="120" w:before="0" w:line="360"/>
        <w:ind w:left="567" w:hanging="567"/>
      </w:pPr>
      <w:r>
        <w:rPr>
          <w:rFonts w:ascii="Arial" w:cs="Arial" w:eastAsia="Arial" w:hAnsi="Arial"/>
          <w:sz w:val="24"/>
          <w:szCs w:val="24"/>
        </w:rPr>
        <w:t xml:space="preserve">[23]</w:t>
      </w:r>
      <w:r>
        <w:rPr>
          <w:rFonts w:ascii="Arial" w:cs="Arial" w:eastAsia="Arial" w:hAnsi="Arial"/>
          <w:sz w:val="24"/>
          <w:szCs w:val="24"/>
        </w:rPr>
        <w:t xml:space="preserve">	</w:t>
      </w:r>
      <w:r>
        <w:rPr>
          <w:rFonts w:ascii="Arial" w:cs="Arial" w:eastAsia="Arial" w:hAnsi="Arial"/>
          <w:sz w:val="24"/>
          <w:szCs w:val="24"/>
        </w:rPr>
        <w:t xml:space="preserve">M. Madanchian, “The impact of artificial intelligence marketing on e-commerce sales,” </w:t>
      </w:r>
      <w:r>
        <w:rPr>
          <w:rFonts w:ascii="Arial" w:cs="Arial" w:eastAsia="Arial" w:hAnsi="Arial"/>
          <w:i/>
          <w:iCs/>
          <w:sz w:val="24"/>
          <w:szCs w:val="24"/>
        </w:rPr>
        <w:t xml:space="preserve">Systems</w:t>
      </w:r>
      <w:r>
        <w:rPr>
          <w:rFonts w:ascii="Arial" w:cs="Arial" w:eastAsia="Arial" w:hAnsi="Arial"/>
          <w:sz w:val="24"/>
          <w:szCs w:val="24"/>
        </w:rPr>
        <w:t xml:space="preserve">, vol. 12, no. 10, art. no. 429, 2024, doi: 10.3390/systems12100429.</w:t>
      </w:r>
    </w:p>
    <w:p>
      <w:pPr>
        <w:tabs>
          <w:tab w:val="left" w:pos="567"/>
        </w:tabs>
        <w:spacing w:after="120" w:before="0" w:line="360"/>
        <w:ind w:left="567" w:hanging="567"/>
      </w:pPr>
      <w:r>
        <w:rPr>
          <w:rFonts w:ascii="Arial" w:cs="Arial" w:eastAsia="Arial" w:hAnsi="Arial"/>
          <w:sz w:val="24"/>
          <w:szCs w:val="24"/>
        </w:rPr>
        <w:t xml:space="preserve">[24]</w:t>
      </w:r>
      <w:r>
        <w:rPr>
          <w:rFonts w:ascii="Arial" w:cs="Arial" w:eastAsia="Arial" w:hAnsi="Arial"/>
          <w:sz w:val="24"/>
          <w:szCs w:val="24"/>
        </w:rPr>
        <w:t xml:space="preserve">	</w:t>
      </w:r>
      <w:r>
        <w:rPr>
          <w:rFonts w:ascii="Arial" w:cs="Arial" w:eastAsia="Arial" w:hAnsi="Arial"/>
          <w:sz w:val="24"/>
          <w:szCs w:val="24"/>
        </w:rPr>
        <w:t xml:space="preserve">A. Ranjan y A. K. Upadhyay, “Value co-creation by interactive AI in fashion e-commerce,” </w:t>
      </w:r>
      <w:r>
        <w:rPr>
          <w:rFonts w:ascii="Arial" w:cs="Arial" w:eastAsia="Arial" w:hAnsi="Arial"/>
          <w:i/>
          <w:iCs/>
          <w:sz w:val="24"/>
          <w:szCs w:val="24"/>
        </w:rPr>
        <w:t xml:space="preserve">Cogent Business &amp; Management</w:t>
      </w:r>
      <w:r>
        <w:rPr>
          <w:rFonts w:ascii="Arial" w:cs="Arial" w:eastAsia="Arial" w:hAnsi="Arial"/>
          <w:sz w:val="24"/>
          <w:szCs w:val="24"/>
        </w:rPr>
        <w:t xml:space="preserve">, vol. 12, no. 1, art. no. 2440127, 2025, doi: 10.1080/23311975.2024.2440127.</w:t>
      </w:r>
    </w:p>
    <w:p>
      <w:pPr>
        <w:tabs>
          <w:tab w:val="left" w:pos="567"/>
        </w:tabs>
        <w:spacing w:after="120" w:before="0" w:line="360"/>
        <w:ind w:left="567" w:hanging="567"/>
      </w:pPr>
      <w:r>
        <w:rPr>
          <w:rFonts w:ascii="Arial" w:cs="Arial" w:eastAsia="Arial" w:hAnsi="Arial"/>
          <w:sz w:val="24"/>
          <w:szCs w:val="24"/>
        </w:rPr>
        <w:t xml:space="preserve">[30]</w:t>
      </w:r>
      <w:r>
        <w:rPr>
          <w:rFonts w:ascii="Arial" w:cs="Arial" w:eastAsia="Arial" w:hAnsi="Arial"/>
          <w:sz w:val="24"/>
          <w:szCs w:val="24"/>
        </w:rPr>
        <w:t xml:space="preserve">	</w:t>
      </w:r>
      <w:r>
        <w:rPr>
          <w:rFonts w:ascii="Arial" w:cs="Arial" w:eastAsia="Arial" w:hAnsi="Arial"/>
          <w:sz w:val="24"/>
          <w:szCs w:val="24"/>
        </w:rPr>
        <w:t xml:space="preserve">Ministerio de la Producción, “Desempeño económico de las MYPE 2024,” Observatorio PRODUCEmpresarial, Lima, Perú, may. 2025. [En línea]. Disponible en: https://www.producempresarial.pe/wp-content/uploads/2025/05/355-PPT_Indicadores-de-Desempeno-MYPE-2024_08.05.2025_rev.pdf</w:t>
      </w:r>
    </w:p>
    <w:p>
      <w:pPr>
        <w:tabs>
          <w:tab w:val="left" w:pos="567"/>
        </w:tabs>
        <w:spacing w:after="120" w:before="0" w:line="360"/>
        <w:ind w:left="567" w:hanging="567"/>
      </w:pPr>
      <w:r>
        <w:rPr>
          <w:rFonts w:ascii="Arial" w:cs="Arial" w:eastAsia="Arial" w:hAnsi="Arial"/>
          <w:sz w:val="24"/>
          <w:szCs w:val="24"/>
        </w:rPr>
        <w:t xml:space="preserve">[31]</w:t>
      </w:r>
      <w:r>
        <w:rPr>
          <w:rFonts w:ascii="Arial" w:cs="Arial" w:eastAsia="Arial" w:hAnsi="Arial"/>
          <w:sz w:val="24"/>
          <w:szCs w:val="24"/>
        </w:rPr>
        <w:t xml:space="preserve">	</w:t>
      </w:r>
      <w:r>
        <w:rPr>
          <w:rFonts w:ascii="Arial" w:cs="Arial" w:eastAsia="Arial" w:hAnsi="Arial"/>
          <w:sz w:val="24"/>
          <w:szCs w:val="24"/>
        </w:rPr>
        <w:t xml:space="preserve">F. A. Lavanda Reyes, R. E. Ruiz Reyes, M. G. Reyes Mejía, L. A. Castillo Samanamud y J. L. Reyes Ruiz, “Los chatbots y la satisfacción de los clientes en empresas peruanas, año 2025,” </w:t>
      </w:r>
      <w:r>
        <w:rPr>
          <w:rFonts w:ascii="Arial" w:cs="Arial" w:eastAsia="Arial" w:hAnsi="Arial"/>
          <w:i/>
          <w:iCs/>
          <w:sz w:val="24"/>
          <w:szCs w:val="24"/>
        </w:rPr>
        <w:t xml:space="preserve">Impulso, Revista de Administración</w:t>
      </w:r>
      <w:r>
        <w:rPr>
          <w:rFonts w:ascii="Arial" w:cs="Arial" w:eastAsia="Arial" w:hAnsi="Arial"/>
          <w:sz w:val="24"/>
          <w:szCs w:val="24"/>
        </w:rPr>
        <w:t xml:space="preserve">, vol. 6, no. 13, pp. 237–252, 2026, doi: 10.59659/impulso.v.6i13.235.</w:t>
      </w:r>
    </w:p>
    <w:p>
      <w:pPr>
        <w:tabs>
          <w:tab w:val="left" w:pos="567"/>
        </w:tabs>
        <w:spacing w:after="120" w:before="0" w:line="360"/>
        <w:ind w:left="567" w:hanging="567"/>
      </w:pPr>
      <w:r>
        <w:rPr>
          <w:rFonts w:ascii="Arial" w:cs="Arial" w:eastAsia="Arial" w:hAnsi="Arial"/>
          <w:sz w:val="24"/>
          <w:szCs w:val="24"/>
        </w:rPr>
        <w:t xml:space="preserve">[32]</w:t>
      </w:r>
      <w:r>
        <w:rPr>
          <w:rFonts w:ascii="Arial" w:cs="Arial" w:eastAsia="Arial" w:hAnsi="Arial"/>
          <w:sz w:val="24"/>
          <w:szCs w:val="24"/>
        </w:rPr>
        <w:t xml:space="preserve">	</w:t>
      </w:r>
      <w:r>
        <w:rPr>
          <w:rFonts w:ascii="Arial" w:cs="Arial" w:eastAsia="Arial" w:hAnsi="Arial"/>
          <w:sz w:val="24"/>
          <w:szCs w:val="24"/>
        </w:rPr>
        <w:t xml:space="preserve">C. J. López Leonardo y C. J. Lozada Tiglla, “Percepción del impacto de un chatbot en la atención al cliente en el área de venta digital de una empresa de transportes,” </w:t>
      </w:r>
      <w:r>
        <w:rPr>
          <w:rFonts w:ascii="Arial" w:cs="Arial" w:eastAsia="Arial" w:hAnsi="Arial"/>
          <w:i/>
          <w:iCs/>
          <w:sz w:val="24"/>
          <w:szCs w:val="24"/>
        </w:rPr>
        <w:t xml:space="preserve">Ciencias Administrativas</w:t>
      </w:r>
      <w:r>
        <w:rPr>
          <w:rFonts w:ascii="Arial" w:cs="Arial" w:eastAsia="Arial" w:hAnsi="Arial"/>
          <w:sz w:val="24"/>
          <w:szCs w:val="24"/>
        </w:rPr>
        <w:t xml:space="preserve">, no. 27, art. no. e181, 2026, doi: 10.24215/23143738e181.</w:t>
      </w:r>
    </w:p>
    <w:p>
      <w:pPr>
        <w:tabs>
          <w:tab w:val="left" w:pos="567"/>
        </w:tabs>
        <w:spacing w:after="120" w:before="0" w:line="360"/>
        <w:ind w:left="567" w:hanging="567"/>
      </w:pPr>
      <w:r>
        <w:rPr>
          <w:rFonts w:ascii="Arial" w:cs="Arial" w:eastAsia="Arial" w:hAnsi="Arial"/>
          <w:sz w:val="24"/>
          <w:szCs w:val="24"/>
        </w:rPr>
        <w:t xml:space="preserve">[34]</w:t>
      </w:r>
      <w:r>
        <w:rPr>
          <w:rFonts w:ascii="Arial" w:cs="Arial" w:eastAsia="Arial" w:hAnsi="Arial"/>
          <w:sz w:val="24"/>
          <w:szCs w:val="24"/>
        </w:rPr>
        <w:t xml:space="preserve">	</w:t>
      </w:r>
      <w:r>
        <w:rPr>
          <w:rFonts w:ascii="Arial" w:cs="Arial" w:eastAsia="Arial" w:hAnsi="Arial"/>
          <w:sz w:val="24"/>
          <w:szCs w:val="24"/>
        </w:rPr>
        <w:t xml:space="preserve">N. R. Bravo Maruri, A. G. Ramirez Reina, F. R. Orozco Lara y M. P. Espinoza Martínez, “Automatización del soporte al cliente mediante un chatbot con IA integrado al CRM: caso de estudio empresa EDITRATECH,” </w:t>
      </w:r>
      <w:r>
        <w:rPr>
          <w:rFonts w:ascii="Arial" w:cs="Arial" w:eastAsia="Arial" w:hAnsi="Arial"/>
          <w:i/>
          <w:iCs/>
          <w:sz w:val="24"/>
          <w:szCs w:val="24"/>
        </w:rPr>
        <w:t xml:space="preserve">GADE: Revista Científica</w:t>
      </w:r>
      <w:r>
        <w:rPr>
          <w:rFonts w:ascii="Arial" w:cs="Arial" w:eastAsia="Arial" w:hAnsi="Arial"/>
          <w:sz w:val="24"/>
          <w:szCs w:val="24"/>
        </w:rPr>
        <w:t xml:space="preserve">, vol. 5, no. 3, pp. 206–219, 2025, doi: 10.63549/rg.v5i3.705.</w:t>
      </w:r>
    </w:p>
    <w:p>
      <w:pPr>
        <w:tabs>
          <w:tab w:val="left" w:pos="567"/>
        </w:tabs>
        <w:spacing w:after="120" w:before="0" w:line="360"/>
        <w:ind w:left="567" w:hanging="567"/>
      </w:pPr>
      <w:r>
        <w:rPr>
          <w:rFonts w:ascii="Arial" w:cs="Arial" w:eastAsia="Arial" w:hAnsi="Arial"/>
          <w:sz w:val="24"/>
          <w:szCs w:val="24"/>
        </w:rPr>
        <w:t xml:space="preserve">[35]</w:t>
      </w:r>
      <w:r>
        <w:rPr>
          <w:rFonts w:ascii="Arial" w:cs="Arial" w:eastAsia="Arial" w:hAnsi="Arial"/>
          <w:sz w:val="24"/>
          <w:szCs w:val="24"/>
        </w:rPr>
        <w:t xml:space="preserve">	</w:t>
      </w:r>
      <w:r>
        <w:rPr>
          <w:rFonts w:ascii="Arial" w:cs="Arial" w:eastAsia="Arial" w:hAnsi="Arial"/>
          <w:sz w:val="24"/>
          <w:szCs w:val="24"/>
        </w:rPr>
        <w:t xml:space="preserve">X. Luo, S. Tong, Z. Fang y Z. Qu, “Frontiers: Machines vs. humans: The impact of artificial intelligence chatbot disclosure on customer purchases,” </w:t>
      </w:r>
      <w:r>
        <w:rPr>
          <w:rFonts w:ascii="Arial" w:cs="Arial" w:eastAsia="Arial" w:hAnsi="Arial"/>
          <w:i/>
          <w:iCs/>
          <w:sz w:val="24"/>
          <w:szCs w:val="24"/>
        </w:rPr>
        <w:t xml:space="preserve">Marketing Science</w:t>
      </w:r>
      <w:r>
        <w:rPr>
          <w:rFonts w:ascii="Arial" w:cs="Arial" w:eastAsia="Arial" w:hAnsi="Arial"/>
          <w:sz w:val="24"/>
          <w:szCs w:val="24"/>
        </w:rPr>
        <w:t xml:space="preserve">, vol. 38, no. 6, pp. 937–947, 2019, doi: 10.1287/mksc.2019.1192.</w:t>
      </w:r>
    </w:p>
    <w:sectPr>
      <w:footerReference w:type="default" r:id="rId8"/>
      <w:pgSz w:w="11906" w:h="16838" w:orient="portrait"/>
      <w:pgMar w:top="1418" w:right="1418" w:bottom="1418" w:left="1418"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r>
    <w:r>
      <w:rPr>
        <w:rFonts w:ascii="Arial" w:cs="Arial" w:eastAsia="Arial" w:hAnsi="Arial"/>
        <w:sz w:val="24"/>
        <w:szCs w:val="24"/>
      </w:rPr>
      <w:instrText xml:space="preserve">PAGE</w:instrText>
    </w:r>
    <w:r>
      <w:rPr>
        <w:rFonts w:ascii="Arial" w:cs="Arial" w:eastAsia="Arial" w:hAnsi="Arial"/>
        <w:sz w:val="24"/>
        <w:szCs w:val="24"/>
      </w:rPr>
      <w:fldChar w:fldCharType="separate"/>
    </w:r>
    <w:r>
      <w:rPr>
        <w:rFonts w:ascii="Arial" w:cs="Arial" w:eastAsia="Arial" w:hAnsi="Arial"/>
        <w:sz w:val="24"/>
        <w:szCs w:val="24"/>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r>
    <w:r>
      <w:rPr>
        <w:rFonts w:ascii="Arial" w:cs="Arial" w:eastAsia="Arial" w:hAnsi="Arial"/>
        <w:sz w:val="24"/>
        <w:szCs w:val="24"/>
      </w:rPr>
      <w:instrText xml:space="preserve">PAGE</w:instrText>
    </w:r>
    <w:r>
      <w:rPr>
        <w:rFonts w:ascii="Arial" w:cs="Arial" w:eastAsia="Arial" w:hAnsi="Arial"/>
        <w:sz w:val="24"/>
        <w:szCs w:val="24"/>
      </w:rPr>
      <w:fldChar w:fldCharType="separate"/>
    </w:r>
    <w:r>
      <w:rPr>
        <w:rFonts w:ascii="Arial" w:cs="Arial" w:eastAsia="Arial" w:hAnsi="Arial"/>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sz w:val="24"/>
        <w:szCs w:val="24"/>
      </w:rPr>
      <w:fldChar w:fldCharType="begin"/>
    </w:r>
    <w:r>
      <w:rPr>
        <w:rFonts w:ascii="Arial" w:cs="Arial" w:eastAsia="Arial" w:hAnsi="Arial"/>
        <w:sz w:val="24"/>
        <w:szCs w:val="24"/>
      </w:rPr>
      <w:instrText xml:space="preserve">PAGE</w:instrText>
    </w:r>
    <w:r>
      <w:rPr>
        <w:rFonts w:ascii="Arial" w:cs="Arial" w:eastAsia="Arial" w:hAnsi="Arial"/>
        <w:sz w:val="24"/>
        <w:szCs w:val="24"/>
      </w:rPr>
      <w:fldChar w:fldCharType="separate"/>
    </w:r>
    <w:r>
      <w:rPr>
        <w:rFonts w:ascii="Arial" w:cs="Arial" w:eastAsia="Arial" w:hAnsi="Arial"/>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2026-10-20T04:58:57.108Z</dcterms:created>
  <dcterms:modified xsi:type="dcterms:W3CDTF">2026-10-20T04:58:57.110Z</dcterms:modified>
</cp:coreProperties>
</file>

<file path=docProps/custom.xml><?xml version="1.0" encoding="utf-8"?>
<Properties xmlns="http://schemas.openxmlformats.org/officeDocument/2006/custom-properties" xmlns:vt="http://schemas.openxmlformats.org/officeDocument/2006/docPropsVTypes"/>
</file>