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conclusion is that the workflow is viable end to end and that checks by execution are indispensable: defects that the automatic review and the compilation did not flag appeared in continuous integration and in the tests on the deployed application. The hypothesis that context improves the relevance of the review was not supported, with the caveat that the grading was automatic and a human grading is still missing. The comparison between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r>
            <w:t xml:space="preserve">Esas herramientas,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[60],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experimento de control (apartado 5.2.14).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De esas 66 observaciones no se evaluó cuáles eran relevantes y cuáles ruido; el experimento de control del apartado 5.2.14 mide la relevancia con revisiones repetidas sobre los mismos Pull Requests.</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 xml:space="preserve">skills</w:t>
          </w:r>
          <w:r>
            <w:t xml:space="preserve"> generalizó y la infraestructura que las rodea todavía no.</w:t>
          </w:r>
        </w:p>
        <w:p>
          <w:r>
            <w:t xml:space="preserve">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w:t>
          </w:r>
          <w:r>
            <w:rPr>
              <w:i/>
            </w:rPr>
            <w:t xml:space="preserve">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Las corridas del capítulo 5, el experimento de control y los registros de hallazgos dejan recomendaciones para quien adopte un enfoque semejante. Todas salen de lo que ocurrió en este trabajo.</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a ejecutarse, dos defectos llegaron hasta la integración continua.</w:t>
          </w:r>
        </w:p>
        <w:p>
          <w:r>
            <w:t xml:space="preserve">No fusionar con la integración continua en un estado distinto de verde, incluida la espera activa cuando los </w:t>
          </w:r>
          <w:r>
            <w:rPr>
              <w:i/>
            </w:rPr>
            <w:t xml:space="preserve">checks</w:t>
          </w:r>
          <w:r>
            <w:t xml:space="preserve"> todavía están corriendo. La corrida E1c topó con este caso (BASE/PT-05) y la plataforma detuvo la fusión hasta que el resultado quedó disponible; en E3c, la misma regla impidió fusionar dos paquetes con pruebas en rojo.</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r>
            <w:t xml:space="preserve">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del experimento de control del apartado 4.1.7. La aplicó el modelo de la evaluación automática y es la misma que usará la persona, que recibe además una guía con el procedimiento, las reglas del cegado y un plan de calificación por sesiones.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