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highlight w:val="yellow"/>
            </w:rPr>
            <w:t>Qué escribir (1 a 2 cuartillas, sin abreviaturas ni referencias, y se escribe AL FINAL):</w:t>
          </w:r>
        </w:p>
        <w:p w14:paraId="23C5CA7C" w14:textId="77777777" w:rsidR="00670110" w:rsidRDefault="00EA4012">
          <w:r>
            <w:rPr>
              <w:rStyle w:val="PlaceholderText"/>
              <w:highlight w:val="yellow"/>
            </w:rPr>
            <w:t xml:space="preserve">• </w:t>
          </w:r>
          <w:r>
            <w:rPr>
              <w:rStyle w:val="PlaceholderText"/>
              <w:b/>
              <w:highlight w:val="yellow"/>
            </w:rPr>
            <w:t>Objetivo y alcance:</w:t>
          </w:r>
          <w:r>
            <w:rPr>
              <w:rStyle w:val="PlaceholderText"/>
              <w:highlight w:val="yellow"/>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highlight w:val="yellow"/>
            </w:rPr>
            <w:t xml:space="preserve">• </w:t>
          </w:r>
          <w:r>
            <w:rPr>
              <w:rStyle w:val="PlaceholderText"/>
              <w:b/>
              <w:highlight w:val="yellow"/>
            </w:rPr>
            <w:t>Materiales y métodos:</w:t>
          </w:r>
          <w:r>
            <w:rPr>
              <w:rStyle w:val="PlaceholderText"/>
              <w:highlight w:val="yellow"/>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highlight w:val="yellow"/>
            </w:rPr>
            <w:t xml:space="preserve">• </w:t>
          </w:r>
          <w:r>
            <w:rPr>
              <w:rStyle w:val="PlaceholderText"/>
              <w:b/>
              <w:highlight w:val="yellow"/>
            </w:rPr>
            <w:t>Resultados más importantes:</w:t>
          </w:r>
          <w:r>
            <w:rPr>
              <w:rStyle w:val="PlaceholderText"/>
              <w:highlight w:val="yellow"/>
            </w:rPr>
            <w:t xml:space="preserve"> solo cifras que aparezcan en el capítulo 5. Todavía no existen; se llenan cuando se corran los escenarios E1–E4.</w:t>
          </w:r>
        </w:p>
        <w:p w14:paraId="2A965E3C" w14:textId="77777777" w:rsidR="00670110" w:rsidRDefault="00EA4012">
          <w:r>
            <w:rPr>
              <w:rStyle w:val="PlaceholderText"/>
              <w:highlight w:val="yellow"/>
            </w:rPr>
            <w:t xml:space="preserve">• </w:t>
          </w:r>
          <w:r>
            <w:rPr>
              <w:rStyle w:val="PlaceholderText"/>
              <w:b/>
              <w:highlight w:val="yellow"/>
            </w:rPr>
            <w:t>Conclusiones:</w:t>
          </w:r>
          <w:r>
            <w:rPr>
              <w:rStyle w:val="PlaceholderText"/>
              <w:highlight w:val="yellow"/>
            </w:rPr>
            <w:t xml:space="preserve"> si se sostienen las hipótesis H1 a H3, con sus limitaciones. No incluyas nada que no esté también en el cuerpo del trabajo.</w:t>
          </w:r>
        </w:p>
        <w:p w14:paraId="65AA0008" w14:textId="77777777" w:rsidR="00670110" w:rsidRDefault="00EA4012">
          <w:r>
            <w:rPr>
              <w:rStyle w:val="PlaceholderText"/>
              <w:b/>
              <w:highlight w:val="yellow"/>
            </w:rPr>
            <w:t>Cierra con</w:t>
          </w:r>
          <w:r>
            <w:rPr>
              <w:rStyle w:val="PlaceholderText"/>
              <w:highlight w:val="yellow"/>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highlight w:val="yellow"/>
            </w:rPr>
            <w:t>Qué escribir:</w:t>
          </w:r>
          <w:r>
            <w:rPr>
              <w:rStyle w:val="PlaceholderText"/>
              <w:highlight w:val="yellow"/>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ochenta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esta tesis deja la calificación de las observaciones a una persona, a ciegas respecto de la condición que las produjo y con una rúbrica escrita antes de calificar.</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[NOTA DE BORRADOR: los trabajos se eligieron por conveniencia y sus descripciones se contrastaron con la página de cada fuente en septiembre de 2026. Falta el protocolo de búsqueda sistemática (bases de datos, cadenas, criterios de inclusión y fecha), que debe documentarse antes de la entrega.]</w:t>
          </w:r>
        </w:p>
        <w:p>
          <w:r>
            <w:t xml:space="preserve">La revisión se centra en trabajos que automatizan más de una etapa del desarrollo con modelos de lenguaje, y en los que evalúan esa automatización sobre software real. Se descartan los que atienden únicamente la generación de fragmentos de código aislados, que el marco teórico ya cubre.</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Aporta un método de evaluación por ejecución sobre software real. No aborda la especificación previa ni la revisión, y la entrada es un </w:t>
          </w:r>
          <w:r>
            <w:rPr>
              <w:i/>
            </w:rPr>
            <w:t xml:space="preserve">issue</w:t>
          </w:r>
          <w:r>
            <w:t xml:space="preserve"> ya redactado.</w:t>
          </w:r>
        </w:p>
        <w:p>
          <w:r>
            <w:t xml:space="preserve">SWE-agent propone una interfaz agente-computadora diseñada para que un agente basado en un modelo de lenguaje navegue repositorios, edite código y ejecute pruebas; con ella alcanzó 12.5 % de resolución en SWE-bench, por encima de los enfoques no interactivos anteriores [13]. El trabajo se limita a resolver una tarea dada y no cubre pruebas derivadas de criterios de negocio ni el ciclo posterior a la corrección.</w:t>
          </w:r>
        </w:p>
        <w:p>
          <w:r>
            <w:t xml:space="preserve">AutoCodeRover combina un modelo de lenguaje con búsqueda de código sobre el árbol de sintaxis y localización de fallos basada en espectro para resolver </w:t>
          </w:r>
          <w:r>
            <w:rPr>
              <w:i/>
            </w:rPr>
            <w:t xml:space="preserve">issues</w:t>
          </w:r>
          <w:r>
            <w:t xml:space="preserve"> de forma autónoma; resolvió 19 % de SWE-bench-lite con un costo computacional menor que otros enfoques comparables [41]. Se ubica en la reparación, no en la construcción de una funcionalidad nueva desde su especificación.</w:t>
          </w:r>
        </w:p>
        <w:p>
          <w:r>
            <w:t xml:space="preserve">MetaGPT codifica procedimientos operativos estándar en secuencias de </w:t>
          </w:r>
          <w:r>
            <w:rPr>
              <w:i/>
            </w:rPr>
            <w:t xml:space="preserve">prompts</w:t>
          </w:r>
          <w:r>
            <w:t xml:space="preserve"> y reparte roles especializados entre agentes en forma de línea de ensamble, de modo que se verifican los resultados intermedios [42]. ChatDev hace que agentes con roles colaboren mediante diálogo estructurado en las fases de diseño, codificación y pruebas, y usa una técnica de comunicación para reducir las alucinaciones [43]. Son los más cercanos a Loom en la idea de recorrer varias etapas. Ninguno parte de historias de usuario de un backlog real ni trata un proyecto con avance previo.</w:t>
          </w:r>
        </w:p>
        <w:p>
          <w:r>
            <w:t xml:space="preserve">Los asistentes comerciales integran la generación y la edición de código en el flujo cotidiano. El agente de Copilot en la nube de GitHub recibe una tarea, investiga el repositorio, propone un plan, hace cambios en una rama y puede ejecutar pruebas y analizadores estáticos; la persona revisa los cambios antes de crear el Pull Request [44].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con GitHub Actions o GitLab CI/CD [45]. Ambas describen capacidades de una etapa o de un tramo del ciclo; la documentación consultada no describe la derivación de casos de prueba desde criterios de negocio ni la validación funcional en un ambiente desplegado, lo que debe confirmarse al cierre de la revisión.</w:t>
          </w:r>
        </w:p>
        <w:p>
          <w:r>
            <w:t xml:space="preserve">En la revisión automática, CodeReviewer preentrena un modelo con objetivos específicos de la revisión y lo evalúa al valorar la calidad de un cambio, generar comentarios y sugerir refinamientos [28]. La pregunta sobre el efecto del contexto entregado (solo el </w:t>
          </w:r>
          <w:r>
            <w:rPr>
              <w:i/>
            </w:rPr>
            <w:t xml:space="preserve">diff</w:t>
          </w:r>
          <w:r>
            <w:t xml:space="preserve"> frente a la HU, los casos de prueba y la arquitectura) es la que Loom somete a medición.</w:t>
          </w:r>
        </w:p>
        <w:p>
          <w:r>
            <w:t xml:space="preserve">En el desarrollo dirigido por especificaciones con agentes, GitHub publicó en 2025 un conjunto de herramientas de código abierto que organiza el trabajo en especificar, planear, dividir en tareas e implementar con un agente de código, con supervisión humana en cada etapa [19]. Comparte con Loom la centralidad de la especificación; no incluye la revisión con contexto, las pruebas de humo ni el despliegue.</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y SWE-agent</w:t>
                </w:r>
              </w:p>
            </w:tc>
            <w:tc>
              <w:tcPr>
                <w:tcW w:w="714" w:type="pct"/>
              </w:tcPr>
              <w:p>
                <w:pPr>
                  <w:spacing w:after="0" w:line="240" w:lineRule="auto"/>
                  <w:ind w:firstLine="0"/>
                  <w:jc w:val="left"/>
                  <w:rPr>
                    <w:sz w:val="17"/>
                  </w:rPr>
                </w:pPr>
                <w:r>
                  <w:rPr>
                    <w:sz w:val="17"/>
                  </w:rPr>
                  <w:t xml:space="preserve">Resolución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AutoCodeRover</w:t>
                </w:r>
              </w:p>
            </w:tc>
            <w:tc>
              <w:tcPr>
                <w:tcW w:w="714" w:type="pct"/>
              </w:tcPr>
              <w:p>
                <w:pPr>
                  <w:spacing w:after="0" w:line="240" w:lineRule="auto"/>
                  <w:ind w:firstLine="0"/>
                  <w:jc w:val="left"/>
                  <w:rPr>
                    <w:sz w:val="17"/>
                  </w:rPr>
                </w:pPr>
                <w:r>
                  <w:rPr>
                    <w:sz w:val="17"/>
                  </w:rPr>
                  <w:t xml:space="preserve">Reparación</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(proyecto nuevo)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 [44]</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 [45]</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Sí, mediante el modo de arranque y el diagnóstico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tres rasgos que los trabajos revisados presentan por separado: parte de una HU real con criterios, revisa con ese contexto y valida el resultado en un ambiente desplegado. Esa afirmación es de diseño; que además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[46]: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4.1.4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4.1.5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pPr>
            <w:pStyle w:val="Heading3"/>
            <w:ind w:firstLine="0"/>
            <w:jc w:val="left"/>
            <w:rPr>
              <w:color w:val="000000"/>
              <w:sz w:val="24"/>
            </w:rPr>
          </w:pPr>
          <w:r>
            <w:rPr>
              <w:color w:val="000000"/>
              <w:sz w:val="24"/>
            </w:rPr>
            <w:t xml:space="preserve">4.1.6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4.1.3, el experimento usa el CLI con suscripción y no la API: las dos condiciones corren con el mismo modelo, y el costo, que en esa modalidad es nocional, no forma parte de la hipótesis.</w:t>
          </w:r>
        </w:p>
        <w:p>
          <w:r>
            <w:t xml:space="preserve">La relevancia no la juzga el sistema. Una persona califica las observaciones de las dos condiciones con la rúbrica del apartado 4.1.4 (relevante y correcta, relevante pero mal sustentada, ruido o falsa). Las ve mezcladas dentro de cada Pull Request, en orden aleatorio, con un identificador anónimo y sin la fuente ni la severidad que les asignó el modelo, porque ambas delatan la condición. La clave que asocia cada identificador con su condición y los datos crudos quedan fuera del repositorio público hasta terminar la calificación; su huella SHA-256 se publica antes, para que después pueda comprobarse que no cambiaron. 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4.2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pPr>
            <w:pStyle w:val="Heading3"/>
            <w:ind w:firstLine="0"/>
            <w:jc w:val="left"/>
            <w:rPr>
              <w:color w:val="000000"/>
              <w:sz w:val="24"/>
            </w:rPr>
          </w:pPr>
          <w:r>
            <w:rPr>
              <w:color w:val="000000"/>
              <w:sz w:val="24"/>
            </w:rPr>
            <w:t xml:space="preserve">4.2.5 Generación de código y compuertas de ejecución</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Cada ronda de revisión y de corrección se guarda con su resultado, y las observaciones pueden valorarse por una persona (relevante, mal sustentada, ruido, falsa) o pasar por una segunda opinión de otro proveedor de IA, para disponer de evidencia de su relevancia.</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cuya calificación ciega está pendiente; H3 sigue sin evaluarse y H2 solo se evalúa en parte (apartado 5.2.15).</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calificación ciega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 revisión no se valoraron todavía como relevantes o no, por lo que solo se reporta cuántas hay y de qué tipo.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no está en la revisión sino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la calificación ciega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ciega de las 177 observaciones, pendiente al cierre de este capítulo.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El experimento tiene límites propios. Cada condición se ejecutó una sola vez, de modo que la variabilidad del modelo no está medida. Las revisiones se hicieron sobre código que generaron otros modelos (Sonnet 5 en E1c, Opus 5.5 en E3c), y por eso sus observaciones no sustituyen a las de los pilotos. El cegado, además, es imperfecto: una búsqueda de términos encontró que 50 de las 177 observaciones mencionan la HU, sus criterios, los casos de prueba o la arquitectura (35 de la condición con contexto y 15 de la de control), y eso puede sugerir su origen a quien califica.</w:t>
          </w:r>
        </w:p>
        <w:p>
          <w:pPr>
            <w:pStyle w:val="Heading3"/>
            <w:ind w:firstLine="0"/>
            <w:jc w:val="left"/>
            <w:rPr>
              <w:color w:val="000000"/>
              <w:sz w:val="24"/>
            </w:rPr>
          </w:pPr>
          <w:r>
            <w:rPr>
              <w:color w:val="000000"/>
              <w:sz w:val="24"/>
            </w:rPr>
            <w:t xml:space="preserve">5.2.15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Para la hipótesis H1 ya existe la revisión de control (apartado 5.2.14); falta la valoración, por una persona y a ciegas, de la relevancia de sus 177 observaciones.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 Estos conjuntos de datos son el trabajo pendiente del capítulo.</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No se midió todavía qué proporción de los criterios de aceptación, uno por uno, quedó cubierta por al menos un caso, que es lo que la pregunta plantea en sentido estricto; el dato disponible es el resultado de ejecutar los casos generados, no la cobertura de los criterios de origen.</w:t>
          </w:r>
        </w:p>
        <w:p>
          <w:r>
            <w:t xml:space="preserve">PI2 y PI4 no tienen respuesta todavía. Para PI2 ya se hizo la revisión de control: los mismos 29 Pull Requests, revisados con el mismo modelo con contexto y con solo el </w:t>
          </w:r>
          <w:r>
            <w:rPr>
              <w:i/>
            </w:rPr>
            <w:t xml:space="preserve">diff</w:t>
          </w:r>
          <w:r>
            <w:t xml:space="preserve">, dieron 85 y 92 observaciones (apartado 5.2.14). La respuesta depende de cuántas de ellas señalan problemas reales, y esa calificación ciega está pendiente.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La respuesta es, por ahora, «sí en la lógica de las </w:t>
          </w:r>
          <w:r>
            <w:rPr>
              <w:i/>
            </w:rPr>
            <w:t xml:space="preserve">skills</w:t>
          </w:r>
          <w:r>
            <w:t xml:space="preserve">, no todavía en la infraestructura que las rodea».</w:t>
          </w:r>
        </w:p>
        <w:p>
          <w:r>
            <w:t xml:space="preserve">PI5, exploratoria, tiene una respuesta parcial y es el hallazgo más claro del capítulo 5, ahora en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 Es la clase de defecto que la pregunta anticipa: pasa la revisión automática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sigue abierta, aunque ya tiene su comparación de control. Los 29 Pull Requests de los dos pilotos se revisaron de nuevo con contexto y con solo el </w:t>
          </w:r>
          <w:r>
            <w:rPr>
              <w:i/>
            </w:rPr>
            <w:t xml:space="preserve">diff</w:t>
          </w:r>
          <w:r>
            <w:t xml:space="preserve">, con el mismo modelo (apartado 5.2.14). Falta el instrumento que la decide: que una persona califique a ciegas las 177 observaciones como relevantes, mal sustentadas, ruido o falsas. Los conteos por condición no bastan, porque el número de observaciones no dice cuántas señalan problemas reales.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y no solo el cambio de código. En el experimento de control, solo la revisión con contexto evaluó el cambio contra los criterios de aceptación (13 observaciones contra ninguna); si eso la hace más útil depende de la calificación ciega pendiente (H1). Esa medición debe hacerla una persona con una rúbrica escrita, para que el resultado no dependa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repetir cada condición sobre una muestra de Pull Requests para medir la variabilidad del modelo, y sumar una segunda persona evaluadora para estimar el acuerdo entre calificaciones.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S. Hong </w:t>
          </w:r>
          <w:r>
            <w:rPr>
              <w:i/>
            </w:rPr>
            <w:t xml:space="preserve">et al.</w:t>
          </w:r>
          <w:r>
            <w:t xml:space="preserve">, "MetaGPT: Meta programming for a multi-agent collaborative framework," arXiv:2308.00352, 2023.</w:t>
          </w:r>
        </w:p>
        <w:p>
          <w:r>
            <w:t xml:space="preserve">[43]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[44] GitHub, "About GitHub Copilot cloud agent," GitHub Docs. Accessed: Sep. 21, 2026. [Online]. Available: https://docs.github.com/en/copilot/concepts/agents/coding-agent/about-coding-agent</w:t>
          </w:r>
        </w:p>
        <w:p>
          <w:r>
            <w:t xml:space="preserve">[45] Anthropic, "Claude Code overview," Claude Code Docs. Accessed: Sep. 21, 2026. [Online]. Available: https://code.claude.com/docs/en/overview</w:t>
          </w:r>
        </w:p>
        <w:p>
          <w:r>
            <w:t xml:space="preserve">[46] A. R. Hevner, S. T. March, J. Park, and S. Ram, "Design science in information systems research," </w:t>
          </w:r>
          <w:r>
            <w:rPr>
              <w:i/>
            </w:rPr>
            <w:t xml:space="preserve">MIS Quarterly</w:t>
          </w:r>
          <w:r>
            <w:t xml:space="preserve">, vol. 28, no. 1, pp. 75–105, Mar. 2004.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que aplica el experimento de control del apartado 4.1.7; quien califica recibe también una guía con el procedimiento y las reglas del cegado.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