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highlight w:val="yellow"/>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highlight w:val="yellow"/>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highlight w:val="yellow"/>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highlight w:val="yellow"/>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 xml:space="preserve">No. De Oficio: </w:t>
      </w:r>
      <w:r w:rsidR="0034033B">
        <w:rPr>
          <w:rFonts w:ascii="Montserrat Medium" w:eastAsia="Times New Roman" w:hAnsi="Montserrat Medium" w:cs="Segoe UI"/>
          <w:highlight w:val="yellow"/>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Zacatecas, Zac., a 0</w:t>
      </w:r>
      <w:r w:rsidR="0034033B">
        <w:rPr>
          <w:rFonts w:ascii="Montserrat Medium" w:eastAsia="Times New Roman" w:hAnsi="Montserrat Medium" w:cs="Segoe UI"/>
          <w:highlight w:val="yellow"/>
          <w:lang w:val="es-AR" w:eastAsia="es-ES"/>
        </w:rPr>
        <w:t>8</w:t>
      </w:r>
      <w:r>
        <w:rPr>
          <w:rFonts w:ascii="Montserrat Medium" w:eastAsia="Times New Roman" w:hAnsi="Montserrat Medium" w:cs="Segoe UI"/>
          <w:highlight w:val="yellow"/>
          <w:lang w:val="es-AR" w:eastAsia="es-ES"/>
        </w:rPr>
        <w:t xml:space="preserve"> de </w:t>
      </w:r>
      <w:r w:rsidR="0034033B">
        <w:rPr>
          <w:rFonts w:ascii="Montserrat Medium" w:eastAsia="Times New Roman" w:hAnsi="Montserrat Medium" w:cs="Segoe UI"/>
          <w:highlight w:val="yellow"/>
          <w:lang w:val="es-AR" w:eastAsia="es-ES"/>
        </w:rPr>
        <w:t>agosto</w:t>
      </w:r>
      <w:r>
        <w:rPr>
          <w:rFonts w:ascii="Montserrat Medium" w:eastAsia="Times New Roman" w:hAnsi="Montserrat Medium" w:cs="Segoe UI"/>
          <w:highlight w:val="yellow"/>
          <w:lang w:val="es-AR" w:eastAsia="es-ES"/>
        </w:rPr>
        <w:t xml:space="preserve"> de</w:t>
      </w:r>
      <w:r w:rsidR="0034033B">
        <w:rPr>
          <w:rFonts w:ascii="Montserrat Medium" w:eastAsia="Times New Roman" w:hAnsi="Montserrat Medium" w:cs="Segoe UI"/>
          <w:highlight w:val="yellow"/>
          <w:lang w:val="es-AR" w:eastAsia="es-ES"/>
        </w:rPr>
        <w:t>l</w:t>
      </w:r>
      <w:r>
        <w:rPr>
          <w:rFonts w:ascii="Montserrat Medium" w:eastAsia="Times New Roman" w:hAnsi="Montserrat Medium" w:cs="Segoe UI"/>
          <w:highlight w:val="yellow"/>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highlight w:val="yellow"/>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highlight w:val="yellow"/>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highlight w:val="yellow"/>
            </w:rPr>
            <w:t>Qué escribir:</w:t>
          </w:r>
          <w:r>
            <w:rPr>
              <w:rStyle w:val="PlaceholderText"/>
              <w:highlight w:val="yellow"/>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highlight w:val="yellow"/>
            </w:rPr>
            <w:t>Evidencia:</w:t>
          </w:r>
          <w:r>
            <w:rPr>
              <w:rStyle w:val="PlaceholderText"/>
              <w:highlight w:val="yellow"/>
            </w:rPr>
            <w:t xml:space="preserve"> ninguna. Lo redacta el autor; no lleva datos técnicos.</w:t>
          </w:r>
        </w:p>
      </w:sdtContent>
    </w:sdt>
    <w:p w14:paraId="56E90C86" w14:textId="77777777" w:rsidR="00B81BD4" w:rsidRPr="00B81BD4" w:rsidRDefault="00B81BD4" w:rsidP="00B81BD4">
      <w:r w:rsidRPr="00B81BD4">
        <w:rPr>
          <w:highlight w:val="yellow"/>
        </w:rPr>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highlight w:val="yellow"/>
        </w:rPr>
        <w:lastRenderedPageBreak/>
        <w:t xml:space="preserve">Concepto de </w:t>
      </w:r>
      <w:r w:rsidR="00B81BD4">
        <w:rPr>
          <w:rFonts w:eastAsiaTheme="majorEastAsia" w:cs="Arial"/>
          <w:b/>
          <w:bCs/>
          <w:sz w:val="28"/>
          <w:szCs w:val="28"/>
          <w:highlight w:val="yellow"/>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rPr>
          <w:highlight w:val="yellow"/>
        </w:rP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highlight w:val="yellow"/>
        </w:rPr>
        <w:t xml:space="preserve">Propósito didáctico </w:t>
      </w:r>
    </w:p>
    <w:p w14:paraId="73D4FBF6" w14:textId="77777777" w:rsidR="00B81BD4" w:rsidRDefault="00B81BD4" w:rsidP="00B81BD4">
      <w:r>
        <w:rPr>
          <w:highlight w:val="yellow"/>
        </w:rP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highlight w:val="yellow"/>
        </w:rPr>
        <w:t xml:space="preserve">Competencias a desarrollar </w:t>
      </w:r>
    </w:p>
    <w:p w14:paraId="54A7D09D" w14:textId="77777777" w:rsidR="00B81BD4" w:rsidRDefault="00B81BD4" w:rsidP="00B81BD4">
      <w:r>
        <w:rPr>
          <w:highlight w:val="yellow"/>
        </w:rP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rPr>
          <w:highlight w:val="yellow"/>
        </w:rPr>
        <w:t xml:space="preserve">Competencias interpersonales: Razonamiento crítico, compromiso ético. </w:t>
      </w:r>
    </w:p>
    <w:p w14:paraId="6C33994F" w14:textId="77777777" w:rsidR="00B81BD4" w:rsidRDefault="00B81BD4" w:rsidP="001C4212">
      <w:pPr>
        <w:jc w:val="left"/>
      </w:pPr>
      <w:r w:rsidRPr="00B81BD4">
        <w:rPr>
          <w:highlight w:val="yellow"/>
        </w:rPr>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highlight w:val="yellow"/>
        </w:rPr>
        <w:lastRenderedPageBreak/>
        <w:t>Características y estructura del informe final</w:t>
      </w:r>
      <w:r>
        <w:rPr>
          <w:b/>
          <w:bCs/>
          <w:sz w:val="32"/>
          <w:szCs w:val="28"/>
          <w:highlight w:val="yellow"/>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highlight w:val="yellow"/>
          <w:lang w:val="es-ES"/>
        </w:rPr>
        <w:t>Extensión</w:t>
      </w:r>
      <w:r>
        <w:rPr>
          <w:b/>
          <w:highlight w:val="yellow"/>
          <w:lang w:val="es-ES"/>
        </w:rPr>
        <w:t xml:space="preserve">. </w:t>
      </w:r>
      <w:r w:rsidRPr="00D12CA7">
        <w:rPr>
          <w:bCs/>
          <w:highlight w:val="yellow"/>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highlight w:val="yellow"/>
          <w:lang w:val="es-ES"/>
        </w:rPr>
        <w:t>Tamaño</w:t>
      </w:r>
      <w:r>
        <w:rPr>
          <w:b/>
          <w:highlight w:val="yellow"/>
          <w:lang w:val="es-ES"/>
        </w:rPr>
        <w:t xml:space="preserve">. </w:t>
      </w:r>
      <w:r w:rsidRPr="00D12CA7">
        <w:rPr>
          <w:bCs/>
          <w:highlight w:val="yellow"/>
          <w:lang w:val="es-ES"/>
        </w:rPr>
        <w:t>La impresión del documento final se realizará en hoja tamaño carta.</w:t>
      </w:r>
    </w:p>
    <w:p w14:paraId="548E39DC" w14:textId="77777777" w:rsidR="00D12CA7" w:rsidRPr="00D12CA7" w:rsidRDefault="00D12CA7" w:rsidP="00D12CA7">
      <w:pPr>
        <w:rPr>
          <w:b/>
          <w:lang w:val="es-ES"/>
        </w:rPr>
      </w:pPr>
      <w:r w:rsidRPr="00D12CA7">
        <w:rPr>
          <w:b/>
          <w:highlight w:val="yellow"/>
          <w:lang w:val="es-ES"/>
        </w:rPr>
        <w:t>Impresión</w:t>
      </w:r>
      <w:r>
        <w:rPr>
          <w:b/>
          <w:highlight w:val="yellow"/>
          <w:lang w:val="es-ES"/>
        </w:rPr>
        <w:t xml:space="preserve">. </w:t>
      </w:r>
      <w:r>
        <w:rPr>
          <w:bCs/>
          <w:highlight w:val="yellow"/>
          <w:lang w:val="es-ES"/>
        </w:rPr>
        <w:t>La impresión del documento podrá ser en blanco y negó o color, dependiendo de la elección del tesista</w:t>
      </w:r>
      <w:r w:rsidRPr="00D12CA7">
        <w:rPr>
          <w:bCs/>
          <w:highlight w:val="yellow"/>
          <w:lang w:val="es-ES"/>
        </w:rPr>
        <w:t>. No se aceptan copias fotostáticas.</w:t>
      </w:r>
      <w:r w:rsidRPr="00D12CA7">
        <w:rPr>
          <w:b/>
          <w:highlight w:val="yellow"/>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highlight w:val="yellow"/>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En el lomo del documento, anotar el titulo del trabajo, el año de presentación y </w:t>
      </w:r>
      <w:r>
        <w:rPr>
          <w:highlight w:val="yellow"/>
          <w:lang w:val="es-ES"/>
        </w:rPr>
        <w:t>el nombre del tesista</w:t>
      </w:r>
      <w:r w:rsidRPr="00D12CA7">
        <w:rPr>
          <w:highlight w:val="yellow"/>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El color del empastado </w:t>
      </w:r>
      <w:r>
        <w:rPr>
          <w:highlight w:val="yellow"/>
          <w:lang w:val="es-ES"/>
        </w:rPr>
        <w:t xml:space="preserve">es vino con </w:t>
      </w:r>
      <w:r w:rsidRPr="00D12CA7">
        <w:rPr>
          <w:highlight w:val="yellow"/>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highlight w:val="yellow"/>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highlight w:val="yellow"/>
          <w:lang w:val="es-ES"/>
        </w:rPr>
        <w:t xml:space="preserve">Tipo de fuente: </w:t>
      </w:r>
    </w:p>
    <w:p w14:paraId="62E85CB9" w14:textId="77777777" w:rsidR="001C4212" w:rsidRPr="001C4212" w:rsidRDefault="001C4212" w:rsidP="00283674">
      <w:pPr>
        <w:numPr>
          <w:ilvl w:val="1"/>
          <w:numId w:val="3"/>
        </w:numPr>
        <w:rPr>
          <w:lang w:val="es-ES"/>
        </w:rPr>
      </w:pPr>
      <w:r>
        <w:rPr>
          <w:highlight w:val="yellow"/>
        </w:rP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rPr>
          <w:highlight w:val="yellow"/>
        </w:rP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rPr>
          <w:highlight w:val="yellow"/>
        </w:rPr>
        <w:t xml:space="preserve">El texto tendrá el formato </w:t>
      </w:r>
      <w:r w:rsidR="00D12CA7" w:rsidRPr="00D12CA7">
        <w:rPr>
          <w:highlight w:val="yellow"/>
          <w:lang w:val="es-ES"/>
        </w:rPr>
        <w:t>Arial de 1</w:t>
      </w:r>
      <w:r w:rsidR="00D12CA7">
        <w:rPr>
          <w:highlight w:val="yellow"/>
          <w:lang w:val="es-ES"/>
        </w:rPr>
        <w:t>2</w:t>
      </w:r>
      <w:r w:rsidR="00D12CA7" w:rsidRPr="00D12CA7">
        <w:rPr>
          <w:highlight w:val="yellow"/>
          <w:lang w:val="es-ES"/>
        </w:rPr>
        <w:t xml:space="preserve"> puntos</w:t>
      </w:r>
      <w:r>
        <w:rPr>
          <w:highlight w:val="yellow"/>
          <w:lang w:val="es-ES"/>
        </w:rPr>
        <w:t xml:space="preserve"> con sangría en la primera línea</w:t>
      </w:r>
      <w:r w:rsidR="00D12CA7" w:rsidRPr="00D12CA7">
        <w:rPr>
          <w:highlight w:val="yellow"/>
          <w:lang w:val="es-ES"/>
        </w:rPr>
        <w:t>.</w:t>
      </w:r>
    </w:p>
    <w:p w14:paraId="1E20A93E" w14:textId="77777777" w:rsidR="00D12CA7" w:rsidRPr="00D12CA7" w:rsidRDefault="00D12CA7" w:rsidP="00283674">
      <w:pPr>
        <w:numPr>
          <w:ilvl w:val="0"/>
          <w:numId w:val="3"/>
        </w:numPr>
        <w:rPr>
          <w:lang w:val="es-ES"/>
        </w:rPr>
      </w:pPr>
      <w:r w:rsidRPr="00D12CA7">
        <w:rPr>
          <w:highlight w:val="yellow"/>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highlight w:val="yellow"/>
          <w:lang w:val="es-ES"/>
        </w:rPr>
        <w:t>Numeración: Abajo y a la derecha.</w:t>
      </w:r>
    </w:p>
    <w:p w14:paraId="160470AD" w14:textId="77777777" w:rsidR="00D12CA7" w:rsidRPr="00D12CA7" w:rsidRDefault="00D12CA7" w:rsidP="00283674">
      <w:pPr>
        <w:numPr>
          <w:ilvl w:val="0"/>
          <w:numId w:val="3"/>
        </w:numPr>
        <w:rPr>
          <w:lang w:val="es-ES"/>
        </w:rPr>
      </w:pPr>
      <w:r w:rsidRPr="00D12CA7">
        <w:rPr>
          <w:highlight w:val="yellow"/>
          <w:lang w:val="es-ES"/>
        </w:rPr>
        <w:t>Interlineado: 1.5 de espacio.</w:t>
      </w:r>
    </w:p>
    <w:p w14:paraId="43636288" w14:textId="77777777" w:rsidR="001C4212" w:rsidRPr="00D12CA7" w:rsidRDefault="001C4212" w:rsidP="00283674">
      <w:pPr>
        <w:numPr>
          <w:ilvl w:val="0"/>
          <w:numId w:val="3"/>
        </w:numPr>
        <w:rPr>
          <w:lang w:val="es-ES"/>
        </w:rPr>
      </w:pPr>
      <w:r>
        <w:rPr>
          <w:highlight w:val="yellow"/>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highlight w:val="yellow"/>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highlight w:val="yellow"/>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highlight w:val="yellow"/>
          <w:lang w:val="es-ES"/>
        </w:rPr>
        <w:tab/>
        <w:t>1 Tema principal</w:t>
      </w:r>
    </w:p>
    <w:p w14:paraId="6046B620"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Pr="00D12CA7">
        <w:rPr>
          <w:highlight w:val="yellow"/>
          <w:lang w:val="es-ES"/>
        </w:rPr>
        <w:t>1.1 Subtema</w:t>
      </w:r>
    </w:p>
    <w:p w14:paraId="13C5C843"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0034033B">
        <w:rPr>
          <w:lang w:val="es-ES"/>
        </w:rPr>
        <w:tab/>
      </w:r>
      <w:r w:rsidRPr="00D12CA7">
        <w:rPr>
          <w:highlight w:val="yellow"/>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highlight w:val="yellow"/>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highlight w:val="yellow"/>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highlight w:val="yellow"/>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highlight w:val="yellow"/>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highlight w:val="yellow"/>
          <w:lang w:val="es-ES"/>
        </w:rPr>
        <w:t>El rótulo de la figura o de la gráfica debe contener número</w:t>
      </w:r>
      <w:r>
        <w:rPr>
          <w:highlight w:val="yellow"/>
          <w:lang w:val="es-ES"/>
        </w:rPr>
        <w:t xml:space="preserve"> de capítulo, número de figura o tabla</w:t>
      </w:r>
      <w:r w:rsidRPr="00D12CA7">
        <w:rPr>
          <w:highlight w:val="yellow"/>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highlight w:val="yellow"/>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highlight w:val="yellow"/>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highlight w:val="yellow"/>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highlight w:val="yellow"/>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howingPlcHdr/>
      </w:sdtPr>
      <w:sdtEndPr/>
      <w:sdtContent>
        <w:p w14:paraId="25BB76B5" w14:textId="77777777" w:rsidR="00670110" w:rsidRDefault="00EA4012">
          <w:r>
            <w:rPr>
              <w:rStyle w:val="PlaceholderText"/>
              <w:b/>
              <w:highlight w:val="yellow"/>
            </w:rPr>
            <w:t>Qué escribir (1 a 2 cuartillas, sin abreviaturas ni referencias, y se escribe AL FINAL):</w:t>
          </w:r>
        </w:p>
        <w:p w14:paraId="23C5CA7C" w14:textId="77777777" w:rsidR="00670110" w:rsidRDefault="00EA4012">
          <w:r>
            <w:rPr>
              <w:rStyle w:val="PlaceholderText"/>
              <w:highlight w:val="yellow"/>
            </w:rPr>
            <w:t xml:space="preserve">• </w:t>
          </w:r>
          <w:r>
            <w:rPr>
              <w:rStyle w:val="PlaceholderText"/>
              <w:b/>
              <w:highlight w:val="yellow"/>
            </w:rPr>
            <w:t>Objetivo y alcance:</w:t>
          </w:r>
          <w:r>
            <w:rPr>
              <w:rStyle w:val="PlaceholderText"/>
              <w:highlight w:val="yellow"/>
            </w:rPr>
            <w:t xml:space="preserve"> un sistema (Loom) que, a partir de una historia de usuario (HU), orquesta con IA el ciclo de desarrollo: casos de prueba, arquitectura, paquetes de trabajo, código con TDD, Pull Request revisado con contexto explícito y validación.</w:t>
          </w:r>
        </w:p>
        <w:p w14:paraId="75F5AA85" w14:textId="77777777" w:rsidR="00670110" w:rsidRDefault="00EA4012">
          <w:r>
            <w:rPr>
              <w:rStyle w:val="PlaceholderText"/>
              <w:highlight w:val="yellow"/>
            </w:rPr>
            <w:t xml:space="preserve">• </w:t>
          </w:r>
          <w:r>
            <w:rPr>
              <w:rStyle w:val="PlaceholderText"/>
              <w:b/>
              <w:highlight w:val="yellow"/>
            </w:rPr>
            <w:t>Materiales y métodos:</w:t>
          </w:r>
          <w:r>
            <w:rPr>
              <w:rStyle w:val="PlaceholderText"/>
              <w:highlight w:val="yellow"/>
            </w:rPr>
            <w:t xml:space="preserve"> implementación con skills de IA, proveedor intercambiable por proyecto (Claude y Gemini), validación en dos proyectos con Jira (ITZ Control Inventarios e IAT) en una matriz de 2 proyectos × 2 proveedores; métricas de cobertura de criterios, relevancia de las observaciones, rondas de revisión, tiempo, tokens y costo, con evaluación ciega.</w:t>
          </w:r>
        </w:p>
        <w:p w14:paraId="6C9BA859" w14:textId="77777777" w:rsidR="00670110" w:rsidRDefault="00EA4012">
          <w:r>
            <w:rPr>
              <w:rStyle w:val="PlaceholderText"/>
              <w:highlight w:val="yellow"/>
            </w:rPr>
            <w:t xml:space="preserve">• </w:t>
          </w:r>
          <w:r>
            <w:rPr>
              <w:rStyle w:val="PlaceholderText"/>
              <w:b/>
              <w:highlight w:val="yellow"/>
            </w:rPr>
            <w:t>Resultados más importantes:</w:t>
          </w:r>
          <w:r>
            <w:rPr>
              <w:rStyle w:val="PlaceholderText"/>
              <w:highlight w:val="yellow"/>
            </w:rPr>
            <w:t xml:space="preserve"> solo cifras que aparezcan en el capítulo 5. Todavía no existen; se llenan cuando se corran los escenarios E1–E4.</w:t>
          </w:r>
        </w:p>
        <w:p w14:paraId="2A965E3C" w14:textId="77777777" w:rsidR="00670110" w:rsidRDefault="00EA4012">
          <w:r>
            <w:rPr>
              <w:rStyle w:val="PlaceholderText"/>
              <w:highlight w:val="yellow"/>
            </w:rPr>
            <w:t xml:space="preserve">• </w:t>
          </w:r>
          <w:r>
            <w:rPr>
              <w:rStyle w:val="PlaceholderText"/>
              <w:b/>
              <w:highlight w:val="yellow"/>
            </w:rPr>
            <w:t>Conclusiones:</w:t>
          </w:r>
          <w:r>
            <w:rPr>
              <w:rStyle w:val="PlaceholderText"/>
              <w:highlight w:val="yellow"/>
            </w:rPr>
            <w:t xml:space="preserve"> si se sostienen las hipótesis H1 a H3, con sus limitaciones. No incluyas nada que no esté también en el cuerpo del trabajo.</w:t>
          </w:r>
        </w:p>
        <w:p w14:paraId="65AA0008" w14:textId="77777777" w:rsidR="00670110" w:rsidRDefault="00EA4012">
          <w:r>
            <w:rPr>
              <w:rStyle w:val="PlaceholderText"/>
              <w:b/>
              <w:highlight w:val="yellow"/>
            </w:rPr>
            <w:t>Cierra con</w:t>
          </w:r>
          <w:r>
            <w:rPr>
              <w:rStyle w:val="PlaceholderText"/>
              <w:highlight w:val="yellow"/>
            </w:rPr>
            <w:t xml:space="preserve"> 3 a 5 palabras clave.</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highlight w:val="yellow"/>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highlight w:val="yellow"/>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highlight w:val="yellow"/>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highlight w:val="yellow"/>
          <w:lang w:eastAsia="es-ES"/>
        </w:rPr>
        <w:t>D</w:t>
      </w:r>
      <w:r w:rsidR="00B81BD4" w:rsidRPr="001D44EE">
        <w:rPr>
          <w:rFonts w:eastAsia="MS Mincho" w:cs="Arial"/>
          <w:color w:val="000000"/>
          <w:szCs w:val="24"/>
          <w:highlight w:val="yellow"/>
          <w:lang w:eastAsia="es-ES"/>
        </w:rPr>
        <w:t>ebe redactarse también en idioma inglés. (Abstract)</w:t>
      </w:r>
      <w:r w:rsidR="00B81BD4">
        <w:rPr>
          <w:rFonts w:eastAsia="MS Mincho" w:cs="Arial"/>
          <w:color w:val="000000"/>
          <w:szCs w:val="24"/>
          <w:highlight w:val="yellow"/>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howingPlcHdr/>
      </w:sdtPr>
      <w:sdtEndPr/>
      <w:sdtContent>
        <w:p w14:paraId="0F72B240" w14:textId="77777777" w:rsidR="00670110" w:rsidRDefault="00EA4012">
          <w:r>
            <w:rPr>
              <w:rStyle w:val="PlaceholderText"/>
              <w:b/>
              <w:highlight w:val="yellow"/>
            </w:rPr>
            <w:t>Qué escribir:</w:t>
          </w:r>
          <w:r>
            <w:rPr>
              <w:rStyle w:val="PlaceholderText"/>
              <w:highlight w:val="yellow"/>
            </w:rPr>
            <w:t xml:space="preserve"> traducción fiel del Resumen al inglés, con el mismo contenido y las mismas cifras. Se hace después de cerrar el Resumen. Añade «Keywords» con las palabras clave traducidas.</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highlight w:val="yellow"/>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Lo que sigue sin resolverse es el conjunto: cada herramienta atiende una etapa aislada del ciclo y deja a las personas la tarea de unirlas.</w:t>
          </w:r>
        </w:p>
        <w:p>
          <w:r>
            <w:t xml:space="preserve">Esta tesis parte de una observación sobre esa práctica. Las herramientas actuales suelen automatizar una sola etapa, por ejemplo la generación de pruebas o la revisión de código.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Es una desventaja de fondo: en la revisión humana, la comprensión del código y del cambio es el aspecto central, y las herramientas actuales cubren mal esa necesidad [2]. El ciclo tampoco se cierra con una validación funcional contra un ambiente real.</w:t>
          </w:r>
        </w:p>
        <w:p>
          <w:r>
            <w:t xml:space="preserve">El trabajo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plantea sobre proyectos de dominios distintos y con más de un proveedor de IA, y mide, entre otras cosas, la cobertura que los casos de prueba dan a los criterios de aceptación, la relevancia de las observaciones de la revisión, el número de rondas hasta aprobar, el tiempo y el costo.</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rPr>
          <w:highlight w:val="yellow"/>
        </w:rPr>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rPr>
          <w:highlight w:val="yellow"/>
        </w:rP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sus observaciones tienden a la forma del código y no a su adecuación a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modelos muy usados cae hasta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rPr>
          <w:highlight w:val="yellow"/>
        </w:rPr>
        <w:t>Algunos criterios</w:t>
      </w:r>
      <w:r w:rsidR="001C4212" w:rsidRPr="001C4212">
        <w:rPr>
          <w:highlight w:val="yellow"/>
        </w:rPr>
        <w:t xml:space="preserve"> para formular adecuadamente el problema</w:t>
      </w:r>
      <w:r>
        <w:rPr>
          <w:highlight w:val="yellow"/>
        </w:rPr>
        <w:t xml:space="preserve"> </w:t>
      </w:r>
      <w:r w:rsidR="001C4212" w:rsidRPr="001C4212">
        <w:rPr>
          <w:highlight w:val="yellow"/>
        </w:rPr>
        <w:t>son:</w:t>
      </w:r>
    </w:p>
    <w:p w14:paraId="57F75703" w14:textId="77777777" w:rsidR="001C4212" w:rsidRPr="001C4212" w:rsidRDefault="001C4212" w:rsidP="00283674">
      <w:pPr>
        <w:pStyle w:val="ListParagraph"/>
        <w:numPr>
          <w:ilvl w:val="1"/>
          <w:numId w:val="3"/>
        </w:numPr>
      </w:pPr>
      <w:r w:rsidRPr="001C4212">
        <w:rPr>
          <w:highlight w:val="yellow"/>
        </w:rPr>
        <w:t>Plantear y delimitar el problema.</w:t>
      </w:r>
    </w:p>
    <w:p w14:paraId="46D1F830" w14:textId="77777777" w:rsidR="001C4212" w:rsidRPr="001C4212" w:rsidRDefault="001C4212" w:rsidP="00283674">
      <w:pPr>
        <w:pStyle w:val="ListParagraph"/>
        <w:numPr>
          <w:ilvl w:val="1"/>
          <w:numId w:val="3"/>
        </w:numPr>
      </w:pPr>
      <w:r w:rsidRPr="001C4212">
        <w:rPr>
          <w:highlight w:val="yellow"/>
        </w:rPr>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rPr>
          <w:highlight w:val="yellow"/>
        </w:rPr>
        <w:t>Revisar la literatura sobre el problema o cuestiones conexas.</w:t>
      </w:r>
    </w:p>
    <w:p w14:paraId="13201F05" w14:textId="77777777" w:rsidR="001C4212" w:rsidRPr="001C4212" w:rsidRDefault="001C4212" w:rsidP="00283674">
      <w:pPr>
        <w:pStyle w:val="ListParagraph"/>
        <w:numPr>
          <w:ilvl w:val="1"/>
          <w:numId w:val="3"/>
        </w:numPr>
      </w:pPr>
      <w:r w:rsidRPr="001C4212">
        <w:rPr>
          <w:highlight w:val="yellow"/>
        </w:rPr>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rPr>
          <w:highlight w:val="yellow"/>
        </w:rPr>
        <w:t xml:space="preserve">El objetivo es el enunciado claro y preciso de las metas que se persiguen y su </w:t>
      </w:r>
      <w:r w:rsidR="002B3E60">
        <w:rPr>
          <w:highlight w:val="yellow"/>
        </w:rPr>
        <w:t>alcance debe</w:t>
      </w:r>
      <w:r>
        <w:rPr>
          <w:highlight w:val="yellow"/>
        </w:rP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rPr>
          <w:highlight w:val="yellow"/>
        </w:rPr>
        <w:t xml:space="preserve"> </w:t>
      </w:r>
      <w:r>
        <w:rPr>
          <w:highlight w:val="yellow"/>
        </w:rPr>
        <w:t>y pueden expresarse de la siguiente forma.</w:t>
      </w:r>
    </w:p>
    <w:p w14:paraId="5526387D" w14:textId="77777777" w:rsidR="009D47A6" w:rsidRDefault="001C4212" w:rsidP="001C4212">
      <w:r>
        <w:rPr>
          <w:i/>
          <w:iCs/>
          <w:highlight w:val="yellow"/>
        </w:rPr>
        <w:t>Objetivo general.</w:t>
      </w:r>
      <w:r>
        <w:rPr>
          <w:highlight w:val="yellow"/>
        </w:rP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highlight w:val="yellow"/>
        </w:rPr>
        <w:t>Objetivos específicos.</w:t>
      </w:r>
      <w:r>
        <w:rPr>
          <w:highlight w:val="yellow"/>
        </w:rPr>
        <w:t xml:space="preserve"> Son los que concretan respuestas a propósitos precisos inherentes al problema formulado o a las dificultades identificadas para </w:t>
      </w:r>
      <w:r>
        <w:rPr>
          <w:highlight w:val="yellow"/>
        </w:rP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suele encargarse de aclarar requerimientos, escribir pruebas, programar, revisar y desplegar, y cada traspaso entre etapas consume tiempo y se presta a omisiones [CITA PENDIENTE: carga de trabajo y traspasos en equipos pequeños]. Un experimento controlado con una tarea acotada reportó que quienes usaron un asistente la completaron 55.8 % más rápido que el grupo de control [5];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La revisión sin contexto genera observaciones sobre la forma y no sobre la adecuación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y la cobertura de los criterios frente a un modelo que solo ve el </w:t>
          </w:r>
          <w:r>
            <w:rPr>
              <w:i/>
            </w:rPr>
            <w:t xml:space="preserve">diff</w:t>
          </w:r>
          <w:r>
            <w:t xml:space="preserve">. También aporta datos sobre el intercambio de proveedor de IA sin modificar las </w:t>
          </w:r>
          <w:r>
            <w:rPr>
              <w:i/>
            </w:rPr>
            <w:t xml:space="preserve">skills</w:t>
          </w:r>
          <w:r>
            <w:t xml:space="preserve">, y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rPr>
          <w:highlight w:val="yellow"/>
        </w:rP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rPr>
          <w:highlight w:val="yellow"/>
        </w:rPr>
        <w:t>funcionalidad.</w:t>
      </w:r>
      <w:r>
        <w:rPr>
          <w:highlight w:val="yellow"/>
        </w:rP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dos proyectos propios y de prueba, de dominios distintos (control de inventarios y agenda de un taller mecánico) y con pilas distintas (Java con Spring Boot y Angular; Node con NestJS y React), los dos nuevos y con Jira como fuente; eso restringe la validez externa de los resultados y deja sin probar el modo con avance previo. La cuarta es la dependencia de servicios externos: los modelos de IA cambian o se retiran, y las corridas dependen de la disponibilidad de GitHub, de Google Cloud y de las cuentas de acceso.</w:t>
          </w:r>
        </w:p>
        <w:p>
          <w:r>
            <w:t xml:space="preserve">Otras limitaciones son de operación. La plataforma se ejecuta en una sola máquina y con un usuario administrador; el ambiente desplegado para las pruebas usa una base de datos con dirección pública y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y están sujetas a validación con el director de la tesis.</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rPr>
          <w:highlight w:val="yellow"/>
        </w:rP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rPr>
          <w:highlight w:val="yellow"/>
        </w:rP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rPr>
          <w:highlight w:val="yellow"/>
        </w:rP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rPr>
          <w:highlight w:val="yellow"/>
        </w:rP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r>
            <w:t xml:space="preserve">Este capítulo reúne los conceptos que el resto de la tesis usa sin volver a definirlos: los modelos de lenguaje y los agentes con los que está hecho Loom, las prácticas de ingeniería de software que el sistema automatiza, desde la historia de usuario hasta el despliegue, y los criterios para evaluar un sistema cuya salida no es determinista.</w:t>
          </w:r>
        </w:p>
        <w:p>
          <w:pPr>
            <w:pStyle w:val="Heading3"/>
            <w:ind w:firstLine="0"/>
            <w:jc w:val="left"/>
            <w:rPr>
              <w:color w:val="000000"/>
              <w:sz w:val="24"/>
            </w:rPr>
          </w:pPr>
          <w:r>
            <w:rPr>
              <w:color w:val="000000"/>
              <w:sz w:val="24"/>
            </w:rPr>
            <w:t xml:space="preserve">2.1 Modelos de lenguaje de gran tamaño</w:t>
          </w:r>
        </w:p>
        <w:p>
          <w:r>
            <w:t xml:space="preserve">Un modelo de lenguaje de gran tamaño (LLM, por sus siglas en inglés) es una red neuronal entrenada para predecir el siguiente fragmento de texto a partir del anterior. Casi todos los modelos actuales usan la arquitectura </w:t>
          </w:r>
          <w:r>
            <w:rPr>
              <w:i/>
            </w:rPr>
            <w:t xml:space="preserve">transformer</w:t>
          </w:r>
          <w:r>
            <w:t xml:space="preserve">, que sustituye la recurrencia por mecanismos de atención y permite entrenar sobre secuencias largas en paralelo [6]. El preentrenamiento sobre corpus muy amplios, que incluyen código fuente, les da una capacidad que no se programa de forma explícita: resolver tareas nuevas a partir de instrucciones y de unos cuantos ejemplos escritos en la entrada, sin actualizar sus parámetros. Esa capacidad se conoce como aprendizaje en contexto [7].</w:t>
          </w:r>
        </w:p>
        <w:p>
          <w:r>
            <w:t xml:space="preserve">Un modelo preentrenado predice texto; no necesariamente sigue instrucciones. Para que lo haga, se le somete a un ajuste adicional con ejemplos de instrucciones y con la preferencia de personas que comparan sus respuestas. En el trabajo que popularizó este procedimiento, las personas evaluadoras prefirieron las respuestas de un modelo ajustado así a las de otro con muchos más parámetros que no pasó por el ajuste [8]. Los modelos que Loom invoca, tanto por API como por el CLI de Claude Code, son de este tipo: reciben un </w:t>
          </w:r>
          <w:r>
            <w:rPr>
              <w:i/>
            </w:rPr>
            <w:t xml:space="preserve">prompt</w:t>
          </w:r>
          <w:r>
            <w:t xml:space="preserve"> de sistema con el papel y las reglas de la tarea, y un mensaje con los datos concretos.</w:t>
          </w:r>
        </w:p>
        <w:p>
          <w:r>
            <w:t xml:space="preserve">Hay tres propiedades de estos modelos que pesan en el diseño de un sistema como Loom. La primera es que la salida es probabilística. La misma entrada puede producir respuestas distintas, y eso obliga a repetir las mediciones y a reportar su variabilidad en lugar de una sola cifra (apartado 2.9).</w:t>
          </w:r>
        </w:p>
        <w:p>
          <w:r>
            <w:t xml:space="preserve">La segunda es la ventana de contexto, el límite de texto que el modelo procesa en una llamada. Lo que la tarea necesita saber tiene que caber en ella, aunque que quepa no garantiza que el modelo lo use. Liu </w:t>
          </w:r>
          <w:r>
            <w:rPr>
              <w:i/>
            </w:rPr>
            <w:t xml:space="preserve">et al.</w:t>
          </w:r>
          <w:r>
            <w:t xml:space="preserve"> mostraron que el desempeño cae cuando la información relevante queda en medio de un contexto largo, aunque el mismo modelo la aprovecha bien cuando está al principio o al final [9]. Una alternativa a meter todo en la llamada es la generación aumentada por recuperación, que combina la memoria del modelo con un índice de documentos del que se recuperan los fragmentos pertinentes en el momento de generar [10]. Loom no usa recuperación. Cada </w:t>
          </w:r>
          <w:r>
            <w:rPr>
              <w:i/>
            </w:rPr>
            <w:t xml:space="preserve">skill</w:t>
          </w:r>
          <w:r>
            <w:t xml:space="preserve"> recibe un contexto armado de forma determinista para su tarea: la especificación de la HU, sus casos de prueba, el documento de arquitectura del repositorio y, en la revisión, el </w:t>
          </w:r>
          <w:r>
            <w:rPr>
              <w:i/>
            </w:rPr>
            <w:t xml:space="preserve">diff</w:t>
          </w:r>
          <w:r>
            <w:t xml:space="preserve">. La indexación de varios repositorios quedó en diseño (apartado 6.1.3).</w:t>
          </w:r>
        </w:p>
        <w:p>
          <w:r>
            <w:t xml:space="preserve">La tercera propiedad es que el modelo puede generar texto plausible y equivocado. La literatura estudia el fenómeno como alucinación [11]. En código se manifiesta como soluciones que parecen correctas y fallan cuando se les aplican pruebas más exigentes que las del conjunto original [4]. Loom responde a esta propiedad con salidas estructuradas que se validan contra un esquema, con reintentos cuando la salida no lo cumple, y sobre todo con comprobaciones que no dependen del modelo: compilar, ejecutar las pruebas, pasar la integración continua y probar la aplicación desplegada.</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acción. El modelo decide invocar una herramienta (leer un archivo, escribir otro, ejecutar un comando), recibe su resultado y sigue así hasta completar la tarea [12]. La forma en que se exponen las herramientas importa: con los mismos modelos, una interfaz diseñada para el agente, con comandos compactos para navegar y editar un repositorio, mejora su desempeño en tareas de ingeniería de software frente a darle una terminal genérica [13].</w:t>
          </w:r>
        </w:p>
        <w:p>
          <w:r>
            <w:t xml:space="preserve">La invocación de funciones es la versión acotada de esta idea. La aplicación define una función con su esquema de entrada; el modelo decide cuándo llamarla y devuelve una llamada estructurada, que la aplicación ejecuta o simplemente lee [14]. Para un sistema que encadena etapas, la ventaja es práctica. La salida del modelo llega como datos con campos tipados (una lista de casos de prueba, cada uno con el criterio del que deriva; una lista de observaciones, cada una con su severidad y su fuente) y no como texto libre que haya que interpretar.</w:t>
          </w:r>
        </w:p>
        <w:p>
          <w:r>
            <w:t xml:space="preserve">Loom usa las dos formas. Las </w:t>
          </w:r>
          <w:r>
            <w:rPr>
              <w:i/>
            </w:rPr>
            <w:t xml:space="preserve">skills</w:t>
          </w:r>
          <w:r>
            <w:t xml:space="preserve"> de análisis (leer una HU, generar sus casos de prueba, diseñar la arquitectura, descomponer en paquetes, revisar un Pull Request) piden una sola llamada estructurada y validan el resultado; si el modelo devuelve un JSON mal formado o truncado, la llamada se repite. Las </w:t>
          </w:r>
          <w:r>
            <w:rPr>
              <w:i/>
            </w:rPr>
            <w:t xml:space="preserve">skills</w:t>
          </w:r>
          <w:r>
            <w:t xml:space="preserve"> que escriben código funcionan como agentes con acceso a los archivos del repositorio de trabajo, dentro de un directorio acotado, y su resultado se juzga por lo que hace el código y no por lo que el agente dice haber hecho. Los sistemas de varios agentes con roles y los asistentes comerciales que recorren tramos del ciclo se comparan con Loom en el apartado 3.1.</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lenguaje natural se evaluó primero con funciones aisladas. Chen </w:t>
          </w:r>
          <w:r>
            <w:rPr>
              <w:i/>
            </w:rPr>
            <w:t xml:space="preserve">et al.</w:t>
          </w:r>
          <w:r>
            <w:t xml:space="preserve"> publicaron HumanEval, un conjunto de problemas de programación cuya corrección se comprueba con pruebas unitarias, y la métrica pass@k, la probabilidad de que al menos una de </w:t>
          </w:r>
          <w:r>
            <w:rPr>
              <w:i/>
            </w:rPr>
            <w:t xml:space="preserve">k</w:t>
          </w:r>
          <w:r>
            <w:t xml:space="preserve"> soluciones generadas pase las pruebas [15]. Con el tiempo se vio que esas pruebas eran permisivas. Al reforzarlas con muchos más casos generados de forma automática, la proporción de soluciones que las pasan baja de forma apreciable, lo que indica que una parte de los aciertos reportados eran aparentes [4].</w:t>
          </w:r>
        </w:p>
        <w:p>
          <w:r>
            <w:t xml:space="preserve">Trabajos posteriores llevaron la tarea a repositorios reales. SWE-bench reúne 2,294 </w:t>
          </w:r>
          <w:r>
            <w:rPr>
              <w:i/>
            </w:rPr>
            <w:t xml:space="preserve">issues</w:t>
          </w:r>
          <w:r>
            <w:t xml:space="preserve"> reales de 12 repositorios de Python; resolver uno exige entender código existente y editarlo, con frecuencia en varios archivos, y la solución se acepta solo si pasan las pruebas que el proyecto escribió para ese cambio [3]. La distancia entre los dos tipos de problema es la que separa el código correcto de un ejercicio del código que tiene que integrarse a un sistema con dependencias, configuración y convenciones propias. Los agentes que atacan SWE-bench se revisan en el apartado 3.1.</w:t>
          </w:r>
        </w:p>
        <w:p>
          <w:r>
            <w:t xml:space="preserve">Además de la corrección funcional está la seguridad. Pearce </w:t>
          </w:r>
          <w:r>
            <w:rPr>
              <w:i/>
            </w:rPr>
            <w:t xml:space="preserve">et al.</w:t>
          </w:r>
          <w:r>
            <w:t xml:space="preserve"> generaron 1,689 programas con GitHub Copilot en 89 escenarios diseñados alrededor de debilidades de seguridad conocidas, y encontraron vulnerables alrededor del 40 % [16]. El dato explica por qué la seguridad aparece como una fuente propia en la revisión que hace Loom (apartado 2.6): un código que compila y pasa sus pruebas puede, aun así, exponer un secreto o aceptar una entrada sin validar.</w:t>
          </w:r>
        </w:p>
        <w:p>
          <w:r>
            <w:t xml:space="preserve">Loom genera código por paquete de trabajo, no por función ni por HU completa. Cada paquete tiene entregables y casos de prueba asociados, se implementa con pruebas, y antes de abrir el Pull Request pasa por una compuerta que compila, ejecuta el análisis estático y corre las pruebas unitarias en un contenedor (apartado 4.2.5). La hipótesis de trabajo es que esas comprobaciones externas atrapan lo que el modelo no ve de su propio código.</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con su valor para el negocio, y se acompaña de criterios de aceptación que delimitan cuándo se considera cumplida [17]. Los criterios suelen escribirse en la forma </w:t>
          </w:r>
          <w:r>
            <w:rPr>
              <w:i/>
            </w:rPr>
            <w:t xml:space="preserve">Given/When/Then</w:t>
          </w:r>
          <w:r>
            <w:t xml:space="preserve"> (dado un contexto, cuando ocurre un evento, entonces se espera un resultado), que North propuso para el desarrollo dirigido por el comportamiento y que vuelve cada criterio verificable [18].</w:t>
          </w:r>
        </w:p>
        <w:p>
          <w:r>
            <w:t xml:space="preserve">Una historia bien escrita sigue siendo incompleta. Deja fuera decisiones que quien la redactó dio por obvias, como cuántos intentos fallidos bloquean una cuenta o qué rol puede ver una bitácora. Un sistema que genera código a partir de ella tiene que elegir entre inventar esas decisiones en silencio o hacerlas visibles. Loom registra cada una como un supuesto de la HU; la revisión no aprueba un paquete que dependa de un supuesto sin confirmar, y una persona lo confirma o lo corrige en la pantalla de decisiones (ADR-0011 y ADR-0077).</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etapas (especificar, planear, dividir en tareas, implementar) con supervisión humana en cada punto de control [19]. Loom lo adopta. Cada HU tiene su carpeta con la especificación, los casos de prueba, el plan, las tareas, los paquetes de trabajo y la evidencia, en Markdown versionado en git, y cada caso de prueba guarda el identificador del criterio del que deriva. Esa referencia es la que permite medir después qué criterios quedaron cubiertos (PI1).</w:t>
          </w:r>
        </w:p>
        <w:p>
          <w:pPr>
            <w:pStyle w:val="Heading3"/>
            <w:ind w:firstLine="0"/>
            <w:jc w:val="left"/>
            <w:rPr>
              <w:color w:val="000000"/>
              <w:sz w:val="24"/>
            </w:rPr>
          </w:pPr>
          <w:r>
            <w:rPr>
              <w:color w:val="000000"/>
              <w:sz w:val="24"/>
            </w:rPr>
            <w:t xml:space="preserve">2.5 Pruebas de software</w:t>
          </w:r>
        </w:p>
        <w:p>
          <w:r>
            <w:t xml:space="preserve">Las pruebas se organizan por niveles según lo que ejercitan. Una prueba unitaria comprueba una pieza aislada, sin red ni base de datos reales; una de integración, la colaboración entre piezas; una de extremo a extremo, el sistema completo desde su interfaz, como lo usaría una persona. Las pruebas de alto nivel son más lentas y más frágiles, y por eso la pirámide de pruebas recomienda muchas más pruebas unitarias que pruebas a través de la interfaz gráfica [20].</w:t>
          </w:r>
        </w:p>
        <w:p>
          <w:r>
            <w:t xml:space="preserve">El desarrollo dirigido por pruebas (</w:t>
          </w:r>
          <w:r>
            <w:rPr>
              <w:i/>
            </w:rPr>
            <w:t xml:space="preserve">Test-Driven Development</w:t>
          </w:r>
          <w:r>
            <w:t xml:space="preserve">, TDD) escribe la prueba antes que el código que la satisface, en ciclos cortos: una prueba que falla, el código mínimo para que pase y una refactorización [21]. Loom no puede observar el orden en que el agente escribe los archivos, pero sí exige el resultado de ese hábito: un paquete que no entrega pruebas de su lógica se rechaza.</w:t>
          </w:r>
        </w:p>
        <w:p>
          <w:r>
            <w:t xml:space="preserve">Para las pruebas de extremo a extremo de aplicaciones web, Playwright automatiza los navegadores Chromium, WebKit y Firefox desde un mismo guion [22]. El glosario de ISTQB define la prueba de humo como el conjunto de pruebas que cubre la funcionalidad principal de un componente o sistema para determinar si funciona antes de empezar las pruebas planeadas [23]. Loom usa el nombre en un sentido más amplio. Sus «pruebas de humo» ejecutan contra el ambiente desplegado todos los casos derivados de los criterios de aceptación de una HU, con un guion de Playwright que escribe el modelo y la ayuda de un agente de navegador cuando el guion no alcanza. Por su alcance se parecen más a una corrida de pruebas de aceptación que a una prueba de humo en sentido estricto, y así deben leerse los resultados del capítulo 5.</w:t>
          </w:r>
        </w:p>
        <w:p>
          <w:pPr>
            <w:pStyle w:val="Heading3"/>
            <w:ind w:firstLine="0"/>
            <w:jc w:val="left"/>
            <w:rPr>
              <w:color w:val="000000"/>
              <w:sz w:val="24"/>
            </w:rPr>
          </w:pPr>
          <w:r>
            <w:rPr>
              <w:color w:val="000000"/>
              <w:sz w:val="24"/>
            </w:rPr>
            <w:t xml:space="preserve">2.6 Revisión de código</w:t>
          </w:r>
        </w:p>
        <w:p>
          <w:r>
            <w:t xml:space="preserve">La revisión de código tiene una historia larga como práctica de calidad. Fagan formalizó en IBM las inspecciones de diseño y de código, un proceso sistemático con roles definidos para cada participante [24]. Las inspecciones mostraron beneficios para encontrar defectos, pero su costo en tiempo y su carácter síncrono limitaron su adopción, y la mayoría de las organizaciones pasó a prácticas más ligeras [25].</w:t>
          </w:r>
        </w:p>
        <w:p>
          <w:r>
            <w:t xml:space="preserve">La revisión moderna es informal, se apoya en una herramienta, ocurre de forma asíncrona y se centra en un cambio concreto: el revisor ve el </w:t>
          </w:r>
          <w:r>
            <w:rPr>
              <w:i/>
            </w:rPr>
            <w:t xml:space="preserve">diff</w:t>
          </w:r>
          <w:r>
            <w:t xml:space="preserve"> y comenta línea por línea. En Google, el análisis de nueve millones de cambios revisados mostró un proceso con un solo revisor en la mayoría de los casos, iteraciones rápidas y cambios pequeños, con una mediana de menos de cuatro horas para todo el proceso de revisión [25]. En Microsoft, las entrevistas y encuestas de Bacchelli y Bird encontraron que detectar defectos sigue siendo la motivación que más se declara, pero que las revisiones encuentran menos defectos de lo esperado y aportan, además, transferencia de conocimiento, conciencia del equipo y soluciones alternativas. Entender el código y el cambio resultó ser el principal reto [2].</w:t>
          </w:r>
        </w:p>
        <w:p>
          <w:r>
            <w:t xml:space="preserve">Mäntylä y Lassenius clasificaron los defectos encontrados en revisiones de código y hallaron que alrededor del 75 % no afectaba la funcionalidad visible del software: eran problemas de evolución, que hacían el código más difícil de entender o de modificar [26]. El dato importa para esta tesis porque la rúbrica del experimento C distingue entre una observación relevante y una que es ruido, y una observación de mantenibilidad puede ser cualquiera de las dos según su impacto.</w:t>
          </w:r>
        </w:p>
        <w:p>
          <w:r>
            <w:t xml:space="preserve">La automatización de la revisión con aprendizaje profundo empezó antes de los modelos de lenguaje generales. Tufano </w:t>
          </w:r>
          <w:r>
            <w:rPr>
              <w:i/>
            </w:rPr>
            <w:t xml:space="preserve">et al.</w:t>
          </w:r>
          <w:r>
            <w:t xml:space="preserve"> entrenaron un modelo que propone la versión revisada de un cambio antes de enviarlo y otro que implementa en código un comentario escrito por un revisor; el primero reprodujo la transformación esperada hasta en 16 % de los casos y el segundo, hasta en 31 % [27]. CodeReviewer, preentrenado con cambios y comentarios de revisión reales, aborda tres tareas: estimar la calidad de un cambio, generar el comentario y refinar el código [28].</w:t>
          </w:r>
        </w:p>
        <w:p>
          <w:r>
            <w:t xml:space="preserve">En Loom, cada observación de la revisión lleva una severidad (bloqueante, mayor o menor) y una fuente: el cumplimiento de los criterios de aceptación, la conformidad con la arquitectura aprobada, las buenas prácticas del lenguaje, la calidad de las pruebas o la seguridad. Las dos primeras fuentes solo pueden evaluarse si el revisor conoce la HU y la arquitectura. Si ese contexto hace la revisión más útil, como sostiene la hipótesis H1, es una pregunta empírica: el experimento del apartado 4.1.7 la plantea comparando la misma revisión con contexto y con solo el </w:t>
          </w:r>
          <w:r>
            <w:rPr>
              <w:i/>
            </w:rPr>
            <w:t xml:space="preserve">diff</w:t>
          </w:r>
          <w:r>
            <w:t xml:space="preserve">.</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es la práctica en la que cada integrante del equipo integra sus cambios con los de sus colegas al menos una vez al día, y cada integración se verifica con una construcción automática que incluye las pruebas, para detectar los errores de integración lo antes posible [29]. La entrega continua extiende esa cadena hasta dejar el sistema listo para desplegarse, mediante una </w:t>
          </w:r>
          <w:r>
            <w:rPr>
              <w:i/>
            </w:rPr>
            <w:t xml:space="preserve">pipeline</w:t>
          </w:r>
          <w:r>
            <w:t xml:space="preserve"> automatizada que va del </w:t>
          </w:r>
          <w:r>
            <w:rPr>
              <w:i/>
            </w:rPr>
            <w:t xml:space="preserve">check-in</w:t>
          </w:r>
          <w:r>
            <w:t xml:space="preserve"> al </w:t>
          </w:r>
          <w:r>
            <w:rPr>
              <w:i/>
            </w:rPr>
            <w:t xml:space="preserve">release</w:t>
          </w:r>
          <w:r>
            <w:t xml:space="preserve"> [30]. Los contenedores empaquetan una aplicación con sus dependencias, de modo que la misma imagen se construye y se ejecuta en el equipo de desarrollo, en la integración continua y en la nube [31].</w:t>
          </w:r>
        </w:p>
        <w:p>
          <w:r>
            <w:t xml:space="preserve">En un flujo que genera código con un modelo, la integración continua cumple un papel adicional: es un juez externo que el modelo no controla. Loom lee el estado de los </w:t>
          </w:r>
          <w:r>
            <w:rPr>
              <w:i/>
            </w:rPr>
            <w:t xml:space="preserve">checks</w:t>
          </w:r>
          <w:r>
            <w:t xml:space="preserve"> de GitHub y no fusiona un Pull Request con la integración continua en rojo o todavía en ejecución (ADR-0076); si falla al avanzar una HU, devuelve el registro del </w:t>
          </w:r>
          <w:r>
            <w:rPr>
              <w:i/>
            </w:rPr>
            <w:t xml:space="preserve">check</w:t>
          </w:r>
          <w:r>
            <w:t xml:space="preserve"> al agente como una ronda de corrección (ADR-0078).</w:t>
          </w:r>
        </w:p>
        <w:p>
          <w:r>
            <w:t xml:space="preserve">Para autenticar el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[32]. GitHub Actions emite esos tokens mediante OpenID Connect [33]. Loom configura esa federación en el despliegue automático (ADR-0081 y ADR-0085).</w:t>
          </w:r>
        </w:p>
        <w:p>
          <w:pPr>
            <w:pStyle w:val="Heading3"/>
            <w:ind w:firstLine="0"/>
            <w:jc w:val="left"/>
            <w:rPr>
              <w:color w:val="000000"/>
              <w:sz w:val="24"/>
            </w:rPr>
          </w:pPr>
          <w:r>
            <w:rPr>
              <w:color w:val="000000"/>
              <w:sz w:val="24"/>
            </w:rPr>
            <w:t xml:space="preserve">2.8 Registros de decisión de arquitectura</w:t>
          </w:r>
        </w:p>
        <w:p>
          <w:r>
            <w:t xml:space="preserve">Jansen y Bosch propusieron ver la arquitectura de software como el conjunto de decisiones de diseño que la produjeron, y señalaron que, cuando esas decisiones no se registran, su razón se pierde y el costo de cambiar el sistema sube [34]. Un registro de decisión de arquitectura (</w:t>
          </w:r>
          <w:r>
            <w:rPr>
              <w:i/>
            </w:rPr>
            <w:t xml:space="preserve">Architecture Decision Record</w:t>
          </w:r>
          <w:r>
            <w:t xml:space="preserve">, ADR) es la forma ligera de conservarlas: un documento breve con el contexto, la decisión tomada y sus consecuencias, que no se modifica; si la decisión cambia, un registro nuevo sustituye al anterior [35].</w:t>
          </w:r>
        </w:p>
        <w:p>
          <w:r>
            <w:t xml:space="preserve">El diseño de Loom se documentó en más de ochenta registros de este tipo, numerados en el orden en que se tomaron. La lista completa está en el Anexo A. Con ellos se puede reconstruir por qué el sistema tiene su forma actual y qué se descartó en el camino, y en esta tesis cumplen además una función de evidencia: cada supuesto que una corrida piloto derribó quedó asociado a un registro fechado.</w:t>
          </w:r>
        </w:p>
        <w:p>
          <w:pPr>
            <w:pStyle w:val="Heading3"/>
            <w:ind w:firstLine="0"/>
            <w:jc w:val="left"/>
            <w:rPr>
              <w:color w:val="000000"/>
              <w:sz w:val="24"/>
            </w:rPr>
          </w:pPr>
          <w:r>
            <w:rPr>
              <w:color w:val="000000"/>
              <w:sz w:val="24"/>
            </w:rPr>
            <w:t xml:space="preserve">2.9 Evaluación experimental en ingeniería de software</w:t>
          </w:r>
        </w:p>
        <w:p>
          <w:r>
            <w:t xml:space="preserve">El estudio de caso investiga un fenómeno contemporáneo en su contexto real; Runeson y Höst dieron pautas para diseñarlo y reportarlo en ingeniería de software [36]. Las corridas piloto de esta tesis, con un proyecto real cada una y una persona operando el sistema, son estudios de caso en ese sentido. El experimento controlado, en cambio, manipula una variable y mantiene fijas las demás. Wohlin </w:t>
          </w:r>
          <w:r>
            <w:rPr>
              <w:i/>
            </w:rPr>
            <w:t xml:space="preserve">et al.</w:t>
          </w:r>
          <w:r>
            <w:t xml:space="preserve"> agrupan sus amenazas a la validez en cuatro tipos (interna, externa, de constructo y de conclusión), que sirven como lista de comprobación para el diseño [37].</w:t>
          </w:r>
        </w:p>
        <w:p>
          <w:r>
            <w:t xml:space="preserve">Los sistemas que incorporan un LLM comparten un problema con los algoritmos aleatorios: la misma ejecución puede dar resultados distintos. Arcuri y Briand revisaron cómo se evaluaban los algoritmos aleatorios en la literatura de ingeniería de software y encontraron que, en la mayoría de los casos, la aleatoriedad no se tomaba en cuenta; recomiendan ejecutar un número suficiente de corridas, aplicar pruebas estadísticas acordes con los datos y reportar el tamaño del efecto [38]. Cuando se comparan dos condiciones sobre los mismos objetos, como la revisión con contexto y la revisión con solo el </w:t>
          </w:r>
          <w:r>
            <w:rPr>
              <w:i/>
            </w:rPr>
            <w:t xml:space="preserve">diff</w:t>
          </w:r>
          <w:r>
            <w:t xml:space="preserve"> sobre los mismos Pull Requests, los datos son pareados. La prueba de rangos con signo de Wilcoxon compara pares sin suponer una distribución normal de las diferencias [39].</w:t>
          </w:r>
        </w:p>
        <w:p>
          <w:r>
            <w:t xml:space="preserve">A esto se suma que los modelos cambian con el tiempo, así que un resultado no se reproduce meses después si no se registran la versión y la fecha. Y la calidad de una salida en lenguaje natural, como una observación de revisión, necesita un juez. Usar otro modelo como juez es barato, y un modelo fuerte puede alcanzar con personas un acuerdo parecido al que tienen las personas entre sí. Tiene, sin embargo, sesgos documentados: su preferencia cambia con el orden en que se le presentan las respuestas, tiende a favorecer las más largas y favorece las que produjo un modelo como él [40]. Por eso esta tesis deja la calificación de las observaciones a una persona, a ciegas respecto de la condición que las produjo y con una rúbrica escrita antes de calificar.</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rPr>
          <w:highlight w:val="yellow"/>
        </w:rPr>
        <w:t>E</w:t>
      </w:r>
      <w:r w:rsidRPr="009C1BCD">
        <w:rPr>
          <w:highlight w:val="yellow"/>
        </w:rPr>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rPr>
          <w:highlight w:val="yellow"/>
        </w:rP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rPr>
          <w:highlight w:val="yellow"/>
        </w:rP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rPr>
          <w:highlight w:val="yellow"/>
        </w:rPr>
        <w:t>Conocer lo que se ha hecho con respecto a un tema ayuda a:</w:t>
      </w:r>
    </w:p>
    <w:p w14:paraId="7D0853B1" w14:textId="77777777" w:rsidR="001C4212" w:rsidRDefault="001C4212" w:rsidP="00283674">
      <w:pPr>
        <w:pStyle w:val="ListParagraph"/>
        <w:numPr>
          <w:ilvl w:val="1"/>
          <w:numId w:val="2"/>
        </w:numPr>
      </w:pPr>
      <w:r>
        <w:rPr>
          <w:highlight w:val="yellow"/>
        </w:rPr>
        <w:t>No investigar sobre algún tema que ya ha sido estudiado a fondo.</w:t>
      </w:r>
    </w:p>
    <w:p w14:paraId="437FA749" w14:textId="77777777" w:rsidR="001C4212" w:rsidRDefault="001C4212" w:rsidP="00283674">
      <w:pPr>
        <w:pStyle w:val="ListParagraph"/>
        <w:numPr>
          <w:ilvl w:val="1"/>
          <w:numId w:val="2"/>
        </w:numPr>
      </w:pPr>
      <w:r>
        <w:rPr>
          <w:highlight w:val="yellow"/>
        </w:rPr>
        <w:t>Estructurar más formalmente la idea de investigación</w:t>
      </w:r>
    </w:p>
    <w:p w14:paraId="13416A46" w14:textId="77777777" w:rsidR="001C4212" w:rsidRDefault="001C4212" w:rsidP="00283674">
      <w:pPr>
        <w:pStyle w:val="ListParagraph"/>
        <w:numPr>
          <w:ilvl w:val="1"/>
          <w:numId w:val="2"/>
        </w:numPr>
      </w:pPr>
      <w:r>
        <w:rPr>
          <w:highlight w:val="yellow"/>
        </w:rP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Este apartado revisa los trabajos que automatizan con modelos de lenguaje una o varias etapas del desarrollo que Loom también cubre: resolver tareas sobre repositorios reales, coordinar varias etapas con agentes, revisar código y generar pruebas. Los trabajos que solo generan fragmentos de código aislados se tratan en el marco teórico (apartado 2.3).</w:t>
          </w:r>
        </w:p>
        <w:p>
          <w:pPr>
            <w:pStyle w:val="Heading3"/>
            <w:ind w:firstLine="0"/>
            <w:jc w:val="left"/>
            <w:rPr>
              <w:color w:val="000000"/>
              <w:sz w:val="24"/>
            </w:rPr>
          </w:pPr>
          <w:r>
            <w:rPr>
              <w:color w:val="000000"/>
              <w:sz w:val="24"/>
            </w:rPr>
            <w:t xml:space="preserve">3.1.1 Protocolo de búsqueda</w:t>
          </w:r>
        </w:p>
        <w:p>
          <w:r>
            <w:t xml:space="preserve">La revisión es dirigida y no sistemática. Se hizo en dos momentos, en septiembre de 2026: una primera selección de trabajos conocidos del área (SWE-bench y los agentes evaluados con él, MetaGPT, ChatDev y la documentación de los asistentes comerciales), y una búsqueda el 28 de septiembre con un motor de búsqueda web general, sobre arXiv y las bibliotecas digitales de ACM e IEEE, con tres cadenas: «large language model automated code review industrial study», «LLaMA-Reviewer automating code review» y «large language models generate test cases from user stories acceptance criteria». A partir de los trabajos encontrados se siguieron las referencias hacia atrás y hacia adelante cuando apuntaban a otro trabajo del mismo tema.</w:t>
          </w:r>
        </w:p>
        <w:p>
          <w:r>
            <w:t xml:space="preserve">Un trabajo se incluyó si cumplía cuatro condiciones: usa un modelo de lenguaje; automatiza al menos una de las etapas mencionadas; reporta una evaluación empírica sobre software real o sobre un </w:t>
          </w:r>
          <w:r>
            <w:rPr>
              <w:i/>
            </w:rPr>
            <w:t xml:space="preserve">benchmark</w:t>
          </w:r>
          <w:r>
            <w:t xml:space="preserve"> reconocido (o, en el caso de las herramientas comerciales, tiene documentación oficial que describe sus capacidades); y es de 2020 o posterior. Se excluyeron los trabajos de autocompletado de código, los que no reportan evaluación y las versiones repetidas de un mismo trabajo. Cada descripción de esta sección se contrastó con el resumen o la página de la fuente. Los preprints se señalan como tales en la lista de referencias.</w:t>
          </w:r>
        </w:p>
        <w:p>
          <w:r>
            <w:t xml:space="preserve">El protocolo tiene límites que conviene declarar. No se consultaron bases como Scopus o Web of Science, no se registró el número de resultados revisados en cada búsqueda y la selección favorece trabajos en inglés publicados en arXiv. Por eso esta revisión no permite afirmar que no exista un trabajo equivalente a Loom; permite ubicar a Loom frente a los trabajos más citados y más recientes de cada línea.</w:t>
          </w:r>
        </w:p>
        <w:p>
          <w:pPr>
            <w:pStyle w:val="Heading3"/>
            <w:ind w:firstLine="0"/>
            <w:jc w:val="left"/>
            <w:rPr>
              <w:color w:val="000000"/>
              <w:sz w:val="24"/>
            </w:rPr>
          </w:pPr>
          <w:r>
            <w:rPr>
              <w:color w:val="000000"/>
              <w:sz w:val="24"/>
            </w:rPr>
            <w:t xml:space="preserve">3.1.2 Resolución de tareas en repositorios reales</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Su aporte es metodológico: evalúa por ejecución, con las pruebas que el propio proyecto escribió para el cambio. No aborda la especificación previa ni la revisión, y la entrada es un </w:t>
          </w:r>
          <w:r>
            <w:rPr>
              <w:i/>
            </w:rPr>
            <w:t xml:space="preserve">issue</w:t>
          </w:r>
          <w:r>
            <w:t xml:space="preserve"> ya redactado.</w:t>
          </w:r>
        </w:p>
        <w:p>
          <w:r>
            <w:t xml:space="preserve">Los agentes que atacan este problema difieren en cuánta autonomía le dan al modelo. SWE-agent propone una interfaz agente-computadora con la que el agente navega el repositorio, edita código y ejecuta pruebas; con ella alcanzó 12.5 % de resolución en SWE-bench, por encima de los enfoques no interactivos anteriores [13]. AutoCodeRover combina el modelo con búsqueda de código sobre el árbol de sintaxis y con localización de fallos basada en espectro, y resolvió 19 % de SWE-bench-lite con un costo menor que otros enfoques comparables [41]. OpenHands es una plataforma abierta para construir agentes que escriben código, usan la terminal y navegan la web en un entorno aislado, y se evaluó en 15 tareas de ingeniería de software y de navegación [42].</w:t>
          </w:r>
        </w:p>
        <w:p>
          <w:r>
            <w:t xml:space="preserve">Agentless tomó el camino contrario. Sin agente, con un proceso fijo de tres fases (localizar el problema, reparar y validar el parche), resolvió 32 % de SWE-bench Lite con un costo de 0.70 dólares por tarea, más que los agentes de código abierto con los que se comparó [43]. El resultado pesa en el diseño de Loom, que también prefiere un flujo fijo con etapas y compuertas definidas por el sistema a un agente único que decide su propio camino. En todos estos trabajos la tarea termina cuando pasan las pruebas del </w:t>
          </w:r>
          <w:r>
            <w:rPr>
              <w:i/>
            </w:rPr>
            <w:t xml:space="preserve">issue</w:t>
          </w:r>
          <w:r>
            <w:t xml:space="preserve">: no se revisa el cambio contra una especificación de negocio ni se valida la aplicación desplegada.</w:t>
          </w:r>
        </w:p>
        <w:p>
          <w:pPr>
            <w:pStyle w:val="Heading3"/>
            <w:ind w:firstLine="0"/>
            <w:jc w:val="left"/>
            <w:rPr>
              <w:color w:val="000000"/>
              <w:sz w:val="24"/>
            </w:rPr>
          </w:pPr>
          <w:r>
            <w:rPr>
              <w:color w:val="000000"/>
              <w:sz w:val="24"/>
            </w:rPr>
            <w:t xml:space="preserve">3.1.3 Sistemas de varios agentes y asistentes comerciales</w:t>
          </w:r>
        </w:p>
        <w:p>
          <w:r>
            <w:t xml:space="preserve">MetaGPT codifica procedimientos operativos estándar en secuencias de </w:t>
          </w:r>
          <w:r>
            <w:rPr>
              <w:i/>
            </w:rPr>
            <w:t xml:space="preserve">prompts</w:t>
          </w:r>
          <w:r>
            <w:t xml:space="preserve"> y reparte roles especializados entre agentes en forma de línea de ensamble, de modo que los resultados intermedios se verifican [44]. ChatDev hace que agentes con roles colaboren mediante diálogo estructurado en las fases de diseño, codificación y pruebas, y usa una técnica de comunicación para reducir las alucinaciones [45]. Son los más cercanos a Loom en la idea de recorrer varias etapas. Parten, sin embargo, de la descripción de un producto nuevo; ninguno toma historias de usuario de un backlog real ni trata un proyecto con avance previo.</w:t>
          </w:r>
        </w:p>
        <w:p>
          <w:r>
            <w:t xml:space="preserve">Los asistentes comerciales integran la generación y la edición de código en el trabajo cotidiano. El agente de Copilot en la nube de GitHub recibe una tarea, investiga el repositorio, propone un plan, hace cambios en una rama y puede ejecutar pruebas y analizadores estáticos; la persona revisa los cambios antes de crear el Pull Request [46].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[47]. Loom usa este último como uno de sus proveedores (apartado 4.2.2). La documentación consultada de ambos describe un tramo del ciclo; no describe la derivación de casos de prueba desde criterios de negocio ni la validación funcional en un ambiente desplegado.</w:t>
          </w:r>
        </w:p>
        <w:p>
          <w:r>
            <w:t xml:space="preserve">En el desarrollo dirigido por especificaciones con agentes, GitHub publicó en 2025 un conjunto de herramientas de código abierto que organiza el trabajo en especificar, planear, dividir en tareas e implementar, con supervisión humana en cada etapa [19]. Comparte con Loom la especificación como fuente de verdad; no incluye la revisión con contexto, las pruebas de humo ni el despliegue.</w:t>
          </w:r>
        </w:p>
        <w:p>
          <w:pPr>
            <w:pStyle w:val="Heading3"/>
            <w:ind w:firstLine="0"/>
            <w:jc w:val="left"/>
            <w:rPr>
              <w:color w:val="000000"/>
              <w:sz w:val="24"/>
            </w:rPr>
          </w:pPr>
          <w:r>
            <w:rPr>
              <w:color w:val="000000"/>
              <w:sz w:val="24"/>
            </w:rPr>
            <w:t xml:space="preserve">3.1.4 Revisión de código automatizada</w:t>
          </w:r>
        </w:p>
        <w:p>
          <w:r>
            <w:t xml:space="preserve">Los primeros trabajos entrenaron modelos específicos para la revisión. CodeReviewer se preentrenó con cambios y comentarios reales para estimar la calidad de un cambio, generar comentarios y refinar el código [28]. LLaMA-Reviewer ajustó un modelo de lenguaje general a las mismas tareas con técnicas de ajuste eficiente, entrenando menos del 1 % de sus parámetros [48]. Una evaluación manual de 2,291 predicciones de tres técnicas, con cerca de 105 horas de análisis, encontró que ChatGPT, usado sin ajuste, tiene dificultades para comentar el código como lo haría un revisor humano [49].</w:t>
          </w:r>
        </w:p>
        <w:p>
          <w:r>
            <w:t xml:space="preserve">Los estudios más recientes miden herramientas desplegadas en empresas. En un estudio industrial, una herramienta de revisión basada en un LLM estuvo disponible para unas 238 personas en diez proyectos; en tres de ellos, de 4,335 Pull Requests, 1,568 pasaron por revisión automática, y 73.8 % de sus comentarios se marcaron como resueltos. Las personas reportaron una mejora menor en la calidad del código, y el tiempo para cerrar un Pull Request subió de 5 horas 52 minutos a 8 horas 20 minutos; entre los problemas mencionaron revisiones erróneas y comentarios irrelevantes [50]. En Atlassian, RovoDev Code Reviewer se evaluó durante un año: 38.7 % de sus comentarios provocaron cambios de código en los </w:t>
          </w:r>
          <w:r>
            <w:rPr>
              <w:i/>
            </w:rPr>
            <w:t xml:space="preserve">commits</w:t>
          </w:r>
          <w:r>
            <w:t xml:space="preserve"> siguientes, el tiempo de ciclo de los Pull Requests bajó 30.8 % y los comentarios escritos por personas se redujeron 35.6 % [51]. En Ericsson, una herramienta ligera combinó el modelo con análisis estático del programa y obtuvo resultados preliminares alentadores con desarrolladores experimentados [52].</w:t>
          </w:r>
        </w:p>
        <w:p>
          <w:r>
            <w:t xml:space="preserve">El trabajo más cercano a la hipótesis H1 es SGCR, que ancla la revisión en especificaciones escritas por personas. Tiene dos rutas: una explícita, que verifica de forma determinista reglas derivadas de esas especificaciones, y una implícita, que busca y verifica problemas fuera de ellas. En un entorno industrial, 42 % de sus sugerencias fueron adoptadas por los desarrolladores, frente a 22 % de un LLM de base sin ese anclaje [53]. El resultado apunta en la dirección de H1, aunque con otra especificación (reglas de revisión, no historias de usuario) y otra medida (adopción, no relevancia calificada a ciegas). Loom agrega a esa línea dos cosas: el contexto es el de la tarea (la HU, sus casos de prueba y la arquitectura aprobada) y la comparación se hace sobre los mismos Pull Requests, con y sin ese contexto (apartado 4.1.7).</w:t>
          </w:r>
        </w:p>
        <w:p>
          <w:pPr>
            <w:pStyle w:val="Heading3"/>
            <w:ind w:firstLine="0"/>
            <w:jc w:val="left"/>
            <w:rPr>
              <w:color w:val="000000"/>
              <w:sz w:val="24"/>
            </w:rPr>
          </w:pPr>
          <w:r>
            <w:rPr>
              <w:color w:val="000000"/>
              <w:sz w:val="24"/>
            </w:rPr>
            <w:t xml:space="preserve">3.1.5 Generación de pruebas</w:t>
          </w:r>
        </w:p>
        <w:p>
          <w:r>
            <w:t xml:space="preserve">Con código como entrada, TestPilot generó pruebas unitarias para 25 paquetes de npm con 1,684 funciones de API y alcanzó una mediana de cobertura de sentencias de 70.2 % y de ramas de 52.8 %, por encima de la herramienta de referencia con la que se comparó [54]. En Meta, TestGen-LLM mejora pruebas unitarias existentes y filtra sus propuestas antes de mostrarlas: 75 % de sus casos compilaron, 57 % pasaron de forma confiable y 25 % aumentaron la cobertura; mejoró 11.5 % de las clases a las que se aplicó, y los ingenieros aceptaron 73 % de sus recomendaciones para producción [55]. Los dos generan pruebas a partir del código, así que verifican lo que el código hace y no lo que la historia de usuario pide.</w:t>
          </w:r>
        </w:p>
        <w:p>
          <w:r>
            <w:t xml:space="preserve">La línea más cercana a Loom genera pruebas a partir de los requerimientos. Ferreira </w:t>
          </w:r>
          <w:r>
            <w:rPr>
              <w:i/>
            </w:rPr>
            <w:t xml:space="preserve">et al.</w:t>
          </w:r>
          <w:r>
            <w:t xml:space="preserve"> reportan un caso industrial en dos pasos: de las historias de usuario a escenarios de aceptación en Gherkin, y de esos escenarios, junto con el HTML de las páginas, a guiones ejecutables en Cypress. Las personas que probaban consideraron útiles los escenarios 95 % de las veces; de los guiones generados, 92 % se consideraron útiles, 60 % se usaron tal cual y 8 % se descartaron [56]. Es la misma cadena que siguen las </w:t>
          </w:r>
          <w:r>
            <w:rPr>
              <w:i/>
            </w:rPr>
            <w:t xml:space="preserve">skills</w:t>
          </w:r>
          <w:r>
            <w:t xml:space="preserve"> 2 y 8 de Loom, con otro </w:t>
          </w:r>
          <w:r>
            <w:rPr>
              <w:i/>
            </w:rPr>
            <w:t xml:space="preserve">framework</w:t>
          </w:r>
          <w:r>
            <w:t xml:space="preserve"> de pruebas. Una revisión de 21 estudios primarios sobre generación de casos de prueba desde requerimientos en lenguaje natural concluyó que ningún enfoque satisface a la vez seis dimensiones de calidad (automatización, manejo de la ambigüedad, aplicabilidad al dominio, trazabilidad, evaluación y control de las alucinaciones) [57].</w:t>
          </w:r>
        </w:p>
        <w:p>
          <w:pPr>
            <w:pStyle w:val="Heading3"/>
            <w:ind w:firstLine="0"/>
            <w:jc w:val="left"/>
            <w:rPr>
              <w:color w:val="000000"/>
              <w:sz w:val="24"/>
            </w:rPr>
          </w:pPr>
          <w:r>
            <w:rPr>
              <w:color w:val="000000"/>
              <w:sz w:val="24"/>
            </w:rPr>
            <w:t xml:space="preserve">3.1.6 Lo que queda abierto</w:t>
          </w:r>
        </w:p>
        <w:p>
          <w:r>
            <w:t xml:space="preserve">Cada línea automatiza bien un tramo. Los agentes de repositorio resuelven </w:t>
          </w:r>
          <w:r>
            <w:rPr>
              <w:i/>
            </w:rPr>
            <w:t xml:space="preserve">issues</w:t>
          </w:r>
          <w:r>
            <w:t xml:space="preserve"> redactados; los sistemas de varios agentes recorren etapas sobre productos nuevos; los revisores industriales comentan Pull Requests con el contexto del cambio y, en el mejor caso, con reglas escritas; los generadores de pruebas trabajan desde el código o, en un caso industrial, desde historias de usuario. Ningún trabajo revisado encadena la historia de usuario con sus casos de prueba, el código, una revisión que conoce esos casos y la arquitectura, y la validación de la aplicación desplegada. Esa es la brecha de diseño que Loom ocupa. Si cerrar la brecha produce mejores resultados es otra pregunta, y la tesis la acota a una parte medible: el efecto del contexto sobre la revisión (H1).</w:t>
          </w:r>
        </w:p>
      </w:sdtContent>
    </w:sdt>
    <w:p w14:paraId="19459AD9" w14:textId="77777777" w:rsidR="00942DD5" w:rsidRDefault="00942DD5" w:rsidP="001D44EE"/>
    <w:p w14:paraId="1E524356" w14:textId="77777777" w:rsidR="00162284" w:rsidRPr="001D44EE" w:rsidRDefault="00162284" w:rsidP="001D44EE">
      <w:r w:rsidRPr="001D44EE">
        <w:rPr>
          <w:highlight w:val="yellow"/>
        </w:rPr>
        <w:t>Esta parte incluye la revisión (bibliográfica o de campo) de las soluciones que se</w:t>
      </w:r>
      <w:r w:rsidR="002C4EA9" w:rsidRPr="001D44EE">
        <w:rPr>
          <w:highlight w:val="yellow"/>
        </w:rPr>
        <w:t xml:space="preserve"> </w:t>
      </w:r>
      <w:r w:rsidRPr="001D44EE">
        <w:rPr>
          <w:highlight w:val="yellow"/>
        </w:rPr>
        <w:t>han desarrollado con anterioridad y la efectividad de las mismas, así como</w:t>
      </w:r>
      <w:r w:rsidR="002C4EA9" w:rsidRPr="001D44EE">
        <w:rPr>
          <w:highlight w:val="yellow"/>
        </w:rPr>
        <w:t xml:space="preserve"> </w:t>
      </w:r>
      <w:r w:rsidRPr="001D44EE">
        <w:rPr>
          <w:highlight w:val="yellow"/>
        </w:rPr>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rPr>
          <w:highlight w:val="yellow"/>
        </w:rPr>
        <w:t>Esta sección refleja que el tesista ha obtenido información suficiente para</w:t>
      </w:r>
      <w:r w:rsidR="002C4EA9" w:rsidRPr="001D44EE">
        <w:rPr>
          <w:highlight w:val="yellow"/>
        </w:rPr>
        <w:t xml:space="preserve"> </w:t>
      </w:r>
      <w:r w:rsidRPr="001D44EE">
        <w:rPr>
          <w:highlight w:val="yellow"/>
        </w:rPr>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las que no se han comprobado quedan como «por verificar».</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SWE-agent, AutoCodeRover, Agentless</w:t>
                </w:r>
              </w:p>
            </w:tc>
            <w:tc>
              <w:tcPr>
                <w:tcW w:w="714" w:type="pct"/>
              </w:tcPr>
              <w:p>
                <w:pPr>
                  <w:spacing w:after="0" w:line="240" w:lineRule="auto"/>
                  <w:ind w:firstLine="0"/>
                  <w:jc w:val="left"/>
                  <w:rPr>
                    <w:sz w:val="17"/>
                  </w:rPr>
                </w:pPr>
                <w:r>
                  <w:rPr>
                    <w:sz w:val="17"/>
                  </w:rPr>
                  <w:t xml:space="preserve">Resolución o reparación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Sí (repositorios existentes)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(producto nuevo)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Sí (investiga el repositorio)</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 descrito en la fuente</w:t>
                </w:r>
              </w:p>
            </w:tc>
          </w:tr>
          <w:tr>
            <w:trPr>
              <w:cantSplit/>
            </w:trPr>
            <w:tc>
              <w:tcPr>
                <w:tcW w:w="714" w:type="pct"/>
              </w:tcPr>
              <w:p>
                <w:pPr>
                  <w:spacing w:after="0" w:line="240" w:lineRule="auto"/>
                  <w:ind w:firstLine="0"/>
                  <w:jc w:val="left"/>
                  <w:rPr>
                    <w:sz w:val="17"/>
                  </w:rPr>
                </w:pPr>
                <w:r>
                  <w:rPr>
                    <w:sz w:val="17"/>
                  </w:rPr>
                  <w:t xml:space="preserve">Revisores industriales (Cihan </w:t>
                </w:r>
                <w:r>
                  <w:rPr>
                    <w:i/>
                    <w:sz w:val="17"/>
                  </w:rPr>
                  <w:t xml:space="preserve">et al.</w:t>
                </w:r>
                <w:r>
                  <w:rPr>
                    <w:sz w:val="17"/>
                  </w:rPr>
                  <w:t xml:space="preserve">, RovoDev, Ericsson)</w:t>
                </w:r>
              </w:p>
            </w:tc>
            <w:tc>
              <w:tcPr>
                <w:tcW w:w="714" w:type="pct"/>
              </w:tcPr>
              <w:p>
                <w:pPr>
                  <w:spacing w:after="0" w:line="240" w:lineRule="auto"/>
                  <w:ind w:firstLine="0"/>
                  <w:jc w:val="left"/>
                  <w:rPr>
                    <w:sz w:val="17"/>
                  </w:rPr>
                </w:pPr>
                <w:r>
                  <w:rPr>
                    <w:sz w:val="17"/>
                  </w:rPr>
                  <w:t xml:space="preserve">Revisión de Pull Requests</w:t>
                </w:r>
              </w:p>
            </w:tc>
            <w:tc>
              <w:tcPr>
                <w:tcW w:w="714" w:type="pct"/>
              </w:tcPr>
              <w:p>
                <w:pPr>
                  <w:spacing w:after="0" w:line="240" w:lineRule="auto"/>
                  <w:ind w:firstLine="0"/>
                  <w:jc w:val="left"/>
                  <w:rPr>
                    <w:sz w:val="17"/>
                  </w:rPr>
                </w:pPr>
                <w:r>
                  <w:rPr>
                    <w:sz w:val="17"/>
                  </w:rPr>
                  <w:t xml:space="preserve">Pull Request</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descrito en la fuente</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SGCR</w:t>
                </w:r>
              </w:p>
            </w:tc>
            <w:tc>
              <w:tcPr>
                <w:tcW w:w="714" w:type="pct"/>
              </w:tcPr>
              <w:p>
                <w:pPr>
                  <w:spacing w:after="0" w:line="240" w:lineRule="auto"/>
                  <w:ind w:firstLine="0"/>
                  <w:jc w:val="left"/>
                  <w:rPr>
                    <w:sz w:val="17"/>
                  </w:rPr>
                </w:pPr>
                <w:r>
                  <w:rPr>
                    <w:sz w:val="17"/>
                  </w:rPr>
                  <w:t xml:space="preserve">Revisión</w:t>
                </w:r>
              </w:p>
            </w:tc>
            <w:tc>
              <w:tcPr>
                <w:tcW w:w="714" w:type="pct"/>
              </w:tcPr>
              <w:p>
                <w:pPr>
                  <w:spacing w:after="0" w:line="240" w:lineRule="auto"/>
                  <w:ind w:firstLine="0"/>
                  <w:jc w:val="left"/>
                  <w:rPr>
                    <w:sz w:val="17"/>
                  </w:rPr>
                </w:pPr>
                <w:r>
                  <w:rPr>
                    <w:sz w:val="17"/>
                  </w:rPr>
                  <w:t xml:space="preserve">Pull Request y especificaciones escritas por personas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Con reglas derivadas de especificaciones</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TestPilot y TestGen-LLM</w:t>
                </w:r>
              </w:p>
            </w:tc>
            <w:tc>
              <w:tcPr>
                <w:tcW w:w="714" w:type="pct"/>
              </w:tcPr>
              <w:p>
                <w:pPr>
                  <w:spacing w:after="0" w:line="240" w:lineRule="auto"/>
                  <w:ind w:firstLine="0"/>
                  <w:jc w:val="left"/>
                  <w:rPr>
                    <w:sz w:val="17"/>
                  </w:rPr>
                </w:pPr>
                <w:r>
                  <w:rPr>
                    <w:sz w:val="17"/>
                  </w:rPr>
                  <w:t xml:space="preserve">Pruebas unitarias</w:t>
                </w:r>
              </w:p>
            </w:tc>
            <w:tc>
              <w:tcPr>
                <w:tcW w:w="714" w:type="pct"/>
              </w:tcPr>
              <w:p>
                <w:pPr>
                  <w:spacing w:after="0" w:line="240" w:lineRule="auto"/>
                  <w:ind w:firstLine="0"/>
                  <w:jc w:val="left"/>
                  <w:rPr>
                    <w:sz w:val="17"/>
                  </w:rPr>
                </w:pPr>
                <w:r>
                  <w:rPr>
                    <w:sz w:val="17"/>
                  </w:rPr>
                  <w:t xml:space="preserve">Código o pruebas existentes</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Ferreira </w:t>
                </w:r>
                <w:r>
                  <w:rPr>
                    <w:i/>
                    <w:sz w:val="17"/>
                  </w:rPr>
                  <w:t xml:space="preserve">et al.</w:t>
                </w:r>
              </w:p>
            </w:tc>
            <w:tc>
              <w:tcPr>
                <w:tcW w:w="714" w:type="pct"/>
              </w:tcPr>
              <w:p>
                <w:pPr>
                  <w:spacing w:after="0" w:line="240" w:lineRule="auto"/>
                  <w:ind w:firstLine="0"/>
                  <w:jc w:val="left"/>
                  <w:rPr>
                    <w:sz w:val="17"/>
                  </w:rPr>
                </w:pPr>
                <w:r>
                  <w:rPr>
                    <w:sz w:val="17"/>
                  </w:rPr>
                  <w:t xml:space="preserve">Escenarios y guiones de aceptación</w:t>
                </w:r>
              </w:p>
            </w:tc>
            <w:tc>
              <w:tcPr>
                <w:tcW w:w="714" w:type="pct"/>
              </w:tcPr>
              <w:p>
                <w:pPr>
                  <w:spacing w:after="0" w:line="240" w:lineRule="auto"/>
                  <w:ind w:firstLine="0"/>
                  <w:jc w:val="left"/>
                  <w:rPr>
                    <w:sz w:val="17"/>
                  </w:rPr>
                </w:pPr>
                <w:r>
                  <w:rPr>
                    <w:sz w:val="17"/>
                  </w:rPr>
                  <w:t xml:space="preserve">Historias de usuario y HTML de las páginas</w:t>
                </w:r>
              </w:p>
            </w:tc>
            <w:tc>
              <w:tcPr>
                <w:tcW w:w="714" w:type="pct"/>
              </w:tcPr>
              <w:p>
                <w:pPr>
                  <w:spacing w:after="0" w:line="240" w:lineRule="auto"/>
                  <w:ind w:firstLine="0"/>
                  <w:jc w:val="left"/>
                  <w:rPr>
                    <w:sz w:val="17"/>
                  </w:rPr>
                </w:pPr>
                <w:r>
                  <w:rPr>
                    <w:sz w:val="17"/>
                  </w:rPr>
                  <w:t xml:space="preserve">Sí (caso industrial)</w:t>
                </w:r>
              </w:p>
            </w:tc>
            <w:tc>
              <w:tcPr>
                <w:tcW w:w="714" w:type="pct"/>
              </w:tcPr>
              <w:p>
                <w:pPr>
                  <w:spacing w:after="0" w:line="240" w:lineRule="auto"/>
                  <w:ind w:firstLine="0"/>
                  <w:jc w:val="left"/>
                  <w:rPr>
                    <w:sz w:val="17"/>
                  </w:rPr>
                </w:pPr>
                <w:r>
                  <w:rPr>
                    <w:sz w:val="17"/>
                  </w:rPr>
                  <w:t xml:space="preserve">No aplica</w:t>
                </w:r>
              </w:p>
            </w:tc>
            <w:tc>
              <w:tcPr>
                <w:tcW w:w="714" w:type="pct"/>
              </w:tcPr>
              <w:p>
                <w:pPr>
                  <w:spacing w:after="0" w:line="240" w:lineRule="auto"/>
                  <w:ind w:firstLine="0"/>
                  <w:jc w:val="left"/>
                  <w:rPr>
                    <w:sz w:val="17"/>
                  </w:rPr>
                </w:pPr>
                <w:r>
                  <w:rPr>
                    <w:sz w:val="17"/>
                  </w:rPr>
                  <w:t xml:space="preserve">Guiones ejecutables en Cypress</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Previsto, con el diagnóstico de avance (implementado, no ejercitado)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 contra el ambiente desplegado</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rasgos que los trabajos revisados presentan por separado: parte de una HU real con criterios, revisa con ese contexto y valida el resultado en un ambiente desplegado. Los rasgos más cercanos están en SGCR, que ancla la revisión en especificaciones, y en el caso industrial de Ferreira </w:t>
          </w:r>
          <w:r>
            <w:rPr>
              <w:i/>
            </w:rPr>
            <w:t xml:space="preserve">et al.</w:t>
          </w:r>
          <w:r>
            <w:t xml:space="preserve">, que genera pruebas de aceptación desde historias de usuario. La comparación es de diseño y depende de lo que cada fuente describe: una celda «No descrito en la fuente» no afirma que la herramienta carezca de esa capacidad. Que la combinación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rPr>
          <w:highlight w:val="yellow"/>
        </w:rPr>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rPr>
          <w:highlight w:val="yellow"/>
        </w:rPr>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[58]: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aplicación web para la agenda y la operación de un taller mecánico (clientes, vehículos, citas, órdenes de servicio y cobro), también con su backlog en Jira: 44 historias organizadas en nueve épicas. Para probar la generalización, a P2 se le configuró una pila distinta de la de P1: Node con NestJS y React, frente a Java con Spring Boot y Angular.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agenda de taller mecánico</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r>
            <w:t xml:space="preserve">Antes de la matriz se corrió un piloto completo por proyecto, E1c y E3c, con el CLI de Claude sobre una suscripción en lugar de la API. Sirvieron para que el flujo funcionara de punta a punta en los dos proyectos y para registrar cada error y cada intervención; sus resultados se reportan en el capítulo 5 como pilotos, no como escenarios de la matriz, porque el costo del CLI con suscripción es nocional y porque Loom no fijaba el modelo que el CLI usaba.</w:t>
          </w:r>
        </w:p>
        <w:p>
          <w:pPr>
            <w:pStyle w:val="Heading3"/>
            <w:ind w:firstLine="0"/>
            <w:jc w:val="left"/>
            <w:rPr>
              <w:color w:val="000000"/>
              <w:sz w:val="24"/>
            </w:rPr>
          </w:pPr>
          <w:r>
            <w:rPr>
              <w:color w:val="000000"/>
              <w:sz w:val="24"/>
            </w:rPr>
            <w:t xml:space="preserve">4.1.3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4.1.4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4.1.5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r>
            <w:t xml:space="preserve">Otro riesgo es propio del enfoque de ciencia del diseño: el artefacto evoluciona con cada evaluación. Cada piloto encontró supuestos de Loom que no se sostenían y se corrigieron con un registro de decisión (ADR-0071 a 0084 tras el primer piloto, ADR-0085 a 0088 durante el segundo). Esa evolución es parte del resultado, pero implica que dos corridas solo son comparables si se hicieron con la misma versión de la plataforma, y por eso el commit de Loom y los modelos exactos se registran junto con cada corrida.</w:t>
          </w:r>
        </w:p>
        <w:p>
          <w:pPr>
            <w:pStyle w:val="Heading3"/>
            <w:ind w:firstLine="0"/>
            <w:jc w:val="left"/>
            <w:rPr>
              <w:color w:val="000000"/>
              <w:sz w:val="24"/>
            </w:rPr>
          </w:pPr>
          <w:r>
            <w:rPr>
              <w:color w:val="000000"/>
              <w:sz w:val="24"/>
            </w:rPr>
            <w:t xml:space="preserve">4.1.6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p>
          <w:pPr>
            <w:pStyle w:val="Heading3"/>
            <w:ind w:firstLine="0"/>
            <w:jc w:val="left"/>
            <w:rPr>
              <w:color w:val="000000"/>
              <w:sz w:val="24"/>
            </w:rPr>
          </w:pPr>
          <w:r>
            <w:rPr>
              <w:color w:val="000000"/>
              <w:sz w:val="24"/>
            </w:rPr>
            <w:t xml:space="preserve">4.1.7 Experimento de control de la revisión</w:t>
          </w:r>
        </w:p>
        <w:p>
          <w:r>
            <w:t xml:space="preserve">La hipótesis H1 compara dos revisiones del mismo cambio, y los pilotos solo produjeron una de ellas. La línea base se obtiene, por eso, de forma retrospectiva: las 29 primeras revisiones de E1c y E3c se repiten sobre los mismos Pull Requests en dos condiciones (ADR-0089). En la condición con contexto, el revisor recibe exactamente lo que recibe la </w:t>
          </w:r>
          <w:r>
            <w:rPr>
              <w:i/>
            </w:rPr>
            <w:t xml:space="preserve">skill</w:t>
          </w:r>
          <w:r>
            <w:t xml:space="preserve"> de revisión: el paquete de trabajo, la arquitectura aprobada del repositorio, la especificación y los casos de prueba de la HU, el título y la descripción del Pull Request, y el </w:t>
          </w:r>
          <w:r>
            <w:rPr>
              <w:i/>
            </w:rPr>
            <w:t xml:space="preserve">diff</w:t>
          </w:r>
          <w:r>
            <w:t xml:space="preserve">. En la condición de control recibe solo el </w:t>
          </w:r>
          <w:r>
            <w:rPr>
              <w:i/>
            </w:rPr>
            <w:t xml:space="preserve">diff</w:t>
          </w:r>
          <w:r>
            <w:t xml:space="preserve">. Sus instrucciones conservan las fuentes, las severidades y las reglas de la </w:t>
          </w:r>
          <w:r>
            <w:rPr>
              <w:i/>
            </w:rPr>
            <w:t xml:space="preserve">skill</w:t>
          </w:r>
          <w:r>
            <w:t xml:space="preserve">, y declaran que no conoce la HU, sus criterios ni la arquitectura.</w:t>
          </w:r>
        </w:p>
        <w:p>
          <w:r>
            <w:t xml:space="preserve">Tres controles sostienen la comparación. El </w:t>
          </w:r>
          <w:r>
            <w:rPr>
              <w:i/>
            </w:rPr>
            <w:t xml:space="preserve">diff</w:t>
          </w:r>
          <w:r>
            <w:t xml:space="preserve"> es el mismo en las dos condiciones: se reconstruye desde GitHub como el cambio del primer commit del Pull Request, antes de cualquier corrección, y coincide con el que guardó la revisión original. El modelo está fijado (</w:t>
          </w:r>
          <w:r>
            <w:rPr>
              <w:rFonts w:ascii="Consolas" w:hAnsi="Consolas" w:cs="Consolas"/>
            </w:rPr>
            <w:t xml:space="preserve">claude-sonnet-5</w:t>
          </w:r>
          <w:r>
            <w:t xml:space="preserve"> por el CLI de Claude Code), con el mismo esquema de salida y el mismo tope de 140,000 caracteres para el </w:t>
          </w:r>
          <w:r>
            <w:rPr>
              <w:i/>
            </w:rPr>
            <w:t xml:space="preserve">diff</w:t>
          </w:r>
          <w:r>
            <w:t xml:space="preserve">. El contexto, por último, se reconstruye tal como estaba en el momento de la primera revisión, a partir del historial del repositorio de control y no del estado actual de la base de datos. A diferencia de la regla del apartado 4.1.3, el experimento usa el CLI con suscripción y no la API: las dos condiciones corren con el mismo modelo, y el costo, que en esa modalidad es nocional, no forma parte de la hipótesis.</w:t>
          </w:r>
        </w:p>
        <w:p>
          <w:r>
            <w:t xml:space="preserve">La relevancia no la juzga el sistema. Una persona califica las observaciones de las dos condiciones con la rúbrica del apartado 4.1.4 (relevante y correcta, relevante pero mal sustentada, ruido o falsa). Las ve mezcladas dentro de cada Pull Request, en orden aleatorio, con un identificador anónimo y sin la fuente ni la severidad que les asignó el modelo, porque ambas delatan la condición. La clave que asocia cada identificador con su condición y los datos crudos quedan fuera del repositorio público hasta terminar la calificación; su huella SHA-256 se publica antes, para que después pueda comprobarse que no cambiaron. El análisis reporta la proporción de observaciones relevantes por condición y compara, Pull Request por Pull Request, el número de observaciones relevantes con la prueba de rangos con signo de Wilcoxon [39] y con la prueba de signos, siguiendo las pautas de Arcuri y Briand para comparar resultados de ejecuciones aleatorias [38]. Las observaciones bloqueantes y mayores que resulten válidas se cuentan aparte.</w:t>
          </w:r>
        </w:p>
      </w:sdtContent>
    </w:sdt>
    <w:p w14:paraId="1D142308" w14:textId="77777777" w:rsidR="009E0E42" w:rsidRDefault="009E0E42" w:rsidP="009E0E42"/>
    <w:p w14:paraId="2890AA45" w14:textId="77777777" w:rsidR="009E0E42" w:rsidRDefault="009C1BCD" w:rsidP="009E0E42">
      <w:r w:rsidRPr="009C1BCD">
        <w:rPr>
          <w:highlight w:val="yellow"/>
        </w:rPr>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rPr>
          <w:highlight w:val="yellow"/>
        </w:rP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r>
            <w:t xml:space="preserve">La cuenta de desarrollo se configura por Proyecto con un usuario de GitHub y un token de acceso de grano fino, limitado a los repositorios del Proyecto y a los permisos de contenido y de Pull Requests (ADR-0032). Loom clona cada repositorio una sola vez y, para cada rama de trabajo, crea un </w:t>
          </w:r>
          <w:r>
            <w:rPr>
              <w:i/>
            </w:rPr>
            <w:t xml:space="preserve">worktree</w:t>
          </w:r>
          <w:r>
            <w:t xml:space="preserve"> propio desde la rama base del remoto, lo que permite trabajar en varias ramas a la vez sin tocar la rama base del clon (ADR-0043). El token llega a git por variables de entorno, sin aparecer en la URL ni en la línea de comandos. El token de la cuenta de desarrollo y el de Jira se guardan en la base de datos y la API nunca los vuelve a exponer, ni en el detalle ni en las listas; guardarlos en un gestor de secretos es una deuda documentada del diseño (ADR-0033 y ADR-0043).</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El repositorio de control es un repositorio git local, uno por Proyecto y sin remoto (ADR-0035). Cada vez que una </w:t>
          </w:r>
          <w:r>
            <w:rPr>
              <w:i/>
            </w:rPr>
            <w:t xml:space="preserve">skill</w:t>
          </w:r>
          <w:r>
            <w:t xml:space="preserve"> crea o cambia un artefacto, Loom hace un commit con un mensaje que dice qué pasó (por ejemplo, </w:t>
          </w:r>
          <w:r>
            <w:rPr>
              <w:rFonts w:ascii="Consolas" w:hAnsi="Consolas" w:cs="Consolas"/>
            </w:rPr>
            <w:t xml:space="preserve">HU-003/PT-01: en revisión, PR abierto</w:t>
          </w:r>
          <w:r>
            <w:t xml:space="preserve"> o </w:t>
          </w:r>
          <w:r>
            <w:rPr>
              <w:rFonts w:ascii="Consolas" w:hAnsi="Consolas" w:cs="Consolas"/>
            </w:rPr>
            <w:t xml:space="preserve">HU-003/PT-01: revisión 1 — aprobado</w:t>
          </w:r>
          <w:r>
            <w:t xml:space="preserve">). La bitácora que muestra la plataforma es ese mismo historial, leído en cada consulta (ADR-0037), y gracias a él se puede recuperar cualquier artefacto tal como estaba en un momento dado. El experimento C lo aprovechó para reconstruir cada paquete como lo vio su primera revisión (apartado 5.2.14).</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w:t>
          </w:r>
          <w:r>
            <w:rPr>
              <w:i/>
              <w:color w:val="000000"/>
              <w:sz w:val="24"/>
            </w:rPr>
            <w:t xml:space="preserve">skills</w:t>
          </w:r>
          <w:r>
            <w:rPr>
              <w:color w:val="000000"/>
              <w:sz w:val="24"/>
            </w:rPr>
            <w:t xml:space="preserve"> del pipeline</w:t>
          </w:r>
        </w:p>
        <w:p>
          <w:r>
            <w:t xml:space="preserve">La tabla 4.2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r>
            <w:t xml:space="preserve">La </w:t>
          </w:r>
          <w:r>
            <w:rPr>
              <w:i/>
            </w:rPr>
            <w:t xml:space="preserve">skill</w:t>
          </w:r>
          <w:r>
            <w:t xml:space="preserve"> 1 lee la fuente y hace el trabajo de un analista de requerimientos. Con Jira consulta el sprint por su API REST en el orden del tablero, que se guarda como la prioridad de negocio de cada HU (ADR-0048), y aplana la descripción, que Jira entrega en un formato de documento anidado, a texto plano. El modelo recibe cada elemento con un esquema de salida fijo y lo devuelve interpretado: la narrativa de la HU, los criterios explícitos que ya traía, los criterios que infiere y que un analista daría por incluidos (validaciones, permisos, manejo de errores), los supuestos que no puede resolver y la clasificación como HU o como Actividad (ADR-0033). Los criterios inferidos quedan separados de los explícitos, para que una persona vea qué agregó el modelo. La fuente Markdown funciona igual con archivos que se suben a la plataforma (ADR-0058). Cada HU guarda además una huella SHA-256 de su título y su descripción; una revisión que no usa el modelo compara esa huella con la fuente para saber qué HUs son nuevas o cambiaron, y solo esas se regeneran (ADR-0040).</w:t>
          </w:r>
        </w:p>
        <w:p>
          <w:r>
            <w:t xml:space="preserve">En un Proyecto nuevo, al terminar de leer las HUs, la misma </w:t>
          </w:r>
          <w:r>
            <w:rPr>
              <w:i/>
            </w:rPr>
            <w:t xml:space="preserve">skill</w:t>
          </w:r>
          <w:r>
            <w:t xml:space="preserve"> hace un análisis más, ahora con el papel de arquitecto. Decide si el sistema amerita microservicios (por omisión, un monolito), elige lenguaje, </w:t>
          </w:r>
          <w:r>
            <w:rPr>
              <w:i/>
            </w:rPr>
            <w:t xml:space="preserve">framework</w:t>
          </w:r>
          <w:r>
            <w:t xml:space="preserve"> y herramientas de un catálogo cerrado, la autenticación y la estructura de repositorios, y justifica cada elección con las HUs que la motivan y las alternativas que descartó (ADR-0039). La propuesta precarga la configuración de la fase de Diseño, y la persona la confirma o la cambia.</w:t>
          </w:r>
        </w:p>
        <w:p>
          <w:r>
            <w:t xml:space="preserve">La </w:t>
          </w:r>
          <w:r>
            <w:rPr>
              <w:i/>
            </w:rPr>
            <w:t xml:space="preserve">skill</w:t>
          </w:r>
          <w:r>
            <w:t xml:space="preserve"> 2 deriva los casos de prueba. Cada criterio, explícito o inferido, produce al menos un caso en la forma </w:t>
          </w:r>
          <w:r>
            <w:rPr>
              <w:i/>
            </w:rPr>
            <w:t xml:space="preserve">Given/When/Then</w:t>
          </w:r>
          <w:r>
            <w:t xml:space="preserve">, con el resultado esperado, el rol de la cuenta con la que debe ejecutarse y la referencia al criterio del que deriva. Los casos se piensan como interacciones con la interfaz, porque se van a ejecutar con Playwright contra la aplicación desplegada. Un criterio que depende de un supuesto sin confirmar también genera su caso, con la interpretación de la </w:t>
          </w:r>
          <w:r>
            <w:rPr>
              <w:i/>
            </w:rPr>
            <w:t xml:space="preserve">skill</w:t>
          </w:r>
          <w:r>
            <w:t xml:space="preserve"> 1; el supuesto se resuelve después, en la revisión (ADR-0011).</w:t>
          </w:r>
        </w:p>
        <w:p>
          <w:r>
            <w:t xml:space="preserve">La </w:t>
          </w:r>
          <w:r>
            <w:rPr>
              <w:i/>
            </w:rPr>
            <w:t xml:space="preserve">skill</w:t>
          </w:r>
          <w:r>
            <w:t xml:space="preserve"> 3 existe para los Proyectos que ya tienen código. Antes de diseñar, un agente de navegador ejecuta los casos de prueba de cada HU contra el ambiente desplegado y marca cada caso como cubierto, pendiente o sin evaluar (cuando no hay cuenta para su rol). Lo que no está cubierto, incluido lo que no se pudo evaluar, pasa a la descomposición; una HU con todos sus casos cubiertos no genera paquetes (ADR-0060).</w:t>
          </w:r>
        </w:p>
        <w:p>
          <w:r>
            <w:t xml:space="preserve">La </w:t>
          </w:r>
          <w:r>
            <w:rPr>
              <w:i/>
            </w:rPr>
            <w:t xml:space="preserve">skill</w:t>
          </w:r>
          <w:r>
            <w:t xml:space="preserve"> 4 diseña la arquitectura. En su variante fundacional, la única implementada, escribe un documento Markdown por repositorio con secciones fijas: resumen, backend (capas, módulos, estructura de carpetas, persistencia, seguridad), modelo de datos, frontend, despliegue, decisiones con sus alternativas descartadas, y supuestos y preguntas abiertas (ADR-0044). El stack configurado es una restricción; si no hay stack, la </w:t>
          </w:r>
          <w:r>
            <w:rPr>
              <w:i/>
            </w:rPr>
            <w:t xml:space="preserve">skill</w:t>
          </w:r>
          <w:r>
            <w:t xml:space="preserve"> se detiene. Cada módulo, entidad y pantalla cita las HUs que lo motivan, y la sección de despliegue declara por cada servicio su Dockerfile de producción, su puerto y sus variables de entorno (ADR-0063). La arquitectura queda pendiente hasta que una persona la aprueba; si se regenera, la aprobación se pierde.</w:t>
          </w:r>
        </w:p>
        <w:p>
          <w:r>
            <w:t xml:space="preserve">La </w:t>
          </w:r>
          <w:r>
            <w:rPr>
              <w:i/>
            </w:rPr>
            <w:t xml:space="preserve">skill</w:t>
          </w:r>
          <w:r>
            <w:t xml:space="preserve"> 5 convierte la arquitectura aprobada en paquetes de trabajo, en dos pasos. El primero, de planeación, define el esqueleto (grupo </w:t>
          </w:r>
          <w:r>
            <w:rPr>
              <w:rFonts w:ascii="Consolas" w:hAnsi="Consolas" w:cs="Consolas"/>
            </w:rPr>
            <w:t xml:space="preserve">BASE</w:t>
          </w:r>
          <w:r>
            <w:t xml:space="preserve">, entre tres y seis paquetes) y el orden de las HUs. El primer paquete del esqueleto deja el entorno de desarrollo en contenedores, con su </w:t>
          </w:r>
          <w:r>
            <w:rPr>
              <w:rFonts w:ascii="Consolas" w:hAnsi="Consolas" w:cs="Consolas"/>
            </w:rPr>
            <w:t xml:space="preserve">docker-compose.yml</w:t>
          </w:r>
          <w:r>
            <w:t xml:space="preserve"> y un README que explica cómo levantarlo y probarlo (ADR-0050); el último deja la aplicación desplegable, y ninguna HU arranca hasta que esté fusionado (ADR-0063). El orden de las HUs respeta la prioridad de la fuente salvo que una dependencia real obligue a adelantar otra, y si el modelo propone dependencias circulares se rompen solo las que forman el ciclo (ADR-0045 y ADR-0048). El segundo paso parte cada HU en uno a cuatro paquetes de una sola capa, con sus entregables, los casos de prueba que cubre y sus dependencias; el backend va antes que el frontend que lo consume, y cada paquete toca un solo repositorio. Todo caso de prueba de la HU tiene que quedar en algún paquete. Una respuesta sin paquetes para una HU con casos pendientes no se acepta: se repite hasta tres veces y, si sigue vacía, la descomposición se detiene con un error que nombra la HU (ADR-0062).</w:t>
          </w:r>
        </w:p>
        <w:p>
          <w:r>
            <w:t xml:space="preserve">La </w:t>
          </w:r>
          <w:r>
            <w:rPr>
              <w:i/>
            </w:rPr>
            <w:t xml:space="preserve">skill</w:t>
          </w:r>
          <w:r>
            <w:t xml:space="preserve"> 9 genera correcciones a partir de las pruebas de humo. Toma las HUs con casos fallidos y todos sus paquetes fusionados; los casos bloqueados no cuentan, porque no son un defecto del código. Con la especificación, la arquitectura, los casos fallidos y los archivos que tocó cada paquete, el modelo agrupa los fallos por causa probable y devuelve un paquete de corrección por causa, cada uno con una prueba que falle sin la corrección. Cada caso fallido queda en exactamente una corrección. El paquete de origen se atribuye solo si el modelo devuelve uno que existe, y nunca se inventa. Los casos que pasaban en la corrida anterior se marcan como regresión. Tras tres rondas de corrección sin éxito, la </w:t>
          </w:r>
          <w:r>
            <w:rPr>
              <w:i/>
            </w:rPr>
            <w:t xml:space="preserve">skill</w:t>
          </w:r>
          <w:r>
            <w:t xml:space="preserve"> se niega a seguir y pide que una persona revise (ADR-0061).</w:t>
          </w:r>
        </w:p>
        <w:p>
          <w:r>
            <w:t xml:space="preserve">Las </w:t>
          </w:r>
          <w:r>
            <w:rPr>
              <w:i/>
            </w:rPr>
            <w:t xml:space="preserve">skills</w:t>
          </w:r>
          <w:r>
            <w:t xml:space="preserve"> 6, 7, 8 y 10 se describen en los apartados siguientes, junto con las compuertas y las reglas que las rodean.</w:t>
          </w:r>
        </w:p>
        <w:p>
          <w:pPr>
            <w:pStyle w:val="Heading3"/>
            <w:ind w:firstLine="0"/>
            <w:jc w:val="left"/>
            <w:rPr>
              <w:color w:val="000000"/>
              <w:sz w:val="24"/>
            </w:rPr>
          </w:pPr>
          <w:r>
            <w:rPr>
              <w:color w:val="000000"/>
              <w:sz w:val="24"/>
            </w:rPr>
            <w:t xml:space="preserve">4.2.5 Generación de código y compuertas de ejecución</w:t>
          </w:r>
        </w:p>
        <w:p>
          <w:r>
            <w:t xml:space="preserve">Un paquete es elegible cuando está pendiente, la arquitectura está aprobada y todas sus dependencias están fusionadas, tanto las de paquete como las de las HUs de las que depende (ADR-0046). La generación trabaja sobre un </w:t>
          </w:r>
          <w:r>
            <w:rPr>
              <w:i/>
            </w:rPr>
            <w:t xml:space="preserve">worktree</w:t>
          </w:r>
          <w:r>
            <w:t xml:space="preserve"> de la rama del paquete, creado desde la rama base actualizada. Con la API, el agente tiene cuatro herramientas: listar un directorio, leer un archivo, escribir un archivo y terminar. No ejecuta comandos ni tiene red, las rutas quedan confinadas al </w:t>
          </w:r>
          <w:r>
            <w:rPr>
              <w:i/>
            </w:rPr>
            <w:t xml:space="preserve">worktree</w:t>
          </w:r>
          <w:r>
            <w:t xml:space="preserve"> y hay límites de 40 turnos, 60 archivos, 200 KB por archivo y 1.5 MB por paquete. Con el CLI de Claude Code, el agente usa el ciclo de herramientas del propio CLI con permisos acotados por ruta: puede leer y editar dentro del repositorio, sin terminal, sin red y sin subagentes (ADR-0053). En los dos casos recibe el paquete, la arquitectura del repositorio, la especificación y los casos de prueba de la HU, los paquetes de los que depende y el árbol de archivos existente. Al terminar, Loom hace un commit con la identidad de la cuenta de desarrollo, sube la rama y abre el Pull Request con los entregables, los casos cubiertos, los supuestos heredados de la HU y un resumen del agente.</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(ADR-0064). Cada ronda de revisión y de corrección se guarda con su resultado y con el </w:t>
          </w:r>
          <w:r>
            <w:rPr>
              <w:i/>
            </w:rPr>
            <w:t xml:space="preserve">diff</w:t>
          </w:r>
          <w:r>
            <w:t xml:space="preserve"> que se revisó (ADR-0068).</w:t>
          </w:r>
        </w:p>
        <w:p>
          <w:r>
            <w:t xml:space="preserve">Las observaciones pueden valorarse de dos maneras. Una persona las califica con la rúbrica de la tesis (relevante y correcta, relevante pero mal sustentada, ruido o falsa). Además, bajo demanda, un modelo puede dar una segunda opinión: recibe las observaciones numeradas y el </w:t>
          </w:r>
          <w:r>
            <w:rPr>
              <w:i/>
            </w:rPr>
            <w:t xml:space="preserve">diff</w:t>
          </w:r>
          <w:r>
            <w:t xml:space="preserve"> tal como lo vio la revisión, y dictamina por cada una si es correcta, parcial, incorrecta o no verificable, si su severidad está bien puesta y qué recomienda hacer, citando el fragmento del </w:t>
          </w:r>
          <w:r>
            <w:rPr>
              <w:i/>
            </w:rPr>
            <w:t xml:space="preserve">diff</w:t>
          </w:r>
          <w:r>
            <w:t xml:space="preserve"> que lo sostiene (ADR-0069). Esa opinión puede venir de un proveedor distinto del que revisó. Sirve para orientar, pero la calificación que vale para la tesis es la de la persona; el apartado 2.9 explica por qué un modelo no debe ser el juez de otro.</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w:t>
          </w:r>
          <w:r>
            <w:rPr>
              <w:i/>
            </w:rPr>
            <w:t xml:space="preserve">script</w:t>
          </w:r>
          <w:r>
            <w:t xml:space="preserve"> ubica cada servicio aunque el monorepo lo ponga en </w:t>
          </w:r>
          <w:r>
            <w:rPr>
              <w:rFonts w:ascii="Consolas" w:hAnsi="Consolas" w:cs="Consolas"/>
            </w:rPr>
            <w:t xml:space="preserve">apps/</w:t>
          </w:r>
          <w:r>
            <w:t xml:space="preserve">, </w:t>
          </w:r>
          <w:r>
            <w:rPr>
              <w:rFonts w:ascii="Consolas" w:hAnsi="Consolas" w:cs="Consolas"/>
            </w:rPr>
            <w:t xml:space="preserve">packages/</w:t>
          </w:r>
          <w:r>
            <w:t xml:space="preserve"> o </w:t>
          </w:r>
          <w:r>
            <w:rPr>
              <w:rFonts w:ascii="Consolas" w:hAnsi="Consolas" w:cs="Consolas"/>
            </w:rPr>
            <w:t xml:space="preserve">services/</w:t>
          </w:r>
          <w:r>
            <w:t xml:space="preserve">, y lo construye desde la raíz del repositorio cuando su Dockerfile copia archivos de otros </w:t>
          </w:r>
          <w:r>
            <w:rPr>
              <w:i/>
            </w:rPr>
            <w:t xml:space="preserve">workspaces</w:t>
          </w:r>
          <w:r>
            <w:t xml:space="preserve"> (ADR-0086). A un backend que no es Java le entrega, además de las variables sueltas de la base de datos, la cadena de conexión </w:t>
          </w:r>
          <w:r>
            <w:rPr>
              <w:rFonts w:ascii="Consolas" w:hAnsi="Consolas" w:cs="Consolas"/>
            </w:rPr>
            <w:t xml:space="preserve">DATABASE_URL</w:t>
          </w:r>
          <w:r>
            <w:t xml:space="preserve"> como secreto; y a un frontend que fija la dirección de la API al compilar le pasa la URL del backend como argumento de construcción (ADR-0087). Estas tres reglas salieron del segundo piloto, cuyo stack Node y React no cabía en los supuestos del primero.</w:t>
          </w:r>
        </w:p>
        <w:p>
          <w:r>
            <w:t xml:space="preserve">El despliegue automático usa GitHub Actions con federación de identidad: el propio </w:t>
          </w:r>
          <w:r>
            <w:rPr>
              <w:i/>
            </w:rPr>
            <w:t xml:space="preserve">script</w:t>
          </w:r>
          <w:r>
            <w:t xml:space="preserve"> crea el pool y el proveedor de identidad, compartidos por todos los Proyectos del mismo proyecto de la nube y restringidos a sus repositorios (ADR-0085),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Como la </w:t>
          </w:r>
          <w:r>
            <w:rPr>
              <w:i/>
            </w:rPr>
            <w:t xml:space="preserve">skill</w:t>
          </w:r>
          <w:r>
            <w:t xml:space="preserve"> de casos de prueba escribe el rol en texto libre, a veces con varios actores («invitado (sin sesión); admin para verificar»), la cuenta se elige por el actor principal y un caso de invitado no la necesita (ADR-0088).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r>
            <w:t xml:space="preserve">Las versiones se identifican por el elemento de la fuente (la clave del </w:t>
          </w:r>
          <w:r>
            <w:rPr>
              <w:i/>
            </w:rPr>
            <w:t xml:space="preserve">issue</w:t>
          </w:r>
          <w:r>
            <w:t xml:space="preserve"> en Jira) y no por el identificador interno de la HU, de modo que la numeración continúa aunque el Proyecto se reinicie; guardar sin cambios no crea una versión (ADR-0065). Cada paquete guarda la versión de los casos de prueba con la que se planeó, y cada corrida de pruebas de humo, la versión con la que se hizo. Con eso, la plataforma calcula sin guardar estado propio qué está desactualizado: casos de una especificación que cambió, código planeado con casos anteriores, pruebas de humo hechas con casos anteriores. Como los identificadores de los casos se reasignan al regenerarlos, la diferencia entre versiones se calcula por criterio de aceptación de origen (casos agregados, eliminados o distintos), y una prueba de humo de regresión con un guion viejo se niega en lugar de omitir los casos nuevos (ADR-0066).</w:t>
          </w:r>
        </w:p>
        <w:p>
          <w:r>
            <w:t xml:space="preserve">El paquete de cambio es un paquete normal, con su propia etiqueta. Un modelo recibe la especificación vigente, la arquitectura, los paquetes existentes con los archivos que tocó cada uno, los casos nuevos o modificados (con su versión anterior) y los criterios eliminados, y devuelve los paquetes que ajustan el código, siempre con pruebas nuevas o adaptadas. Un criterio eliminado también produce trabajo: el paquete indica qué código y qué pruebas quitar (ADR-0067). La arquitectura guarda la versión de cada especificación con la que se generó y avisa cuando una de ellas cambia.</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p>
          <w:pPr>
            <w:pStyle w:val="Heading3"/>
            <w:ind w:firstLine="0"/>
            <w:jc w:val="left"/>
            <w:rPr>
              <w:color w:val="000000"/>
              <w:sz w:val="24"/>
            </w:rPr>
          </w:pPr>
          <w:r>
            <w:rPr>
              <w:color w:val="000000"/>
              <w:sz w:val="24"/>
            </w:rPr>
            <w:t xml:space="preserve">4.2.14 Interfaz de la plataforma</w:t>
          </w:r>
        </w:p>
        <w:p>
          <w:r>
            <w:t xml:space="preserve">La interfaz está pensada como una consola de desarrollo para un monitor de escritorio y sesiones largas, en las que el contenido principal son registros y progreso en vivo. Usa un solo tema oscuro, tipografía monoespaciada para identificadores, rutas y cifras, y tablas densas; cada estado (fase, resultado de una prueba, situación de un paquete) se muestra con icono, texto y color, de modo que no depende solo del color (ADR-0075).</w:t>
          </w:r>
        </w:p>
        <w:p>
          <w:r>
            <w:t xml:space="preserve">La pantalla de un Proyecto tiene una pestaña por fase. Cada pestaña reúne el resumen de la fase, la hora de su última ejecución, el botón para ejecutarla y su configuración, porque cada fase puede correr por separado (ADR-0037). La plataforma muestra además el siguiente paso recomendado para el Proyecto: diagnosticar el avance existente, generar paquetes de cambio cuando una HU quedó desactualizada, corregir los fallos de las pruebas de humo o volver a probar una HU corregida, según el estado del Proyecto (ADR-0060, ADR-0061, ADR-0066 y ADR-0067).</w:t>
          </w:r>
        </w:p>
        <w:p>
          <w:r>
            <w:t xml:space="preserve">El panel de actividad muestra en vivo el registro del proceso que está corriendo. Consulta al servidor cada cuatro segundos, así que también muestra un proceso lanzado desde otra sesión o desde un guion, y mientras algo corre deshabilita los botones de ejecución (ADR-0080). El detalle de una HU agrupa su especificación, sus casos de prueba, sus paquetes, el historial de versiones, todas sus corridas de pruebas de humo con el resultado y el motivo de cada caso, y sus incidencias, que son los paquetes de corrección de la propia HU (ADR-0065 y ADR-0073). El Anexo C recorre estas pantallas en el orden en que se usaron en la corrida E1c.</w:t>
          </w:r>
        </w:p>
        <w:p>
          <w:pPr>
            <w:pStyle w:val="Heading3"/>
            <w:ind w:firstLine="0"/>
            <w:jc w:val="left"/>
            <w:rPr>
              <w:color w:val="000000"/>
              <w:sz w:val="24"/>
            </w:rPr>
          </w:pPr>
          <w:r>
            <w:rPr>
              <w:color w:val="000000"/>
              <w:sz w:val="24"/>
            </w:rPr>
            <w:t xml:space="preserve">4.2.15 Estado de implementación</w:t>
          </w:r>
        </w:p>
        <w:p>
          <w:r>
            <w:t xml:space="preserve">La tabla 4.3 separa lo que está implementado y se ejercitó en las corridas del capítulo 5, lo que está implementado y no se ejercitó, y lo que solo existe como diseño. Un resultado del capítulo 5 solo se atribuye a una función implementada y ejercitada.</w:t>
          </w:r>
        </w:p>
        <w:p>
          <w:pPr>
            <w:pStyle w:val="Caption"/>
            <w:keepNext/>
            <w:ind w:firstLine="0"/>
            <w:jc w:val="left"/>
            <w:rPr>
              <w:b w:val="0"/>
            </w:rPr>
          </w:pPr>
          <w:r>
            <w:t>Tabla 4.</w:t>
          </w:r>
          <w:r>
            <w:fldChar w:fldCharType="begin"/>
          </w:r>
          <w:r>
            <w:instrText xml:space="preserve"> SEQ Tabla \s 1 </w:instrText>
          </w:r>
          <w:r>
            <w:fldChar w:fldCharType="separate"/>
          </w:r>
          <w:r>
            <w:rPr>
              <w:noProof/>
            </w:rPr>
            <w:t>3</w:t>
          </w:r>
          <w:r>
            <w:fldChar w:fldCharType="end"/>
          </w:r>
          <w:r>
            <w:t xml:space="preserve">. Estado de implementación de las funciones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Función</w:t>
                </w:r>
              </w:p>
            </w:tc>
            <w:tc>
              <w:tcPr>
                <w:tcW w:w="1667" w:type="pct"/>
                <w:shd w:val="clear" w:color="auto" w:fill="E5E5ED"/>
              </w:tcPr>
              <w:p>
                <w:pPr>
                  <w:spacing w:after="0" w:line="240" w:lineRule="auto"/>
                  <w:ind w:firstLine="0"/>
                  <w:jc w:val="left"/>
                  <w:rPr>
                    <w:b/>
                    <w:sz w:val="17"/>
                  </w:rPr>
                </w:pPr>
                <w:r>
                  <w:rPr>
                    <w:b/>
                    <w:sz w:val="17"/>
                  </w:rPr>
                  <w:t xml:space="preserve">Estado</w:t>
                </w:r>
              </w:p>
            </w:tc>
            <w:tc>
              <w:tcPr>
                <w:tcW w:w="1667" w:type="pct"/>
                <w:shd w:val="clear" w:color="auto" w:fill="E5E5ED"/>
              </w:tcPr>
              <w:p>
                <w:pPr>
                  <w:spacing w:after="0" w:line="240" w:lineRule="auto"/>
                  <w:ind w:firstLine="0"/>
                  <w:jc w:val="left"/>
                  <w:rPr>
                    <w:b/>
                    <w:sz w:val="17"/>
                  </w:rPr>
                </w:pPr>
                <w:r>
                  <w:rPr>
                    <w:b/>
                    <w:sz w:val="17"/>
                  </w:rPr>
                  <w:t xml:space="preserve">Observación</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lectura desde Jira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E1c y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Markdown</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No se usó en las corridas del capítulo 5</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 fuente GitHub</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ADR-0010</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2, casos de prueba</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44 casos en E1c y 101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3, diagnóstico de avance</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Los dos Proyectos eran nuevos</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arquitectura fundacional</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Un documento por Proyecto (monorepo)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4, modo extensión</w:t>
                </w:r>
              </w:p>
            </w:tc>
            <w:tc>
              <w:tcPr>
                <w:tcW w:w="1667" w:type="pct"/>
              </w:tcPr>
              <w:p>
                <w:pPr>
                  <w:spacing w:after="0" w:line="240" w:lineRule="auto"/>
                  <w:ind w:firstLine="0"/>
                  <w:jc w:val="left"/>
                  <w:rPr>
                    <w:sz w:val="17"/>
                  </w:rPr>
                </w:pPr>
                <w:r>
                  <w:rPr>
                    <w:sz w:val="17"/>
                  </w:rPr>
                  <w:t xml:space="preserve">Pendiente</w:t>
                </w:r>
              </w:p>
            </w:tc>
            <w:tc>
              <w:tcPr>
                <w:tcW w:w="1667" w:type="pct"/>
              </w:tcPr>
              <w:p>
                <w:pPr>
                  <w:spacing w:after="0" w:line="240" w:lineRule="auto"/>
                  <w:ind w:firstLine="0"/>
                  <w:jc w:val="left"/>
                  <w:rPr>
                    <w:sz w:val="17"/>
                  </w:rPr>
                </w:pPr>
                <w:r>
                  <w:rPr>
                    <w:sz w:val="17"/>
                  </w:rPr>
                  <w:t xml:space="preserve">Depende de la </w:t>
                </w:r>
                <w:r>
                  <w:rPr>
                    <w:i/>
                    <w:sz w:val="17"/>
                  </w:rPr>
                  <w:t xml:space="preserve">skill</w:t>
                </w:r>
                <w:r>
                  <w:rPr>
                    <w:sz w:val="17"/>
                  </w:rPr>
                  <w:t xml:space="preserve"> 3</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5, descomposición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12 paquetes en E1c y 17 en E3c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6, generación de código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 el CLI de Claude Code</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7, revisión</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También en el experimento C</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8, pruebas de humo</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Contra el ambiente desplegado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9, correcciones desde las pruebas de humo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corridas no generaron correcciones a partir de sus pruebas de humo</w:t>
                </w:r>
              </w:p>
            </w:tc>
          </w:tr>
          <w:tr>
            <w:trPr>
              <w:cantSplit/>
            </w:trPr>
            <w:tc>
              <w:tcPr>
                <w:tcW w:w="1667" w:type="pct"/>
              </w:tcPr>
              <w:p>
                <w:pPr>
                  <w:spacing w:after="0" w:line="240" w:lineRule="auto"/>
                  <w:ind w:firstLine="0"/>
                  <w:jc w:val="left"/>
                  <w:rPr>
                    <w:sz w:val="17"/>
                  </w:rPr>
                </w:pPr>
                <w:r>
                  <w:rPr>
                    <w:i/>
                    <w:sz w:val="17"/>
                  </w:rPr>
                  <w:t xml:space="preserve">Skill</w:t>
                </w:r>
                <w:r>
                  <w:rPr>
                    <w:sz w:val="17"/>
                  </w:rPr>
                  <w:t xml:space="preserve"> 10, release</w:t>
                </w:r>
              </w:p>
            </w:tc>
            <w:tc>
              <w:tcPr>
                <w:tcW w:w="1667" w:type="pct"/>
              </w:tcPr>
              <w:p>
                <w:pPr>
                  <w:spacing w:after="0" w:line="240" w:lineRule="auto"/>
                  <w:ind w:firstLine="0"/>
                  <w:jc w:val="left"/>
                  <w:rPr>
                    <w:sz w:val="17"/>
                  </w:rPr>
                </w:pPr>
                <w:r>
                  <w:rPr>
                    <w:sz w:val="17"/>
                  </w:rPr>
                  <w:t xml:space="preserve">Implementada y ejercitada</w:t>
                </w:r>
              </w:p>
            </w:tc>
            <w:tc>
              <w:tcPr>
                <w:tcW w:w="1667" w:type="pct"/>
              </w:tcPr>
              <w:p>
                <w:pPr>
                  <w:spacing w:after="0" w:line="240" w:lineRule="auto"/>
                  <w:ind w:firstLine="0"/>
                  <w:jc w:val="left"/>
                  <w:rPr>
                    <w:sz w:val="17"/>
                  </w:rPr>
                </w:pPr>
                <w:r>
                  <w:rPr>
                    <w:sz w:val="17"/>
                  </w:rPr>
                  <w:t xml:space="preserve">Google Cloud con GitHub Actions</w:t>
                </w:r>
              </w:p>
            </w:tc>
          </w:tr>
          <w:tr>
            <w:trPr>
              <w:cantSplit/>
            </w:trPr>
            <w:tc>
              <w:tcPr>
                <w:tcW w:w="1667" w:type="pct"/>
              </w:tcPr>
              <w:p>
                <w:pPr>
                  <w:spacing w:after="0" w:line="240" w:lineRule="auto"/>
                  <w:ind w:firstLine="0"/>
                  <w:jc w:val="left"/>
                  <w:rPr>
                    <w:sz w:val="17"/>
                  </w:rPr>
                </w:pPr>
                <w:r>
                  <w:rPr>
                    <w:sz w:val="17"/>
                  </w:rPr>
                  <w:t xml:space="preserve">Versiones de las HUs y paquetes de cambio</w:t>
                </w:r>
              </w:p>
            </w:tc>
            <w:tc>
              <w:tcPr>
                <w:tcW w:w="1667" w:type="pct"/>
              </w:tcPr>
              <w:p>
                <w:pPr>
                  <w:spacing w:after="0" w:line="240" w:lineRule="auto"/>
                  <w:ind w:firstLine="0"/>
                  <w:jc w:val="left"/>
                  <w:rPr>
                    <w:sz w:val="17"/>
                  </w:rPr>
                </w:pPr>
                <w:r>
                  <w:rPr>
                    <w:sz w:val="17"/>
                  </w:rPr>
                  <w:t xml:space="preserve">Implementada, no ejercitada</w:t>
                </w:r>
              </w:p>
            </w:tc>
            <w:tc>
              <w:tcPr>
                <w:tcW w:w="1667" w:type="pct"/>
              </w:tcPr>
              <w:p>
                <w:pPr>
                  <w:spacing w:after="0" w:line="240" w:lineRule="auto"/>
                  <w:ind w:firstLine="0"/>
                  <w:jc w:val="left"/>
                  <w:rPr>
                    <w:sz w:val="17"/>
                  </w:rPr>
                </w:pPr>
                <w:r>
                  <w:rPr>
                    <w:sz w:val="17"/>
                  </w:rPr>
                  <w:t xml:space="preserve">Las HUs no cambiaron durante las corridas</w:t>
                </w:r>
              </w:p>
            </w:tc>
          </w:tr>
          <w:tr>
            <w:trPr>
              <w:cantSplit/>
            </w:trPr>
            <w:tc>
              <w:tcPr>
                <w:tcW w:w="1667" w:type="pct"/>
              </w:tcPr>
              <w:p>
                <w:pPr>
                  <w:spacing w:after="0" w:line="240" w:lineRule="auto"/>
                  <w:ind w:firstLine="0"/>
                  <w:jc w:val="left"/>
                  <w:rPr>
                    <w:sz w:val="17"/>
                  </w:rPr>
                </w:pPr>
                <w:r>
                  <w:rPr>
                    <w:sz w:val="17"/>
                  </w:rPr>
                  <w:t xml:space="preserve">Indexación de varios repositorios</w:t>
                </w:r>
              </w:p>
            </w:tc>
            <w:tc>
              <w:tcPr>
                <w:tcW w:w="1667" w:type="pct"/>
              </w:tcPr>
              <w:p>
                <w:pPr>
                  <w:spacing w:after="0" w:line="240" w:lineRule="auto"/>
                  <w:ind w:firstLine="0"/>
                  <w:jc w:val="left"/>
                  <w:rPr>
                    <w:sz w:val="17"/>
                  </w:rPr>
                </w:pPr>
                <w:r>
                  <w:rPr>
                    <w:sz w:val="17"/>
                  </w:rPr>
                  <w:t xml:space="preserve">Solo diseño</w:t>
                </w:r>
              </w:p>
            </w:tc>
            <w:tc>
              <w:tcPr>
                <w:tcW w:w="1667" w:type="pct"/>
              </w:tcPr>
              <w:p>
                <w:pPr>
                  <w:spacing w:after="0" w:line="240" w:lineRule="auto"/>
                  <w:ind w:firstLine="0"/>
                  <w:jc w:val="left"/>
                  <w:rPr>
                    <w:sz w:val="17"/>
                  </w:rPr>
                </w:pPr>
                <w:r>
                  <w:rPr>
                    <w:sz w:val="17"/>
                  </w:rPr>
                  <w:t xml:space="preserve">Objetivo específico 9</w:t>
                </w:r>
              </w:p>
            </w:tc>
          </w:tr>
        </w:tbl>
        <w:p>
          <w:pPr>
            <w:spacing w:after="0" w:line="240" w:lineRule="auto"/>
            <w:ind w:firstLine="0"/>
          </w:pP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pPr>
            <w:pStyle w:val="Heading3"/>
            <w:ind w:firstLine="0"/>
            <w:jc w:val="left"/>
            <w:rPr>
              <w:color w:val="000000"/>
              <w:sz w:val="24"/>
            </w:rPr>
          </w:pPr>
          <w:r>
            <w:rPr>
              <w:color w:val="000000"/>
              <w:sz w:val="24"/>
            </w:rPr>
            <w:t xml:space="preserve">5.1.1 Alcance de las corridas</w:t>
          </w:r>
        </w:p>
        <w:p>
          <w:r>
            <w:t xml:space="preserve">Este capítulo reporta dos corridas completas, una por cada proyecto del capítulo 4, hechas con «Claude (cuenta normal)» como proveedor de IA, que usa el CLI de Claude Code con una suscripción. La corrida E1c se hizo el 21 de septiembre de 2026 sobre el Proyecto de inventarios (P1) y la corrida E3c, el 26 y 27 de septiembre sobre el Proyecto de agenda de un taller mecánico (P2). Las dos partieron de un Proyecto sin datos previos (repositorio de GitHub reducido a su README inicial y colecciones de Mongo vacías), procesaron las tres primeras HUs del sprint de su backlog en Jira y recorrieron las cuatro fases.</w:t>
          </w:r>
        </w:p>
        <w:p>
          <w:r>
            <w:t xml:space="preserve">Los dos proyectos se eligieron de dominios distintos y Loom generó para cada uno un stack distinto: Java con Spring Boot y Angular en P1, y Node con NestJS y Prisma y React con Vite en P2. Esa diferencia es la que permite observar la generalización del flujo (PI3), aunque con las reservas del apartado 5.1.4.</w:t>
          </w:r>
        </w:p>
        <w:p>
          <w:r>
            <w:t xml:space="preserve">Del diseño experimental del capítulo 4 no se ejecutó ningún escenario con las APIs de los proveedores (Tabla 5.1): al momento de las corridas, la API de Anthropic no tenía saldo y la de Gemini tenía la facturación bloqueada. E1c y E3c son pilotos completos con el CLI; no comparan proveedores ni condiciones de contexto. Para H1 se hizo después un experimento de control sobre los Pull Requests de las dos corridas (apartado 5.2.14), cuya calificación ciega está pendiente; H3 sigue sin evaluarse y H2 solo se evalúa en parte (apartado 5.2.15).</w:t>
          </w:r>
        </w:p>
        <w:p>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r>
            <w:t xml:space="preserve">. Escenarios del diseño experimental y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Escenario</w:t>
                </w:r>
              </w:p>
            </w:tc>
            <w:tc>
              <w:tcPr>
                <w:tcW w:w="1250" w:type="pct"/>
                <w:shd w:val="clear" w:color="auto" w:fill="E5E5ED"/>
              </w:tcPr>
              <w:p>
                <w:pPr>
                  <w:spacing w:after="0" w:line="240" w:lineRule="auto"/>
                  <w:ind w:firstLine="0"/>
                  <w:jc w:val="left"/>
                  <w:rPr>
                    <w:b/>
                    <w:sz w:val="17"/>
                  </w:rPr>
                </w:pPr>
                <w:r>
                  <w:rPr>
                    <w:b/>
                    <w:sz w:val="17"/>
                  </w:rPr>
                  <w:t xml:space="preserve">Proyecto</w:t>
                </w:r>
              </w:p>
            </w:tc>
            <w:tc>
              <w:tcPr>
                <w:tcW w:w="1250" w:type="pct"/>
                <w:shd w:val="clear" w:color="auto" w:fill="E5E5ED"/>
              </w:tcPr>
              <w:p>
                <w:pPr>
                  <w:spacing w:after="0" w:line="240" w:lineRule="auto"/>
                  <w:ind w:firstLine="0"/>
                  <w:jc w:val="left"/>
                  <w:rPr>
                    <w:b/>
                    <w:sz w:val="17"/>
                  </w:rPr>
                </w:pPr>
                <w:r>
                  <w:rPr>
                    <w:b/>
                    <w:sz w:val="17"/>
                  </w:rPr>
                  <w:t xml:space="preserve">Proveedor de IA</w:t>
                </w:r>
              </w:p>
            </w:tc>
            <w:tc>
              <w:tcPr>
                <w:tcW w:w="1250" w:type="pct"/>
                <w:shd w:val="clear" w:color="auto" w:fill="E5E5ED"/>
              </w:tcPr>
              <w:p>
                <w:pPr>
                  <w:spacing w:after="0" w:line="240" w:lineRule="auto"/>
                  <w:ind w:firstLine="0"/>
                  <w:jc w:val="left"/>
                  <w:rPr>
                    <w:b/>
                    <w:sz w:val="17"/>
                  </w:rPr>
                </w:pPr>
                <w:r>
                  <w:rPr>
                    <w:b/>
                    <w:sz w:val="17"/>
                  </w:rPr>
                  <w:t xml:space="preserve">Estado</w:t>
                </w:r>
              </w:p>
            </w:tc>
          </w:tr>
          <w:tr>
            <w:trPr>
              <w:cantSplit/>
            </w:trPr>
            <w:tc>
              <w:tcPr>
                <w:tcW w:w="1250" w:type="pct"/>
              </w:tcPr>
              <w:p>
                <w:pPr>
                  <w:spacing w:after="0" w:line="240" w:lineRule="auto"/>
                  <w:ind w:firstLine="0"/>
                  <w:jc w:val="left"/>
                  <w:rPr>
                    <w:sz w:val="17"/>
                  </w:rPr>
                </w:pPr>
                <w:r>
                  <w:rPr>
                    <w:sz w:val="17"/>
                  </w:rPr>
                  <w:t xml:space="preserve">E1</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No ejecutado (sin saldo en la API)</w:t>
                </w:r>
              </w:p>
            </w:tc>
          </w:tr>
          <w:tr>
            <w:trPr>
              <w:cantSplit/>
            </w:trPr>
            <w:tc>
              <w:tcPr>
                <w:tcW w:w="1250" w:type="pct"/>
              </w:tcPr>
              <w:p>
                <w:pPr>
                  <w:spacing w:after="0" w:line="240" w:lineRule="auto"/>
                  <w:ind w:firstLine="0"/>
                  <w:jc w:val="left"/>
                  <w:rPr>
                    <w:sz w:val="17"/>
                  </w:rPr>
                </w:pPr>
                <w:r>
                  <w:rPr>
                    <w:sz w:val="17"/>
                  </w:rPr>
                  <w:t xml:space="preserve">E1c</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Claude por CLI, claude-sonnet-5</w:t>
                </w:r>
              </w:p>
            </w:tc>
            <w:tc>
              <w:tcPr>
                <w:tcW w:w="1250" w:type="pct"/>
              </w:tcPr>
              <w:p>
                <w:pPr>
                  <w:spacing w:after="0" w:line="240" w:lineRule="auto"/>
                  <w:ind w:firstLine="0"/>
                  <w:jc w:val="left"/>
                  <w:rPr>
                    <w:sz w:val="17"/>
                  </w:rPr>
                </w:pPr>
                <w:r>
                  <w:rPr>
                    <w:sz w:val="17"/>
                  </w:rPr>
                  <w:t xml:space="preserve">Ejecutado el 2026-09-21</w:t>
                </w:r>
              </w:p>
            </w:tc>
          </w:tr>
          <w:tr>
            <w:trPr>
              <w:cantSplit/>
            </w:trPr>
            <w:tc>
              <w:tcPr>
                <w:tcW w:w="1250" w:type="pct"/>
              </w:tcPr>
              <w:p>
                <w:pPr>
                  <w:spacing w:after="0" w:line="240" w:lineRule="auto"/>
                  <w:ind w:firstLine="0"/>
                  <w:jc w:val="left"/>
                  <w:rPr>
                    <w:sz w:val="17"/>
                  </w:rPr>
                </w:pPr>
                <w:r>
                  <w:rPr>
                    <w:sz w:val="17"/>
                  </w:rPr>
                  <w:t xml:space="preserve">E2</w:t>
                </w:r>
              </w:p>
            </w:tc>
            <w:tc>
              <w:tcPr>
                <w:tcW w:w="1250" w:type="pct"/>
              </w:tcPr>
              <w:p>
                <w:pPr>
                  <w:spacing w:after="0" w:line="240" w:lineRule="auto"/>
                  <w:ind w:firstLine="0"/>
                  <w:jc w:val="left"/>
                  <w:rPr>
                    <w:sz w:val="17"/>
                  </w:rPr>
                </w:pPr>
                <w:r>
                  <w:rPr>
                    <w:sz w:val="17"/>
                  </w:rPr>
                  <w:t xml:space="preserve">P1, inventarios</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Corrida parcial previa, no comparable</w:t>
                </w:r>
              </w:p>
            </w:tc>
          </w:tr>
          <w:tr>
            <w:trPr>
              <w:cantSplit/>
            </w:trPr>
            <w:tc>
              <w:tcPr>
                <w:tcW w:w="1250" w:type="pct"/>
              </w:tcPr>
              <w:p>
                <w:pPr>
                  <w:spacing w:after="0" w:line="240" w:lineRule="auto"/>
                  <w:ind w:firstLine="0"/>
                  <w:jc w:val="left"/>
                  <w:rPr>
                    <w:sz w:val="17"/>
                  </w:rPr>
                </w:pPr>
                <w:r>
                  <w:rPr>
                    <w:sz w:val="17"/>
                  </w:rPr>
                  <w:t xml:space="preserve">E3</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API</w:t>
                </w:r>
              </w:p>
            </w:tc>
            <w:tc>
              <w:tcPr>
                <w:tcW w:w="1250" w:type="pct"/>
              </w:tcPr>
              <w:p>
                <w:pPr>
                  <w:spacing w:after="0" w:line="240" w:lineRule="auto"/>
                  <w:ind w:firstLine="0"/>
                  <w:jc w:val="left"/>
                  <w:rPr>
                    <w:sz w:val="17"/>
                  </w:rPr>
                </w:pPr>
                <w:r>
                  <w:rPr>
                    <w:sz w:val="17"/>
                  </w:rPr>
                  <w:t xml:space="preserve">Configurado, no ejecutado (sin saldo en la API)</w:t>
                </w:r>
              </w:p>
            </w:tc>
          </w:tr>
          <w:tr>
            <w:trPr>
              <w:cantSplit/>
            </w:trPr>
            <w:tc>
              <w:tcPr>
                <w:tcW w:w="1250" w:type="pct"/>
              </w:tcPr>
              <w:p>
                <w:pPr>
                  <w:spacing w:after="0" w:line="240" w:lineRule="auto"/>
                  <w:ind w:firstLine="0"/>
                  <w:jc w:val="left"/>
                  <w:rPr>
                    <w:sz w:val="17"/>
                  </w:rPr>
                </w:pPr>
                <w:r>
                  <w:rPr>
                    <w:sz w:val="17"/>
                  </w:rPr>
                  <w:t xml:space="preserve">E3c</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Claude por CLI, claude-opus-5-5</w:t>
                </w:r>
              </w:p>
            </w:tc>
            <w:tc>
              <w:tcPr>
                <w:tcW w:w="1250" w:type="pct"/>
              </w:tcPr>
              <w:p>
                <w:pPr>
                  <w:spacing w:after="0" w:line="240" w:lineRule="auto"/>
                  <w:ind w:firstLine="0"/>
                  <w:jc w:val="left"/>
                  <w:rPr>
                    <w:sz w:val="17"/>
                  </w:rPr>
                </w:pPr>
                <w:r>
                  <w:rPr>
                    <w:sz w:val="17"/>
                  </w:rPr>
                  <w:t xml:space="preserve">Ejecutado el 2026-09-26 y 27</w:t>
                </w:r>
              </w:p>
            </w:tc>
          </w:tr>
          <w:tr>
            <w:trPr>
              <w:cantSplit/>
            </w:trPr>
            <w:tc>
              <w:tcPr>
                <w:tcW w:w="1250" w:type="pct"/>
              </w:tcPr>
              <w:p>
                <w:pPr>
                  <w:spacing w:after="0" w:line="240" w:lineRule="auto"/>
                  <w:ind w:firstLine="0"/>
                  <w:jc w:val="left"/>
                  <w:rPr>
                    <w:sz w:val="17"/>
                  </w:rPr>
                </w:pPr>
                <w:r>
                  <w:rPr>
                    <w:sz w:val="17"/>
                  </w:rPr>
                  <w:t xml:space="preserve">E4</w:t>
                </w:r>
              </w:p>
            </w:tc>
            <w:tc>
              <w:tcPr>
                <w:tcW w:w="1250" w:type="pct"/>
              </w:tcPr>
              <w:p>
                <w:pPr>
                  <w:spacing w:after="0" w:line="240" w:lineRule="auto"/>
                  <w:ind w:firstLine="0"/>
                  <w:jc w:val="left"/>
                  <w:rPr>
                    <w:sz w:val="17"/>
                  </w:rPr>
                </w:pPr>
                <w:r>
                  <w:rPr>
                    <w:sz w:val="17"/>
                  </w:rPr>
                  <w:t xml:space="preserve">P2, agenda de taller</w:t>
                </w:r>
              </w:p>
            </w:tc>
            <w:tc>
              <w:tcPr>
                <w:tcW w:w="1250" w:type="pct"/>
              </w:tcPr>
              <w:p>
                <w:pPr>
                  <w:spacing w:after="0" w:line="240" w:lineRule="auto"/>
                  <w:ind w:firstLine="0"/>
                  <w:jc w:val="left"/>
                  <w:rPr>
                    <w:sz w:val="17"/>
                  </w:rPr>
                </w:pPr>
                <w:r>
                  <w:rPr>
                    <w:sz w:val="17"/>
                  </w:rPr>
                  <w:t xml:space="preserve">Gemini por API</w:t>
                </w:r>
              </w:p>
            </w:tc>
            <w:tc>
              <w:tcPr>
                <w:tcW w:w="1250" w:type="pct"/>
              </w:tcPr>
              <w:p>
                <w:pPr>
                  <w:spacing w:after="0" w:line="240" w:lineRule="auto"/>
                  <w:ind w:firstLine="0"/>
                  <w:jc w:val="left"/>
                  <w:rPr>
                    <w:sz w:val="17"/>
                  </w:rPr>
                </w:pPr>
                <w:r>
                  <w:rPr>
                    <w:sz w:val="17"/>
                  </w:rPr>
                  <w:t xml:space="preserve">Configurado, no ejecutado (facturación bloqueada)</w:t>
                </w:r>
              </w:p>
            </w:tc>
          </w:tr>
          <w:tr>
            <w:trPr>
              <w:cantSplit/>
            </w:trPr>
            <w:tc>
              <w:tcPr>
                <w:tcW w:w="1250" w:type="pct"/>
              </w:tcPr>
              <w:p>
                <w:pPr>
                  <w:spacing w:after="0" w:line="240" w:lineRule="auto"/>
                  <w:ind w:firstLine="0"/>
                  <w:jc w:val="left"/>
                  <w:rPr>
                    <w:sz w:val="17"/>
                  </w:rPr>
                </w:pPr>
                <w:r>
                  <w:rPr>
                    <w:sz w:val="17"/>
                  </w:rPr>
                  <w:t xml:space="preserve">C (control de la revisión)</w:t>
                </w:r>
              </w:p>
            </w:tc>
            <w:tc>
              <w:tcPr>
                <w:tcW w:w="1250" w:type="pct"/>
              </w:tcPr>
              <w:p>
                <w:pPr>
                  <w:spacing w:after="0" w:line="240" w:lineRule="auto"/>
                  <w:ind w:firstLine="0"/>
                  <w:jc w:val="left"/>
                  <w:rPr>
                    <w:sz w:val="17"/>
                  </w:rPr>
                </w:pPr>
                <w:r>
                  <w:rPr>
                    <w:sz w:val="17"/>
                  </w:rPr>
                  <w:t xml:space="preserve">P1 y P2, 29 Pull Requests de E1c y E3c</w:t>
                </w:r>
              </w:p>
            </w:tc>
            <w:tc>
              <w:tcPr>
                <w:tcW w:w="1250" w:type="pct"/>
              </w:tcPr>
              <w:p>
                <w:pPr>
                  <w:spacing w:after="0" w:line="240" w:lineRule="auto"/>
                  <w:ind w:firstLine="0"/>
                  <w:jc w:val="left"/>
                  <w:rPr>
                    <w:sz w:val="17"/>
                  </w:rPr>
                </w:pPr>
                <w:r>
                  <w:rPr>
                    <w:sz w:val="17"/>
                  </w:rPr>
                  <w:t xml:space="preserve">Claude por CLI, claude-sonnet-5 fijado</w:t>
                </w:r>
              </w:p>
            </w:tc>
            <w:tc>
              <w:tcPr>
                <w:tcW w:w="1250" w:type="pct"/>
              </w:tcPr>
              <w:p>
                <w:pPr>
                  <w:spacing w:after="0" w:line="240" w:lineRule="auto"/>
                  <w:ind w:firstLine="0"/>
                  <w:jc w:val="left"/>
                  <w:rPr>
                    <w:sz w:val="17"/>
                  </w:rPr>
                </w:pPr>
                <w:r>
                  <w:rPr>
                    <w:sz w:val="17"/>
                  </w:rPr>
                  <w:t xml:space="preserve">Ejecutado el 2026-09-27 y 28; calificación ciega pendiente</w:t>
                </w:r>
              </w:p>
            </w:tc>
          </w:tr>
        </w:tbl>
        <w:p>
          <w:pPr>
            <w:spacing w:after="0" w:line="240" w:lineRule="auto"/>
            <w:ind w:firstLine="0"/>
          </w:pPr>
        </w:p>
        <w:p>
          <w:pPr>
            <w:pStyle w:val="Heading3"/>
            <w:ind w:firstLine="0"/>
            <w:jc w:val="left"/>
            <w:rPr>
              <w:color w:val="000000"/>
              <w:sz w:val="24"/>
            </w:rPr>
          </w:pPr>
          <w:r>
            <w:rPr>
              <w:color w:val="000000"/>
              <w:sz w:val="24"/>
            </w:rPr>
            <w:t xml:space="preserve">5.1.2 Procedimiento</w:t>
          </w:r>
        </w:p>
        <w:p>
          <w:r>
            <w:t xml:space="preserve">La persona investigadora operó Loom desde su interfaz web con un guion de Playwright que pulsa los mismos botones que usaría una persona y guarda una captura de cada paso; el Anexo C reproduce el recorrido de E1c con las pantallas y el Anexo D resume el de E3c. En las dos corridas cada acción se ejecutó en este orden: leer las tres HUs, generar los casos de prueba, generar y aprobar la arquitectura, descomponer en paquetes, y por cada paquete generar el código, hacer una sola revisión y aceptar el Pull Request. Con el último paquete fusionado se generó y publicó el despliegue, se ejecutó el release en Google Cloud y se corrieron las pruebas de humo de las tres HUs.</w:t>
          </w:r>
        </w:p>
        <w:p>
          <w:r>
            <w:t xml:space="preserve">Se fijaron las mismas reglas en las dos corridas.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cuando el CI quedó en rojo se aplicó una corrección. Las decisiones sobre los supuestos de las HUs las redactó el equipo como política del piloto.</w:t>
          </w:r>
        </w:p>
        <w:p>
          <w:pPr>
            <w:pStyle w:val="Heading3"/>
            <w:ind w:firstLine="0"/>
            <w:jc w:val="left"/>
            <w:rPr>
              <w:color w:val="000000"/>
              <w:sz w:val="24"/>
            </w:rPr>
          </w:pPr>
          <w:r>
            <w:rPr>
              <w:color w:val="000000"/>
              <w:sz w:val="24"/>
            </w:rPr>
            <w:t xml:space="preserve">5.1.3 Instrumentos y fuentes de datos</w:t>
          </w:r>
        </w:p>
        <w:p>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humo. De la API de GitHub, el estado de los Pull Requests y de los </w:t>
          </w:r>
          <w:r>
            <w:rPr>
              <w:i/>
            </w:rPr>
            <w:t xml:space="preserve">checks</w:t>
          </w:r>
          <w:r>
            <w:t xml:space="preserve"> de integración continua. De las capturas de pantalla, el registro visual de cada paso. Cada corrida tiene además una bitácora con la hora de cada hallazgo y de cada intervención. El costo es el que informa el CLI de Claude; al usarse con una suscripción, es nocional y no comparable con la facturación de una API.</w:t>
          </w:r>
        </w:p>
        <w:p>
          <w:pPr>
            <w:pStyle w:val="Heading3"/>
            <w:ind w:firstLine="0"/>
            <w:jc w:val="left"/>
            <w:rPr>
              <w:color w:val="000000"/>
              <w:sz w:val="24"/>
            </w:rPr>
          </w:pPr>
          <w:r>
            <w:rPr>
              <w:color w:val="000000"/>
              <w:sz w:val="24"/>
            </w:rPr>
            <w:t xml:space="preserve">5.1.4 Amenazas a la validez de estas corridas</w:t>
          </w:r>
        </w:p>
        <w:p>
          <w:r>
            <w:t xml:space="preserve">Cada proyecto tiene una sola corrida, con un solo evaluador, de modo que la variabilidad entre corridas no está medida. Las dos corridas no usaron el mismo modelo: Loom no fija el modelo del CLI, que tomó el predeterminado de Claude Code, </w:t>
          </w:r>
          <w:r>
            <w:rPr>
              <w:rFonts w:ascii="Consolas" w:hAnsi="Consolas" w:cs="Consolas"/>
            </w:rPr>
            <w:t xml:space="preserve">claude-sonnet-5</w:t>
          </w:r>
          <w:r>
            <w:t xml:space="preserve"> en E1c y </w:t>
          </w:r>
          <w:r>
            <w:rPr>
              <w:rFonts w:ascii="Consolas" w:hAnsi="Consolas" w:cs="Consolas"/>
            </w:rPr>
            <w:t xml:space="preserve">claude-opus-5-5</w:t>
          </w:r>
          <w:r>
            <w:t xml:space="preserve"> (con </w:t>
          </w:r>
          <w:r>
            <w:rPr>
              <w:rFonts w:ascii="Consolas" w:hAnsi="Consolas" w:cs="Consolas"/>
            </w:rPr>
            <w:t xml:space="preserve">claude-haiku-4-5</w:t>
          </w:r>
          <w:r>
            <w:t xml:space="preserve"> para subtareas) en E3c. Por eso las diferencias de costo y de calidad entre E1c y E3c no se pueden atribuir al proyecto. La plataforma tampoco estuvo congelada: E3c encontró supuestos de Loom que no generalizaban y se corrigieron durante la corrida (apartado 5.2.12), así que E1c y E3c no corrieron sobre la misma versión.</w:t>
          </w:r>
        </w:p>
        <w:p>
          <w:r>
            <w:t xml:space="preserve">Los tiempos dependen de la máquina, de la red y de la carga del proveedor; el límite de sesión de la suscripción cortó una generación en E1c y cuatro procesos en E3c, que se repitieron. La persona que operó el sistema es también quien lo construyó, lo que favorece el conocimiento de sus puntos débiles. Las observaciones de la revisión no se valoraron todavía como relevantes o no, por lo que solo se reporta cuántas hay y de qué tipo. Por último, varias acciones de entorno se hicieron fuera de la interfaz de Loom (Tablas 5.5 y 5.11), y sus efectos no se cuentan como resultado del sistema.</w:t>
          </w:r>
        </w:p>
      </w:sdtContent>
    </w:sdt>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rPr>
          <w:highlight w:val="yellow"/>
        </w:rPr>
        <w:lastRenderedPageBreak/>
        <w:t>En esta sección contrasta los resultados obtenidos de la investigación y respalda el nuevo conocimiento generado.</w:t>
      </w:r>
    </w:p>
    <w:p w14:paraId="58B0F588" w14:textId="77777777" w:rsidR="00D12CA7" w:rsidRDefault="00D12CA7" w:rsidP="00D12CA7">
      <w:r w:rsidRPr="00D12CA7">
        <w:rPr>
          <w:highlight w:val="yellow"/>
        </w:rPr>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pPr>
            <w:pStyle w:val="Heading3"/>
            <w:ind w:firstLine="0"/>
            <w:jc w:val="left"/>
            <w:rPr>
              <w:color w:val="000000"/>
              <w:sz w:val="24"/>
            </w:rPr>
          </w:pPr>
          <w:r>
            <w:rPr>
              <w:color w:val="000000"/>
              <w:sz w:val="24"/>
            </w:rPr>
            <w:t xml:space="preserve">5.2.1 Primer proyecto (E1c): ejecución de punta a punta</w:t>
          </w:r>
        </w:p>
        <w:p>
          <w:r>
            <w:t xml:space="preserve">Los apartados 5.2.1 a 5.2.8 reportan la corrida E1c; los apartados 5.2.9 a 5.2.13, la corrida E3c y la comparación entre ambas. En E1c 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r>
            <w:t xml:space="preserve">. Etapas de la corrida y tiempo de reloj</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1.4</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5 entidades, 7 decisiones, 7 preguntas abiertas</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12 paquetes en 4 grupos; el primer intento (2.5 min) falló</w:t>
                </w:r>
              </w:p>
            </w:tc>
            <w:tc>
              <w:tcPr>
                <w:tcW w:w="1667" w:type="pct"/>
              </w:tcPr>
              <w:p>
                <w:pPr>
                  <w:spacing w:after="0" w:line="240" w:lineRule="auto"/>
                  <w:ind w:firstLine="0"/>
                  <w:jc w:val="left"/>
                  <w:rPr>
                    <w:sz w:val="17"/>
                  </w:rPr>
                </w:pPr>
                <w:r>
                  <w:rPr>
                    <w:sz w:val="17"/>
                  </w:rPr>
                  <w:t xml:space="preserve">2.1</w:t>
                </w:r>
              </w:p>
            </w:tc>
          </w:tr>
          <w:tr>
            <w:trPr>
              <w:cantSplit/>
            </w:trPr>
            <w:tc>
              <w:tcPr>
                <w:tcW w:w="1667" w:type="pct"/>
              </w:tcPr>
              <w:p>
                <w:pPr>
                  <w:spacing w:after="0" w:line="240" w:lineRule="auto"/>
                  <w:ind w:firstLine="0"/>
                  <w:jc w:val="left"/>
                  <w:rPr>
                    <w:sz w:val="17"/>
                  </w:rPr>
                </w:pPr>
                <w:r>
                  <w:rPr>
                    <w:sz w:val="17"/>
                  </w:rPr>
                  <w:t xml:space="preserve">Generar el código de los 12 paquetes</w:t>
                </w:r>
              </w:p>
            </w:tc>
            <w:tc>
              <w:tcPr>
                <w:tcW w:w="1667" w:type="pct"/>
              </w:tcPr>
              <w:p>
                <w:pPr>
                  <w:spacing w:after="0" w:line="240" w:lineRule="auto"/>
                  <w:ind w:firstLine="0"/>
                  <w:jc w:val="left"/>
                  <w:rPr>
                    <w:sz w:val="17"/>
                  </w:rPr>
                </w:pPr>
                <w:r>
                  <w:rPr>
                    <w:sz w:val="17"/>
                  </w:rPr>
                  <w:t xml:space="preserve">12 Pull Requests abiertos</w:t>
                </w:r>
              </w:p>
            </w:tc>
            <w:tc>
              <w:tcPr>
                <w:tcW w:w="1667" w:type="pct"/>
              </w:tcPr>
              <w:p>
                <w:pPr>
                  <w:spacing w:after="0" w:line="240" w:lineRule="auto"/>
                  <w:ind w:firstLine="0"/>
                  <w:jc w:val="left"/>
                  <w:rPr>
                    <w:sz w:val="17"/>
                  </w:rPr>
                </w:pPr>
                <w:r>
                  <w:rPr>
                    <w:sz w:val="17"/>
                  </w:rPr>
                  <w:t xml:space="preserve">70.7</w:t>
                </w:r>
              </w:p>
            </w:tc>
          </w:tr>
          <w:tr>
            <w:trPr>
              <w:cantSplit/>
            </w:trPr>
            <w:tc>
              <w:tcPr>
                <w:tcW w:w="1667" w:type="pct"/>
              </w:tcPr>
              <w:p>
                <w:pPr>
                  <w:spacing w:after="0" w:line="240" w:lineRule="auto"/>
                  <w:ind w:firstLine="0"/>
                  <w:jc w:val="left"/>
                  <w:rPr>
                    <w:sz w:val="17"/>
                  </w:rPr>
                </w:pPr>
                <w:r>
                  <w:rPr>
                    <w:sz w:val="17"/>
                  </w:rPr>
                  <w:t xml:space="preserve">Revisar los 12 paquetes</w:t>
                </w:r>
              </w:p>
            </w:tc>
            <w:tc>
              <w:tcPr>
                <w:tcW w:w="1667" w:type="pct"/>
              </w:tcPr>
              <w:p>
                <w:pPr>
                  <w:spacing w:after="0" w:line="240" w:lineRule="auto"/>
                  <w:ind w:firstLine="0"/>
                  <w:jc w:val="left"/>
                  <w:rPr>
                    <w:sz w:val="17"/>
                  </w:rPr>
                </w:pPr>
                <w:r>
                  <w:rPr>
                    <w:sz w:val="17"/>
                  </w:rPr>
                  <w:t xml:space="preserve">12 revisiones</w:t>
                </w:r>
              </w:p>
            </w:tc>
            <w:tc>
              <w:tcPr>
                <w:tcW w:w="1667" w:type="pct"/>
              </w:tcPr>
              <w:p>
                <w:pPr>
                  <w:spacing w:after="0" w:line="240" w:lineRule="auto"/>
                  <w:ind w:firstLine="0"/>
                  <w:jc w:val="left"/>
                  <w:rPr>
                    <w:sz w:val="17"/>
                  </w:rPr>
                </w:pPr>
                <w:r>
                  <w:rPr>
                    <w:sz w:val="17"/>
                  </w:rPr>
                  <w:t xml:space="preserve">6.5</w:t>
                </w:r>
              </w:p>
            </w:tc>
          </w:tr>
          <w:tr>
            <w:trPr>
              <w:cantSplit/>
            </w:trPr>
            <w:tc>
              <w:tcPr>
                <w:tcW w:w="1667" w:type="pct"/>
              </w:tcPr>
              <w:p>
                <w:pPr>
                  <w:spacing w:after="0" w:line="240" w:lineRule="auto"/>
                  <w:ind w:firstLine="0"/>
                  <w:jc w:val="left"/>
                  <w:rPr>
                    <w:sz w:val="17"/>
                  </w:rPr>
                </w:pPr>
                <w:r>
                  <w:rPr>
                    <w:sz w:val="17"/>
                  </w:rPr>
                  <w:t xml:space="preserve">Corregir un paquete</w:t>
                </w:r>
              </w:p>
            </w:tc>
            <w:tc>
              <w:tcPr>
                <w:tcW w:w="1667" w:type="pct"/>
              </w:tcPr>
              <w:p>
                <w:pPr>
                  <w:spacing w:after="0" w:line="240" w:lineRule="auto"/>
                  <w:ind w:firstLine="0"/>
                  <w:jc w:val="left"/>
                  <w:rPr>
                    <w:sz w:val="17"/>
                  </w:rPr>
                </w:pPr>
                <w:r>
                  <w:rPr>
                    <w:sz w:val="17"/>
                  </w:rPr>
                  <w:t xml:space="preserve">1 corrección (HU-003/PT-02)</w:t>
                </w:r>
              </w:p>
            </w:tc>
            <w:tc>
              <w:tcPr>
                <w:tcW w:w="1667" w:type="pct"/>
              </w:tcPr>
              <w:p>
                <w:pPr>
                  <w:spacing w:after="0" w:line="240" w:lineRule="auto"/>
                  <w:ind w:firstLine="0"/>
                  <w:jc w:val="left"/>
                  <w:rPr>
                    <w:sz w:val="17"/>
                  </w:rPr>
                </w:pPr>
                <w:r>
                  <w:rPr>
                    <w:sz w:val="17"/>
                  </w:rPr>
                  <w:t xml:space="preserve">6.2</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Backend y frontend desplegados (segundo intento)</w:t>
                </w:r>
              </w:p>
            </w:tc>
            <w:tc>
              <w:tcPr>
                <w:tcW w:w="1667" w:type="pct"/>
              </w:tcPr>
              <w:p>
                <w:pPr>
                  <w:spacing w:after="0" w:line="240" w:lineRule="auto"/>
                  <w:ind w:firstLine="0"/>
                  <w:jc w:val="left"/>
                  <w:rPr>
                    <w:sz w:val="17"/>
                  </w:rPr>
                </w:pPr>
                <w:r>
                  <w:rPr>
                    <w:sz w:val="17"/>
                  </w:rPr>
                  <w:t xml:space="preserve">8.5</w:t>
                </w:r>
              </w:p>
            </w:tc>
          </w:tr>
          <w:tr>
            <w:trPr>
              <w:cantSplit/>
            </w:trPr>
            <w:tc>
              <w:tcPr>
                <w:tcW w:w="1667" w:type="pct"/>
              </w:tcPr>
              <w:p>
                <w:pPr>
                  <w:spacing w:after="0" w:line="240" w:lineRule="auto"/>
                  <w:ind w:firstLine="0"/>
                  <w:jc w:val="left"/>
                  <w:rPr>
                    <w:sz w:val="17"/>
                  </w:rPr>
                </w:pPr>
                <w:r>
                  <w:rPr>
                    <w:sz w:val="17"/>
                  </w:rPr>
                  <w:t xml:space="preserve">Pruebas de humo de las 3 HUs</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w:t>
                </w:r>
              </w:p>
            </w:tc>
          </w:tr>
        </w:tbl>
        <w:p>
          <w:pPr>
            <w:spacing w:after="0" w:line="240" w:lineRule="auto"/>
            <w:ind w:firstLine="0"/>
          </w:pPr>
        </w:p>
        <w:p>
          <w:pPr>
            <w:pStyle w:val="Heading3"/>
            <w:ind w:firstLine="0"/>
            <w:jc w:val="left"/>
            <w:rPr>
              <w:color w:val="000000"/>
              <w:sz w:val="24"/>
            </w:rPr>
          </w:pPr>
          <w:r>
            <w:rPr>
              <w:color w:val="000000"/>
              <w:sz w:val="24"/>
            </w:rPr>
            <w:t xml:space="preserve">5.2.2 Requerimientos, casos de prueba y arquitectura</w:t>
          </w:r>
        </w:p>
        <w:p>
          <w:r>
            <w:t xml:space="preserve">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r>
            <w:t xml:space="preserve">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pPr>
            <w:pStyle w:val="Heading3"/>
            <w:ind w:firstLine="0"/>
            <w:jc w:val="left"/>
            <w:rPr>
              <w:color w:val="000000"/>
              <w:sz w:val="24"/>
            </w:rPr>
          </w:pPr>
          <w:r>
            <w:rPr>
              <w:color w:val="000000"/>
              <w:sz w:val="24"/>
            </w:rPr>
            <w:t xml:space="preserve">5.2.3 Generación de código y compuertas</w:t>
          </w:r>
        </w:p>
        <w:p>
          <w:r>
            <w:t xml:space="preserve">Los 12 paquetes produjeron un Pull Request. La generación tardó entre 0.9 y 10.8 minutos por paquete en tiempo de modelo (Figura 5.1), con una relación clara entre duración y costo, y los paquetes de las HUs cuestan más que los del esqueleto.</w:t>
          </w:r>
        </w:p>
        <w:p>
          <w:pPr>
            <w:keepNext/>
            <w:spacing w:before="120" w:after="60"/>
            <w:ind w:firstLine="0"/>
            <w:jc w:val="center"/>
          </w:pPr>
          <w:r>
            <w:drawing>
              <wp:inline distT="0" distB="0" distL="0" distR="0">
                <wp:extent cx="5400000" cy="2700000"/>
                <wp:docPr id="9049" name="Figura 5.1" descr="Duración y costo de la generación de código por paquete"/>
                <a:graphic xmlns:a="http://schemas.openxmlformats.org/drawingml/2006/main">
                  <a:graphicData uri="http://schemas.openxmlformats.org/drawingml/2006/picture">
                    <pic:pic xmlns:pic="http://schemas.openxmlformats.org/drawingml/2006/picture">
                      <pic:nvPicPr>
                        <pic:cNvPr id="9049" name="loom_fig49.png"/>
                        <pic:cNvPicPr/>
                      </pic:nvPicPr>
                      <pic:blipFill>
                        <a:blip r:embed="rIdLoomFig49"/>
                        <a:stretch>
                          <a:fillRect/>
                        </a:stretch>
                      </pic:blipFill>
                      <pic:spPr>
                        <a:xfrm>
                          <a:off x="0" y="0"/>
                          <a:ext cx="5400000" cy="270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1</w:t>
          </w:r>
          <w:r>
            <w:fldChar w:fldCharType="end"/>
          </w:r>
          <w:r>
            <w:t xml:space="preserve">. Duración y costo de la generación de código por paquete</w:t>
          </w:r>
        </w:p>
        <w:p>
          <w:r>
            <w:t xml:space="preserve">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xml:space="preserve">. Ejecuciones de la compuerta de compilación, análisis estático y pruebas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Ejecuciones</w:t>
                </w:r>
              </w:p>
            </w:tc>
            <w:tc>
              <w:tcPr>
                <w:tcW w:w="1667" w:type="pct"/>
                <w:shd w:val="clear" w:color="auto" w:fill="E5E5ED"/>
              </w:tcPr>
              <w:p>
                <w:pPr>
                  <w:spacing w:after="0" w:line="240" w:lineRule="auto"/>
                  <w:ind w:firstLine="0"/>
                  <w:jc w:val="left"/>
                  <w:rPr>
                    <w:b/>
                    <w:sz w:val="17"/>
                  </w:rPr>
                </w:pPr>
                <w:r>
                  <w:rPr>
                    <w:b/>
                    <w:sz w:val="17"/>
                  </w:rPr>
                  <w:t xml:space="preserve">Detalle</w:t>
                </w:r>
              </w:p>
            </w:tc>
          </w:tr>
          <w:tr>
            <w:trPr>
              <w:cantSplit/>
            </w:trPr>
            <w:tc>
              <w:tcPr>
                <w:tcW w:w="1667" w:type="pct"/>
              </w:tcPr>
              <w:p>
                <w:pPr>
                  <w:spacing w:after="0" w:line="240" w:lineRule="auto"/>
                  <w:ind w:firstLine="0"/>
                  <w:jc w:val="left"/>
                  <w:rPr>
                    <w:sz w:val="17"/>
                  </w:rPr>
                </w:pPr>
                <w:r>
                  <w:rPr>
                    <w:sz w:val="17"/>
                  </w:rPr>
                  <w:t xml:space="preserve">Aprobada</w:t>
                </w:r>
              </w:p>
            </w:tc>
            <w:tc>
              <w:tcPr>
                <w:tcW w:w="1667" w:type="pct"/>
              </w:tcPr>
              <w:p>
                <w:pPr>
                  <w:spacing w:after="0" w:line="240" w:lineRule="auto"/>
                  <w:ind w:firstLine="0"/>
                  <w:jc w:val="left"/>
                  <w:rPr>
                    <w:sz w:val="17"/>
                  </w:rPr>
                </w:pPr>
                <w:r>
                  <w:rPr>
                    <w:sz w:val="17"/>
                  </w:rPr>
                  <w:t xml:space="preserve">10</w:t>
                </w:r>
              </w:p>
            </w:tc>
            <w:tc>
              <w:tcPr>
                <w:tcW w:w="1667" w:type="pct"/>
              </w:tcPr>
              <w:p>
                <w:pPr>
                  <w:spacing w:after="0" w:line="240" w:lineRule="auto"/>
                  <w:ind w:firstLine="0"/>
                  <w:jc w:val="left"/>
                  <w:rPr>
                    <w:sz w:val="17"/>
                  </w:rPr>
                </w:pPr>
                <w:r>
                  <w:rPr>
                    <w:sz w:val="17"/>
                  </w:rPr>
                  <w:t xml:space="preserve">8 paquetes al primer intento, HU-001/PT-02 al segundo y la corrección de HU-003/PT-02 al segundo</w:t>
                </w:r>
              </w:p>
            </w:tc>
          </w:tr>
          <w:tr>
            <w:trPr>
              <w:cantSplit/>
            </w:trPr>
            <w:tc>
              <w:tcPr>
                <w:tcW w:w="1667" w:type="pct"/>
              </w:tcPr>
              <w:p>
                <w:pPr>
                  <w:spacing w:after="0" w:line="240" w:lineRule="auto"/>
                  <w:ind w:firstLine="0"/>
                  <w:jc w:val="left"/>
                  <w:rPr>
                    <w:sz w:val="17"/>
                  </w:rPr>
                </w:pPr>
                <w:r>
                  <w:rPr>
                    <w:sz w:val="17"/>
                  </w:rPr>
                  <w:t xml:space="preserve">Fallida</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HU-001/PT-02 (1), HU-003/PT-02 (3 en la generación y 1 en la corrección)</w:t>
                </w:r>
              </w:p>
            </w:tc>
          </w:tr>
          <w:tr>
            <w:trPr>
              <w:cantSplit/>
            </w:trPr>
            <w:tc>
              <w:tcPr>
                <w:tcW w:w="1667" w:type="pct"/>
              </w:tcPr>
              <w:p>
                <w:pPr>
                  <w:spacing w:after="0" w:line="240" w:lineRule="auto"/>
                  <w:ind w:firstLine="0"/>
                  <w:jc w:val="left"/>
                  <w:rPr>
                    <w:sz w:val="17"/>
                  </w:rPr>
                </w:pPr>
                <w:r>
                  <w:rPr>
                    <w:sz w:val="17"/>
                  </w:rPr>
                  <w:t xml:space="preserve">Omitida</w:t>
                </w:r>
              </w:p>
            </w:tc>
            <w:tc>
              <w:tcPr>
                <w:tcW w:w="1667" w:type="pct"/>
              </w:tcPr>
              <w:p>
                <w:pPr>
                  <w:spacing w:after="0" w:line="240" w:lineRule="auto"/>
                  <w:ind w:firstLine="0"/>
                  <w:jc w:val="left"/>
                  <w:rPr>
                    <w:sz w:val="17"/>
                  </w:rPr>
                </w:pPr>
                <w:r>
                  <w:rPr>
                    <w:sz w:val="17"/>
                  </w:rPr>
                  <w:t xml:space="preserve">2</w:t>
                </w:r>
              </w:p>
            </w:tc>
            <w:tc>
              <w:tcPr>
                <w:tcW w:w="1667" w:type="pct"/>
              </w:tcPr>
              <w:p>
                <w:pPr>
                  <w:spacing w:after="0" w:line="240" w:lineRule="auto"/>
                  <w:ind w:firstLine="0"/>
                  <w:jc w:val="left"/>
                  <w:rPr>
                    <w:sz w:val="17"/>
                  </w:rPr>
                </w:pPr>
                <w:r>
                  <w:rPr>
                    <w:sz w:val="17"/>
                  </w:rPr>
                  <w:t xml:space="preserve">BASE/PT-01 y BASE/PT-05 (paquetes de infraestructura)</w:t>
                </w:r>
              </w:p>
            </w:tc>
          </w:tr>
        </w:tbl>
        <w:p>
          <w:pPr>
            <w:spacing w:after="0" w:line="240" w:lineRule="auto"/>
            <w:ind w:firstLine="0"/>
          </w:pPr>
        </w:p>
        <w:p>
          <w:r>
            <w:t xml:space="preserve">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pPr>
            <w:pStyle w:val="Heading3"/>
            <w:ind w:firstLine="0"/>
            <w:jc w:val="left"/>
            <w:rPr>
              <w:color w:val="000000"/>
              <w:sz w:val="24"/>
            </w:rPr>
          </w:pPr>
          <w:r>
            <w:rPr>
              <w:color w:val="000000"/>
              <w:sz w:val="24"/>
            </w:rPr>
            <w:t xml:space="preserve">5.2.4 Revisión</w:t>
          </w:r>
        </w:p>
        <w:p>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(Figura 5.2), predominan las de buenas prácticas (23) y las de criterios de aceptación (15), seguidas por pruebas (14), seguridad (9) y arquitectura (5). De las 9 de seguridad, 7 son mayores, y de las 15 de criterios de aceptación, 10 son mayores.</w:t>
          </w:r>
        </w:p>
        <w:p>
          <w:pPr>
            <w:keepNext/>
            <w:spacing w:before="120" w:after="60"/>
            <w:ind w:firstLine="0"/>
            <w:jc w:val="center"/>
          </w:pPr>
          <w:r>
            <w:drawing>
              <wp:inline distT="0" distB="0" distL="0" distR="0">
                <wp:extent cx="5400000" cy="2430000"/>
                <wp:docPr id="9050" name="Figura 5.2" descr="Observaciones de las 12 revisiones por fuente y severidad"/>
                <a:graphic xmlns:a="http://schemas.openxmlformats.org/drawingml/2006/main">
                  <a:graphicData uri="http://schemas.openxmlformats.org/drawingml/2006/picture">
                    <pic:pic xmlns:pic="http://schemas.openxmlformats.org/drawingml/2006/picture">
                      <pic:nvPicPr>
                        <pic:cNvPr id="9050" name="loom_fig50.png"/>
                        <pic:cNvPicPr/>
                      </pic:nvPicPr>
                      <pic:blipFill>
                        <a:blip r:embed="rIdLoomFig50"/>
                        <a:stretch>
                          <a:fillRect/>
                        </a:stretch>
                      </pic:blipFill>
                      <pic:spPr>
                        <a:xfrm>
                          <a:off x="0" y="0"/>
                          <a:ext cx="5400000" cy="2430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2</w:t>
          </w:r>
          <w:r>
            <w:fldChar w:fldCharType="end"/>
          </w:r>
          <w:r>
            <w:t xml:space="preserve">. Observaciones de las 12 revisiones por fuente y severidad</w:t>
          </w:r>
        </w:p>
        <w:p>
          <w:r>
            <w:t xml:space="preserve">Las dos observaciones bloqueantes son de un solo paquete, HU-003/PT-02, el mismo que falló la compuerta. Con la política de una sola revisión, 11 paquetes se fusionaron con observaciones sin resolver (nueve con observaciones y dos aprobados con observaciones menores); el duodécimo, HU-003/PT-02, pasó por una corrección. Este capítulo no evalúa si esas observaciones eran relevantes o ruido: esa valoración es el dato que falta para H1.</w:t>
          </w:r>
        </w:p>
        <w:p>
          <w:pPr>
            <w:pStyle w:val="Heading3"/>
            <w:ind w:firstLine="0"/>
            <w:jc w:val="left"/>
            <w:rPr>
              <w:color w:val="000000"/>
              <w:sz w:val="24"/>
            </w:rPr>
          </w:pPr>
          <w:r>
            <w:rPr>
              <w:color w:val="000000"/>
              <w:sz w:val="24"/>
            </w:rPr>
            <w:t xml:space="preserve">5.2.5 Despliegue</w:t>
          </w:r>
        </w:p>
        <w:p>
          <w:r>
            <w:t xml:space="preserve">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trabajo de release aún no estaba en el repositorio; el lanzamiento manual desde Loom funcionó una vez fusionado el Pull Request de despliegue.</w:t>
          </w:r>
        </w:p>
        <w:p>
          <w:pPr>
            <w:pStyle w:val="Heading3"/>
            <w:ind w:firstLine="0"/>
            <w:jc w:val="left"/>
            <w:rPr>
              <w:color w:val="000000"/>
              <w:sz w:val="24"/>
            </w:rPr>
          </w:pPr>
          <w:r>
            <w:rPr>
              <w:color w:val="000000"/>
              <w:sz w:val="24"/>
            </w:rPr>
            <w:t xml:space="preserve">5.2.6 Validación funcional</w:t>
          </w:r>
        </w:p>
        <w:p>
          <w:r>
            <w:t xml:space="preserve">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 la HU-002, cuyo guion generado por el modelo tenía sintaxis inválida.</w:t>
          </w:r>
        </w:p>
        <w:p>
          <w:pPr>
            <w:pStyle w:val="Caption"/>
            <w:keepNext/>
            <w:ind w:firstLine="0"/>
            <w:jc w:val="left"/>
            <w:rPr>
              <w:b w:val="0"/>
            </w:rPr>
          </w:pPr>
          <w:r>
            <w:t>Tabla 5.</w:t>
          </w:r>
          <w:r>
            <w:fldChar w:fldCharType="begin"/>
          </w:r>
          <w:r>
            <w:instrText xml:space="preserve"> SEQ Tabla \s 1 </w:instrText>
          </w:r>
          <w:r>
            <w:fldChar w:fldCharType="separate"/>
          </w:r>
          <w:r>
            <w:rPr>
              <w:noProof/>
            </w:rPr>
            <w:t>4</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w:t>
                </w:r>
              </w:p>
            </w:tc>
          </w:tr>
        </w:tbl>
        <w:p>
          <w:pPr>
            <w:spacing w:after="0" w:line="240" w:lineRule="auto"/>
            <w:ind w:firstLine="0"/>
          </w:pPr>
        </w:p>
        <w:p>
          <w:pPr>
            <w:pStyle w:val="Heading3"/>
            <w:ind w:firstLine="0"/>
            <w:jc w:val="left"/>
            <w:rPr>
              <w:color w:val="000000"/>
              <w:sz w:val="24"/>
            </w:rPr>
          </w:pPr>
          <w:r>
            <w:rPr>
              <w:color w:val="000000"/>
              <w:sz w:val="24"/>
            </w:rPr>
            <w:t xml:space="preserve">5.2.7 Autonomía: intervenciones manuales</w:t>
          </w:r>
        </w:p>
        <w:p>
          <w:r>
            <w:t xml:space="preserve">Se contaron nueve intervenciones de la persona (Tabla 5.5). Seis se hicieron con acciones de Loom y tres, fuera de él. Ninguna consistió en editar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5</w:t>
          </w:r>
          <w:r>
            <w:fldChar w:fldCharType="end"/>
          </w:r>
          <w:r>
            <w:t xml:space="preserve">. Intervenciones de la persona durante la corrida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Intervención</w:t>
                </w:r>
              </w:p>
            </w:tc>
            <w:tc>
              <w:tcPr>
                <w:tcW w:w="1667" w:type="pct"/>
                <w:shd w:val="clear" w:color="auto" w:fill="E5E5ED"/>
              </w:tcPr>
              <w:p>
                <w:pPr>
                  <w:spacing w:after="0" w:line="240" w:lineRule="auto"/>
                  <w:ind w:firstLine="0"/>
                  <w:jc w:val="left"/>
                  <w:rPr>
                    <w:b/>
                    <w:sz w:val="17"/>
                  </w:rPr>
                </w:pPr>
                <w:r>
                  <w:rPr>
                    <w:b/>
                    <w:sz w:val="17"/>
                  </w:rPr>
                  <w:t xml:space="preserve">Dónde se hizo</w:t>
                </w:r>
              </w:p>
            </w:tc>
            <w:tc>
              <w:tcPr>
                <w:tcW w:w="1667" w:type="pct"/>
                <w:shd w:val="clear" w:color="auto" w:fill="E5E5ED"/>
              </w:tcPr>
              <w:p>
                <w:pPr>
                  <w:spacing w:after="0" w:line="240" w:lineRule="auto"/>
                  <w:ind w:firstLine="0"/>
                  <w:jc w:val="left"/>
                  <w:rPr>
                    <w:b/>
                    <w:sz w:val="17"/>
                  </w:rPr>
                </w:pPr>
                <w:r>
                  <w:rPr>
                    <w:b/>
                    <w:sz w:val="17"/>
                  </w:rPr>
                  <w:t xml:space="preserve">Causa</w:t>
                </w:r>
              </w:p>
            </w:tc>
          </w:tr>
          <w:tr>
            <w:trPr>
              <w:cantSplit/>
            </w:trPr>
            <w:tc>
              <w:tcPr>
                <w:tcW w:w="1667" w:type="pct"/>
              </w:tcPr>
              <w:p>
                <w:pPr>
                  <w:spacing w:after="0" w:line="240" w:lineRule="auto"/>
                  <w:ind w:firstLine="0"/>
                  <w:jc w:val="left"/>
                  <w:rPr>
                    <w:sz w:val="17"/>
                  </w:rPr>
                </w:pPr>
                <w:r>
                  <w:rPr>
                    <w:sz w:val="17"/>
                  </w:rPr>
                  <w:t xml:space="preserve">Reintentar la descomposición</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El modelo no produjo paquetes para una HU</w:t>
                </w:r>
              </w:p>
            </w:tc>
          </w:tr>
          <w:tr>
            <w:trPr>
              <w:cantSplit/>
            </w:trPr>
            <w:tc>
              <w:tcPr>
                <w:tcW w:w="1667" w:type="pct"/>
              </w:tcPr>
              <w:p>
                <w:pPr>
                  <w:spacing w:after="0" w:line="240" w:lineRule="auto"/>
                  <w:ind w:firstLine="0"/>
                  <w:jc w:val="left"/>
                  <w:rPr>
                    <w:sz w:val="17"/>
                  </w:rPr>
                </w:pPr>
                <w:r>
                  <w:rPr>
                    <w:sz w:val="17"/>
                  </w:rPr>
                  <w:t xml:space="preserve">Registrar una decisión por HU</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Regla de supuestos sin confirmar</w:t>
                </w:r>
              </w:p>
            </w:tc>
          </w:tr>
          <w:tr>
            <w:trPr>
              <w:cantSplit/>
            </w:trPr>
            <w:tc>
              <w:tcPr>
                <w:tcW w:w="1667" w:type="pct"/>
              </w:tcPr>
              <w:p>
                <w:pPr>
                  <w:spacing w:after="0" w:line="240" w:lineRule="auto"/>
                  <w:ind w:firstLine="0"/>
                  <w:jc w:val="left"/>
                  <w:rPr>
                    <w:sz w:val="17"/>
                  </w:rPr>
                </w:pPr>
                <w:r>
                  <w:rPr>
                    <w:sz w:val="17"/>
                  </w:rPr>
                  <w:t xml:space="preserve">Esperar la integración continua antes de fusionar (BASE/PT-05)</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Loom rechazó la fusión con el CI corriendo</w:t>
                </w:r>
              </w:p>
            </w:tc>
          </w:tr>
          <w:tr>
            <w:trPr>
              <w:cantSplit/>
            </w:trPr>
            <w:tc>
              <w:tcPr>
                <w:tcW w:w="1667" w:type="pct"/>
              </w:tcPr>
              <w:p>
                <w:pPr>
                  <w:spacing w:after="0" w:line="240" w:lineRule="auto"/>
                  <w:ind w:firstLine="0"/>
                  <w:jc w:val="left"/>
                  <w:rPr>
                    <w:sz w:val="17"/>
                  </w:rPr>
                </w:pPr>
                <w:r>
                  <w:rPr>
                    <w:sz w:val="17"/>
                  </w:rPr>
                  <w:t xml:space="preserve">Repetir la generación de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Límite de sesión del CLI de Claude</w:t>
                </w:r>
              </w:p>
            </w:tc>
          </w:tr>
          <w:tr>
            <w:trPr>
              <w:cantSplit/>
            </w:trPr>
            <w:tc>
              <w:tcPr>
                <w:tcW w:w="1667" w:type="pct"/>
              </w:tcPr>
              <w:p>
                <w:pPr>
                  <w:spacing w:after="0" w:line="240" w:lineRule="auto"/>
                  <w:ind w:firstLine="0"/>
                  <w:jc w:val="left"/>
                  <w:rPr>
                    <w:sz w:val="17"/>
                  </w:rPr>
                </w:pPr>
                <w:r>
                  <w:rPr>
                    <w:sz w:val="17"/>
                  </w:rPr>
                  <w:t xml:space="preserve">Aplicar una ronda de corrección (HU-003/PT-02)</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Compuerta y CI en rojo</w:t>
                </w:r>
              </w:p>
            </w:tc>
          </w:tr>
          <w:tr>
            <w:trPr>
              <w:cantSplit/>
            </w:trPr>
            <w:tc>
              <w:tcPr>
                <w:tcW w:w="1667" w:type="pct"/>
              </w:tcPr>
              <w:p>
                <w:pPr>
                  <w:spacing w:after="0" w:line="240" w:lineRule="auto"/>
                  <w:ind w:firstLine="0"/>
                  <w:jc w:val="left"/>
                  <w:rPr>
                    <w:sz w:val="17"/>
                  </w:rPr>
                </w:pPr>
                <w:r>
                  <w:rPr>
                    <w:sz w:val="17"/>
                  </w:rPr>
                  <w:t xml:space="preserve">Completar cuenta de servicio y proveedor de identidad</w:t>
                </w:r>
              </w:p>
            </w:tc>
            <w:tc>
              <w:tcPr>
                <w:tcW w:w="1667" w:type="pct"/>
              </w:tcPr>
              <w:p>
                <w:pPr>
                  <w:spacing w:after="0" w:line="240" w:lineRule="auto"/>
                  <w:ind w:firstLine="0"/>
                  <w:jc w:val="left"/>
                  <w:rPr>
                    <w:sz w:val="17"/>
                  </w:rPr>
                </w:pPr>
                <w:r>
                  <w:rPr>
                    <w:sz w:val="17"/>
                  </w:rPr>
                  <w:t xml:space="preserve">Loom</w:t>
                </w:r>
              </w:p>
            </w:tc>
            <w:tc>
              <w:tcPr>
                <w:tcW w:w="1667" w:type="pct"/>
              </w:tcPr>
              <w:p>
                <w:pPr>
                  <w:spacing w:after="0" w:line="240" w:lineRule="auto"/>
                  <w:ind w:firstLine="0"/>
                  <w:jc w:val="left"/>
                  <w:rPr>
                    <w:sz w:val="17"/>
                  </w:rPr>
                </w:pPr>
                <w:r>
                  <w:rPr>
                    <w:sz w:val="17"/>
                  </w:rPr>
                  <w:t xml:space="preserve">Datos del entorno de Google Cloud</w:t>
                </w:r>
              </w:p>
            </w:tc>
          </w:tr>
          <w:tr>
            <w:trPr>
              <w:cantSplit/>
            </w:trPr>
            <w:tc>
              <w:tcPr>
                <w:tcW w:w="1667" w:type="pct"/>
              </w:tcPr>
              <w:p>
                <w:pPr>
                  <w:spacing w:after="0" w:line="240" w:lineRule="auto"/>
                  <w:ind w:firstLine="0"/>
                  <w:jc w:val="left"/>
                  <w:rPr>
                    <w:sz w:val="17"/>
                  </w:rPr>
                </w:pPr>
                <w:r>
                  <w:rPr>
                    <w:sz w:val="17"/>
                  </w:rPr>
                  <w:t xml:space="preserve">Fusionar el Pull Request de despliegue</w:t>
                </w:r>
              </w:p>
            </w:tc>
            <w:tc>
              <w:tcPr>
                <w:tcW w:w="1667" w:type="pct"/>
              </w:tcPr>
              <w:p>
                <w:pPr>
                  <w:spacing w:after="0" w:line="240" w:lineRule="auto"/>
                  <w:ind w:firstLine="0"/>
                  <w:jc w:val="left"/>
                  <w:rPr>
                    <w:sz w:val="17"/>
                  </w:rPr>
                </w:pPr>
                <w:r>
                  <w:rPr>
                    <w:sz w:val="17"/>
                  </w:rPr>
                  <w:t xml:space="preserve">Fuera (endpoint de Loom)</w:t>
                </w:r>
              </w:p>
            </w:tc>
            <w:tc>
              <w:tcPr>
                <w:tcW w:w="1667" w:type="pct"/>
              </w:tcPr>
              <w:p>
                <w:pPr>
                  <w:spacing w:after="0" w:line="240" w:lineRule="auto"/>
                  <w:ind w:firstLine="0"/>
                  <w:jc w:val="left"/>
                  <w:rPr>
                    <w:sz w:val="17"/>
                  </w:rPr>
                </w:pPr>
                <w:r>
                  <w:rPr>
                    <w:sz w:val="17"/>
                  </w:rPr>
                  <w:t xml:space="preserve">La interfaz no tiene el botón</w:t>
                </w:r>
              </w:p>
            </w:tc>
          </w:tr>
          <w:tr>
            <w:trPr>
              <w:cantSplit/>
            </w:trPr>
            <w:tc>
              <w:tcPr>
                <w:tcW w:w="1667" w:type="pct"/>
              </w:tcPr>
              <w:p>
                <w:pPr>
                  <w:spacing w:after="0" w:line="240" w:lineRule="auto"/>
                  <w:ind w:firstLine="0"/>
                  <w:jc w:val="left"/>
                  <w:rPr>
                    <w:sz w:val="17"/>
                  </w:rPr>
                </w:pPr>
                <w:r>
                  <w:rPr>
                    <w:sz w:val="17"/>
                  </w:rPr>
                  <w:t xml:space="preserve">Recrear la base de datos de Cloud SQL</w:t>
                </w:r>
              </w:p>
            </w:tc>
            <w:tc>
              <w:tcPr>
                <w:tcW w:w="1667" w:type="pct"/>
              </w:tcPr>
              <w:p>
                <w:pPr>
                  <w:spacing w:after="0" w:line="240" w:lineRule="auto"/>
                  <w:ind w:firstLine="0"/>
                  <w:jc w:val="left"/>
                  <w:rPr>
                    <w:sz w:val="17"/>
                  </w:rPr>
                </w:pPr>
                <w:r>
                  <w:rPr>
                    <w:sz w:val="17"/>
                  </w:rPr>
                  <w:t xml:space="preserve">Fuera</w:t>
                </w:r>
              </w:p>
            </w:tc>
            <w:tc>
              <w:tcPr>
                <w:tcW w:w="1667" w:type="pct"/>
              </w:tcPr>
              <w:p>
                <w:pPr>
                  <w:spacing w:after="0" w:line="240" w:lineRule="auto"/>
                  <w:ind w:firstLine="0"/>
                  <w:jc w:val="left"/>
                  <w:rPr>
                    <w:sz w:val="17"/>
                  </w:rPr>
                </w:pPr>
                <w:r>
                  <w:rPr>
                    <w:sz w:val="17"/>
                  </w:rPr>
                  <w:t xml:space="preserve">Historial de migraciones de la corrida anterior</w:t>
                </w:r>
              </w:p>
            </w:tc>
          </w:tr>
          <w:tr>
            <w:trPr>
              <w:cantSplit/>
            </w:trPr>
            <w:tc>
              <w:tcPr>
                <w:tcW w:w="1667" w:type="pct"/>
              </w:tcPr>
              <w:p>
                <w:pPr>
                  <w:spacing w:after="0" w:line="240" w:lineRule="auto"/>
                  <w:ind w:firstLine="0"/>
                  <w:jc w:val="left"/>
                  <w:rPr>
                    <w:sz w:val="17"/>
                  </w:rPr>
                </w:pPr>
                <w:r>
                  <w:rPr>
                    <w:sz w:val="17"/>
                  </w:rPr>
                  <w:t xml:space="preserve">Sembrar las cuentas de prueba</w:t>
                </w:r>
              </w:p>
            </w:tc>
            <w:tc>
              <w:tcPr>
                <w:tcW w:w="1667" w:type="pct"/>
              </w:tcPr>
              <w:p>
                <w:pPr>
                  <w:spacing w:after="0" w:line="240" w:lineRule="auto"/>
                  <w:ind w:firstLine="0"/>
                  <w:jc w:val="left"/>
                  <w:rPr>
                    <w:sz w:val="17"/>
                  </w:rPr>
                </w:pPr>
                <w:r>
                  <w:rPr>
                    <w:sz w:val="17"/>
                  </w:rPr>
                  <w:t xml:space="preserve">Fuera (SQL)</w:t>
                </w:r>
              </w:p>
            </w:tc>
            <w:tc>
              <w:tcPr>
                <w:tcW w:w="1667" w:type="pct"/>
              </w:tcPr>
              <w:p>
                <w:pPr>
                  <w:spacing w:after="0" w:line="240" w:lineRule="auto"/>
                  <w:ind w:firstLine="0"/>
                  <w:jc w:val="left"/>
                  <w:rPr>
                    <w:sz w:val="17"/>
                  </w:rPr>
                </w:pPr>
                <w:r>
                  <w:rPr>
                    <w:sz w:val="17"/>
                  </w:rPr>
                  <w:t xml:space="preserve">El código generado no incluye gestión de usuarios</w:t>
                </w:r>
              </w:p>
            </w:tc>
          </w:tr>
        </w:tbl>
        <w:p>
          <w:pPr>
            <w:spacing w:after="0" w:line="240" w:lineRule="auto"/>
            <w:ind w:firstLine="0"/>
          </w:pPr>
        </w:p>
        <w:p>
          <w:r>
            <w:t xml:space="preserve">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pPr>
            <w:pStyle w:val="Heading3"/>
            <w:ind w:firstLine="0"/>
            <w:jc w:val="left"/>
            <w:rPr>
              <w:color w:val="000000"/>
              <w:sz w:val="24"/>
            </w:rPr>
          </w:pPr>
          <w:r>
            <w:rPr>
              <w:color w:val="000000"/>
              <w:sz w:val="24"/>
            </w:rPr>
            <w:t xml:space="preserve">5.2.8 Costo y uso del modelo</w:t>
          </w:r>
        </w:p>
        <w:p>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w:t>
          </w:r>
        </w:p>
        <w:p>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xml:space="preserve">. Uso del modelo por skill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Skill</w:t>
                </w:r>
              </w:p>
            </w:tc>
            <w:tc>
              <w:tcPr>
                <w:tcW w:w="833" w:type="pct"/>
                <w:shd w:val="clear" w:color="auto" w:fill="E5E5ED"/>
              </w:tcPr>
              <w:p>
                <w:pPr>
                  <w:spacing w:after="0" w:line="240" w:lineRule="auto"/>
                  <w:ind w:firstLine="0"/>
                  <w:jc w:val="left"/>
                  <w:rPr>
                    <w:b/>
                    <w:sz w:val="17"/>
                  </w:rPr>
                </w:pPr>
                <w:r>
                  <w:rPr>
                    <w:b/>
                    <w:sz w:val="17"/>
                  </w:rPr>
                  <w:t xml:space="preserve">Llamadas</w:t>
                </w:r>
              </w:p>
            </w:tc>
            <w:tc>
              <w:tcPr>
                <w:tcW w:w="833" w:type="pct"/>
                <w:shd w:val="clear" w:color="auto" w:fill="E5E5ED"/>
              </w:tcPr>
              <w:p>
                <w:pPr>
                  <w:spacing w:after="0" w:line="240" w:lineRule="auto"/>
                  <w:ind w:firstLine="0"/>
                  <w:jc w:val="left"/>
                  <w:rPr>
                    <w:b/>
                    <w:sz w:val="17"/>
                  </w:rPr>
                </w:pPr>
                <w:r>
                  <w:rPr>
                    <w:b/>
                    <w:sz w:val="17"/>
                  </w:rPr>
                  <w:t xml:space="preserve">Tokens de entrada</w:t>
                </w:r>
              </w:p>
            </w:tc>
            <w:tc>
              <w:tcPr>
                <w:tcW w:w="833" w:type="pct"/>
                <w:shd w:val="clear" w:color="auto" w:fill="E5E5ED"/>
              </w:tcPr>
              <w:p>
                <w:pPr>
                  <w:spacing w:after="0" w:line="240" w:lineRule="auto"/>
                  <w:ind w:firstLine="0"/>
                  <w:jc w:val="left"/>
                  <w:rPr>
                    <w:b/>
                    <w:sz w:val="17"/>
                  </w:rPr>
                </w:pPr>
                <w:r>
                  <w:rPr>
                    <w:b/>
                    <w:sz w:val="17"/>
                  </w:rPr>
                  <w:t xml:space="preserve">Tokens de salida</w:t>
                </w:r>
              </w:p>
            </w:tc>
            <w:tc>
              <w:tcPr>
                <w:tcW w:w="833" w:type="pct"/>
                <w:shd w:val="clear" w:color="auto" w:fill="E5E5ED"/>
              </w:tcPr>
              <w:p>
                <w:pPr>
                  <w:spacing w:after="0" w:line="240" w:lineRule="auto"/>
                  <w:ind w:firstLine="0"/>
                  <w:jc w:val="left"/>
                  <w:rPr>
                    <w:b/>
                    <w:sz w:val="17"/>
                  </w:rPr>
                </w:pPr>
                <w:r>
                  <w:rPr>
                    <w:b/>
                    <w:sz w:val="17"/>
                  </w:rPr>
                  <w:t xml:space="preserve">Tiempo de modelo (min)</w:t>
                </w:r>
              </w:p>
            </w:tc>
            <w:tc>
              <w:tcPr>
                <w:tcW w:w="833" w:type="pct"/>
                <w:shd w:val="clear" w:color="auto" w:fill="E5E5ED"/>
              </w:tcPr>
              <w:p>
                <w:pPr>
                  <w:spacing w:after="0" w:line="240" w:lineRule="auto"/>
                  <w:ind w:firstLine="0"/>
                  <w:jc w:val="left"/>
                  <w:rPr>
                    <w:b/>
                    <w:sz w:val="17"/>
                  </w:rPr>
                </w:pPr>
                <w:r>
                  <w:rPr>
                    <w:b/>
                    <w:sz w:val="17"/>
                  </w:rPr>
                  <w:t xml:space="preserve">Costo (USD)</w:t>
                </w:r>
              </w:p>
            </w:tc>
          </w:tr>
          <w:tr>
            <w:trPr>
              <w:cantSplit/>
            </w:trPr>
            <w:tc>
              <w:tcPr>
                <w:tcW w:w="833" w:type="pct"/>
              </w:tcPr>
              <w:p>
                <w:pPr>
                  <w:spacing w:after="0" w:line="240" w:lineRule="auto"/>
                  <w:ind w:firstLine="0"/>
                  <w:jc w:val="left"/>
                  <w:rPr>
                    <w:sz w:val="17"/>
                  </w:rPr>
                </w:pPr>
                <w:r>
                  <w:rPr>
                    <w:sz w:val="17"/>
                  </w:rPr>
                  <w:t xml:space="preserve">Generar código</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855,897</w:t>
                </w:r>
              </w:p>
            </w:tc>
            <w:tc>
              <w:tcPr>
                <w:tcW w:w="833" w:type="pct"/>
              </w:tcPr>
              <w:p>
                <w:pPr>
                  <w:spacing w:after="0" w:line="240" w:lineRule="auto"/>
                  <w:ind w:firstLine="0"/>
                  <w:jc w:val="left"/>
                  <w:rPr>
                    <w:sz w:val="17"/>
                  </w:rPr>
                </w:pPr>
                <w:r>
                  <w:rPr>
                    <w:sz w:val="17"/>
                  </w:rPr>
                  <w:t xml:space="preserve">387,314</w:t>
                </w:r>
              </w:p>
            </w:tc>
            <w:tc>
              <w:tcPr>
                <w:tcW w:w="833" w:type="pct"/>
              </w:tcPr>
              <w:p>
                <w:pPr>
                  <w:spacing w:after="0" w:line="240" w:lineRule="auto"/>
                  <w:ind w:firstLine="0"/>
                  <w:jc w:val="left"/>
                  <w:rPr>
                    <w:sz w:val="17"/>
                  </w:rPr>
                </w:pPr>
                <w:r>
                  <w:rPr>
                    <w:sz w:val="17"/>
                  </w:rPr>
                  <w:t xml:space="preserve">53.3</w:t>
                </w:r>
              </w:p>
            </w:tc>
            <w:tc>
              <w:tcPr>
                <w:tcW w:w="833" w:type="pct"/>
              </w:tcPr>
              <w:p>
                <w:pPr>
                  <w:spacing w:after="0" w:line="240" w:lineRule="auto"/>
                  <w:ind w:firstLine="0"/>
                  <w:jc w:val="left"/>
                  <w:rPr>
                    <w:sz w:val="17"/>
                  </w:rPr>
                </w:pPr>
                <w:r>
                  <w:rPr>
                    <w:sz w:val="17"/>
                  </w:rPr>
                  <w:t xml:space="preserve">9.27</w:t>
                </w:r>
              </w:p>
            </w:tc>
          </w:tr>
          <w:tr>
            <w:trPr>
              <w:cantSplit/>
            </w:trPr>
            <w:tc>
              <w:tcPr>
                <w:tcW w:w="833" w:type="pct"/>
              </w:tcPr>
              <w:p>
                <w:pPr>
                  <w:spacing w:after="0" w:line="240" w:lineRule="auto"/>
                  <w:ind w:firstLine="0"/>
                  <w:jc w:val="left"/>
                  <w:rPr>
                    <w:sz w:val="17"/>
                  </w:rPr>
                </w:pPr>
                <w:r>
                  <w:rPr>
                    <w:sz w:val="17"/>
                  </w:rPr>
                  <w:t xml:space="preserve">Revisar código</w:t>
                </w:r>
              </w:p>
            </w:tc>
            <w:tc>
              <w:tcPr>
                <w:tcW w:w="833" w:type="pct"/>
              </w:tcPr>
              <w:p>
                <w:pPr>
                  <w:spacing w:after="0" w:line="240" w:lineRule="auto"/>
                  <w:ind w:firstLine="0"/>
                  <w:jc w:val="left"/>
                  <w:rPr>
                    <w:sz w:val="17"/>
                  </w:rPr>
                </w:pPr>
                <w:r>
                  <w:rPr>
                    <w:sz w:val="17"/>
                  </w:rPr>
                  <w:t xml:space="preserve">12</w:t>
                </w:r>
              </w:p>
            </w:tc>
            <w:tc>
              <w:tcPr>
                <w:tcW w:w="833" w:type="pct"/>
              </w:tcPr>
              <w:p>
                <w:pPr>
                  <w:spacing w:after="0" w:line="240" w:lineRule="auto"/>
                  <w:ind w:firstLine="0"/>
                  <w:jc w:val="left"/>
                  <w:rPr>
                    <w:sz w:val="17"/>
                  </w:rPr>
                </w:pPr>
                <w:r>
                  <w:rPr>
                    <w:sz w:val="17"/>
                  </w:rPr>
                  <w:t xml:space="preserve">528,048</w:t>
                </w:r>
              </w:p>
            </w:tc>
            <w:tc>
              <w:tcPr>
                <w:tcW w:w="833" w:type="pct"/>
              </w:tcPr>
              <w:p>
                <w:pPr>
                  <w:spacing w:after="0" w:line="240" w:lineRule="auto"/>
                  <w:ind w:firstLine="0"/>
                  <w:jc w:val="left"/>
                  <w:rPr>
                    <w:sz w:val="17"/>
                  </w:rPr>
                </w:pPr>
                <w:r>
                  <w:rPr>
                    <w:sz w:val="17"/>
                  </w:rPr>
                  <w:t xml:space="preserve">24,550</w:t>
                </w:r>
              </w:p>
            </w:tc>
            <w:tc>
              <w:tcPr>
                <w:tcW w:w="833" w:type="pct"/>
              </w:tcPr>
              <w:p>
                <w:pPr>
                  <w:spacing w:after="0" w:line="240" w:lineRule="auto"/>
                  <w:ind w:firstLine="0"/>
                  <w:jc w:val="left"/>
                  <w:rPr>
                    <w:sz w:val="17"/>
                  </w:rPr>
                </w:pPr>
                <w:r>
                  <w:rPr>
                    <w:sz w:val="17"/>
                  </w:rPr>
                  <w:t xml:space="preserve">5.5</w:t>
                </w:r>
              </w:p>
            </w:tc>
            <w:tc>
              <w:tcPr>
                <w:tcW w:w="833" w:type="pct"/>
              </w:tcPr>
              <w:p>
                <w:pPr>
                  <w:spacing w:after="0" w:line="240" w:lineRule="auto"/>
                  <w:ind w:firstLine="0"/>
                  <w:jc w:val="left"/>
                  <w:rPr>
                    <w:sz w:val="17"/>
                  </w:rPr>
                </w:pPr>
                <w:r>
                  <w:rPr>
                    <w:sz w:val="17"/>
                  </w:rPr>
                  <w:t xml:space="preserve">2.44</w:t>
                </w:r>
              </w:p>
            </w:tc>
          </w:tr>
          <w:tr>
            <w:trPr>
              <w:cantSplit/>
            </w:trPr>
            <w:tc>
              <w:tcPr>
                <w:tcW w:w="833" w:type="pct"/>
              </w:tcPr>
              <w:p>
                <w:pPr>
                  <w:spacing w:after="0" w:line="240" w:lineRule="auto"/>
                  <w:ind w:firstLine="0"/>
                  <w:jc w:val="left"/>
                  <w:rPr>
                    <w:sz w:val="17"/>
                  </w:rPr>
                </w:pPr>
                <w:r>
                  <w:rPr>
                    <w:sz w:val="17"/>
                  </w:rPr>
                  <w:t xml:space="preserve">Pruebas de humo</w:t>
                </w:r>
              </w:p>
            </w:tc>
            <w:tc>
              <w:tcPr>
                <w:tcW w:w="833" w:type="pct"/>
              </w:tcPr>
              <w:p>
                <w:pPr>
                  <w:spacing w:after="0" w:line="240" w:lineRule="auto"/>
                  <w:ind w:firstLine="0"/>
                  <w:jc w:val="left"/>
                  <w:rPr>
                    <w:sz w:val="17"/>
                  </w:rPr>
                </w:pPr>
                <w:r>
                  <w:rPr>
                    <w:sz w:val="17"/>
                  </w:rPr>
                  <w:t xml:space="preserve">81</w:t>
                </w:r>
              </w:p>
            </w:tc>
            <w:tc>
              <w:tcPr>
                <w:tcW w:w="833" w:type="pct"/>
              </w:tcPr>
              <w:p>
                <w:pPr>
                  <w:spacing w:after="0" w:line="240" w:lineRule="auto"/>
                  <w:ind w:firstLine="0"/>
                  <w:jc w:val="left"/>
                  <w:rPr>
                    <w:sz w:val="17"/>
                  </w:rPr>
                </w:pPr>
                <w:r>
                  <w:rPr>
                    <w:sz w:val="17"/>
                  </w:rPr>
                  <w:t xml:space="preserve">311,216</w:t>
                </w:r>
              </w:p>
            </w:tc>
            <w:tc>
              <w:tcPr>
                <w:tcW w:w="833" w:type="pct"/>
              </w:tcPr>
              <w:p>
                <w:pPr>
                  <w:spacing w:after="0" w:line="240" w:lineRule="auto"/>
                  <w:ind w:firstLine="0"/>
                  <w:jc w:val="left"/>
                  <w:rPr>
                    <w:sz w:val="17"/>
                  </w:rPr>
                </w:pPr>
                <w:r>
                  <w:rPr>
                    <w:sz w:val="17"/>
                  </w:rPr>
                  <w:t xml:space="preserve">34,958</w:t>
                </w:r>
              </w:p>
            </w:tc>
            <w:tc>
              <w:tcPr>
                <w:tcW w:w="833" w:type="pct"/>
              </w:tcPr>
              <w:p>
                <w:pPr>
                  <w:spacing w:after="0" w:line="240" w:lineRule="auto"/>
                  <w:ind w:firstLine="0"/>
                  <w:jc w:val="left"/>
                  <w:rPr>
                    <w:sz w:val="17"/>
                  </w:rPr>
                </w:pPr>
                <w:r>
                  <w:rPr>
                    <w:sz w:val="17"/>
                  </w:rPr>
                  <w:t xml:space="preserve">10.6</w:t>
                </w:r>
              </w:p>
            </w:tc>
            <w:tc>
              <w:tcPr>
                <w:tcW w:w="833" w:type="pct"/>
              </w:tcPr>
              <w:p>
                <w:pPr>
                  <w:spacing w:after="0" w:line="240" w:lineRule="auto"/>
                  <w:ind w:firstLine="0"/>
                  <w:jc w:val="left"/>
                  <w:rPr>
                    <w:sz w:val="17"/>
                  </w:rPr>
                </w:pPr>
                <w:r>
                  <w:rPr>
                    <w:sz w:val="17"/>
                  </w:rPr>
                  <w:t xml:space="preserve">2.19</w:t>
                </w:r>
              </w:p>
            </w:tc>
          </w:tr>
          <w:tr>
            <w:trPr>
              <w:cantSplit/>
            </w:trPr>
            <w:tc>
              <w:tcPr>
                <w:tcW w:w="833" w:type="pct"/>
              </w:tcPr>
              <w:p>
                <w:pPr>
                  <w:spacing w:after="0" w:line="240" w:lineRule="auto"/>
                  <w:ind w:firstLine="0"/>
                  <w:jc w:val="left"/>
                  <w:rPr>
                    <w:sz w:val="17"/>
                  </w:rPr>
                </w:pPr>
                <w:r>
                  <w:rPr>
                    <w:sz w:val="17"/>
                  </w:rPr>
                  <w:t xml:space="preserve">Corregir código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155,788</w:t>
                </w:r>
              </w:p>
            </w:tc>
            <w:tc>
              <w:tcPr>
                <w:tcW w:w="833" w:type="pct"/>
              </w:tcPr>
              <w:p>
                <w:pPr>
                  <w:spacing w:after="0" w:line="240" w:lineRule="auto"/>
                  <w:ind w:firstLine="0"/>
                  <w:jc w:val="left"/>
                  <w:rPr>
                    <w:sz w:val="17"/>
                  </w:rPr>
                </w:pPr>
                <w:r>
                  <w:rPr>
                    <w:sz w:val="17"/>
                  </w:rPr>
                  <w:t xml:space="preserve">16,142</w:t>
                </w:r>
              </w:p>
            </w:tc>
            <w:tc>
              <w:tcPr>
                <w:tcW w:w="833" w:type="pct"/>
              </w:tcPr>
              <w:p>
                <w:pPr>
                  <w:spacing w:after="0" w:line="240" w:lineRule="auto"/>
                  <w:ind w:firstLine="0"/>
                  <w:jc w:val="left"/>
                  <w:rPr>
                    <w:sz w:val="17"/>
                  </w:rPr>
                </w:pPr>
                <w:r>
                  <w:rPr>
                    <w:sz w:val="17"/>
                  </w:rPr>
                  <w:t xml:space="preserve">2.6</w:t>
                </w:r>
              </w:p>
            </w:tc>
            <w:tc>
              <w:tcPr>
                <w:tcW w:w="833" w:type="pct"/>
              </w:tcPr>
              <w:p>
                <w:pPr>
                  <w:spacing w:after="0" w:line="240" w:lineRule="auto"/>
                  <w:ind w:firstLine="0"/>
                  <w:jc w:val="left"/>
                  <w:rPr>
                    <w:sz w:val="17"/>
                  </w:rPr>
                </w:pPr>
                <w:r>
                  <w:rPr>
                    <w:sz w:val="17"/>
                  </w:rPr>
                  <w:t xml:space="preserve">0.95</w:t>
                </w:r>
              </w:p>
            </w:tc>
          </w:tr>
          <w:tr>
            <w:trPr>
              <w:cantSplit/>
            </w:trPr>
            <w:tc>
              <w:tcPr>
                <w:tcW w:w="833" w:type="pct"/>
              </w:tcPr>
              <w:p>
                <w:pPr>
                  <w:spacing w:after="0" w:line="240" w:lineRule="auto"/>
                  <w:ind w:firstLine="0"/>
                  <w:jc w:val="left"/>
                  <w:rPr>
                    <w:sz w:val="17"/>
                  </w:rPr>
                </w:pPr>
                <w:r>
                  <w:rPr>
                    <w:sz w:val="17"/>
                  </w:rPr>
                  <w:t xml:space="preserve">Descomponer</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146,207</w:t>
                </w:r>
              </w:p>
            </w:tc>
            <w:tc>
              <w:tcPr>
                <w:tcW w:w="833" w:type="pct"/>
              </w:tcPr>
              <w:p>
                <w:pPr>
                  <w:spacing w:after="0" w:line="240" w:lineRule="auto"/>
                  <w:ind w:firstLine="0"/>
                  <w:jc w:val="left"/>
                  <w:rPr>
                    <w:sz w:val="17"/>
                  </w:rPr>
                </w:pPr>
                <w:r>
                  <w:rPr>
                    <w:sz w:val="17"/>
                  </w:rPr>
                  <w:t xml:space="preserve">23,826</w:t>
                </w:r>
              </w:p>
            </w:tc>
            <w:tc>
              <w:tcPr>
                <w:tcW w:w="833" w:type="pct"/>
              </w:tcPr>
              <w:p>
                <w:pPr>
                  <w:spacing w:after="0" w:line="240" w:lineRule="auto"/>
                  <w:ind w:firstLine="0"/>
                  <w:jc w:val="left"/>
                  <w:rPr>
                    <w:sz w:val="17"/>
                  </w:rPr>
                </w:pPr>
                <w:r>
                  <w:rPr>
                    <w:sz w:val="17"/>
                  </w:rPr>
                  <w:t xml:space="preserve">4.5</w:t>
                </w:r>
              </w:p>
            </w:tc>
            <w:tc>
              <w:tcPr>
                <w:tcW w:w="833" w:type="pct"/>
              </w:tcPr>
              <w:p>
                <w:pPr>
                  <w:spacing w:after="0" w:line="240" w:lineRule="auto"/>
                  <w:ind w:firstLine="0"/>
                  <w:jc w:val="left"/>
                  <w:rPr>
                    <w:sz w:val="17"/>
                  </w:rPr>
                </w:pPr>
                <w:r>
                  <w:rPr>
                    <w:sz w:val="17"/>
                  </w:rPr>
                  <w:t xml:space="preserve">0.90</w:t>
                </w:r>
              </w:p>
            </w:tc>
          </w:tr>
          <w:tr>
            <w:trPr>
              <w:cantSplit/>
            </w:trPr>
            <w:tc>
              <w:tcPr>
                <w:tcW w:w="833" w:type="pct"/>
              </w:tcPr>
              <w:p>
                <w:pPr>
                  <w:spacing w:after="0" w:line="240" w:lineRule="auto"/>
                  <w:ind w:firstLine="0"/>
                  <w:jc w:val="left"/>
                  <w:rPr>
                    <w:sz w:val="17"/>
                  </w:rPr>
                </w:pPr>
                <w:r>
                  <w:rPr>
                    <w:sz w:val="17"/>
                  </w:rPr>
                  <w:t xml:space="preserve">Arquitectura</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53,454</w:t>
                </w:r>
              </w:p>
            </w:tc>
            <w:tc>
              <w:tcPr>
                <w:tcW w:w="833" w:type="pct"/>
              </w:tcPr>
              <w:p>
                <w:pPr>
                  <w:spacing w:after="0" w:line="240" w:lineRule="auto"/>
                  <w:ind w:firstLine="0"/>
                  <w:jc w:val="left"/>
                  <w:rPr>
                    <w:sz w:val="17"/>
                  </w:rPr>
                </w:pPr>
                <w:r>
                  <w:rPr>
                    <w:sz w:val="17"/>
                  </w:rPr>
                  <w:t xml:space="preserve">12,504</w:t>
                </w:r>
              </w:p>
            </w:tc>
            <w:tc>
              <w:tcPr>
                <w:tcW w:w="833" w:type="pct"/>
              </w:tcPr>
              <w:p>
                <w:pPr>
                  <w:spacing w:after="0" w:line="240" w:lineRule="auto"/>
                  <w:ind w:firstLine="0"/>
                  <w:jc w:val="left"/>
                  <w:rPr>
                    <w:sz w:val="17"/>
                  </w:rPr>
                </w:pPr>
                <w:r>
                  <w:rPr>
                    <w:sz w:val="17"/>
                  </w:rPr>
                  <w:t xml:space="preserve">2.0</w:t>
                </w:r>
              </w:p>
            </w:tc>
            <w:tc>
              <w:tcPr>
                <w:tcW w:w="833" w:type="pct"/>
              </w:tcPr>
              <w:p>
                <w:pPr>
                  <w:spacing w:after="0" w:line="240" w:lineRule="auto"/>
                  <w:ind w:firstLine="0"/>
                  <w:jc w:val="left"/>
                  <w:rPr>
                    <w:sz w:val="17"/>
                  </w:rPr>
                </w:pPr>
                <w:r>
                  <w:rPr>
                    <w:sz w:val="17"/>
                  </w:rPr>
                  <w:t xml:space="preserve">0.34</w:t>
                </w:r>
              </w:p>
            </w:tc>
          </w:tr>
          <w:tr>
            <w:trPr>
              <w:cantSplit/>
            </w:trPr>
            <w:tc>
              <w:tcPr>
                <w:tcW w:w="833" w:type="pct"/>
              </w:tcPr>
              <w:p>
                <w:pPr>
                  <w:spacing w:after="0" w:line="240" w:lineRule="auto"/>
                  <w:ind w:firstLine="0"/>
                  <w:jc w:val="left"/>
                  <w:rPr>
                    <w:sz w:val="17"/>
                  </w:rPr>
                </w:pPr>
                <w:r>
                  <w:rPr>
                    <w:sz w:val="17"/>
                  </w:rPr>
                  <w:t xml:space="preserve">Generar casos de prueba</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46,488</w:t>
                </w:r>
              </w:p>
            </w:tc>
            <w:tc>
              <w:tcPr>
                <w:tcW w:w="833" w:type="pct"/>
              </w:tcPr>
              <w:p>
                <w:pPr>
                  <w:spacing w:after="0" w:line="240" w:lineRule="auto"/>
                  <w:ind w:firstLine="0"/>
                  <w:jc w:val="left"/>
                  <w:rPr>
                    <w:sz w:val="17"/>
                  </w:rPr>
                </w:pPr>
                <w:r>
                  <w:rPr>
                    <w:sz w:val="17"/>
                  </w:rPr>
                  <w:t xml:space="preserve">10,407</w:t>
                </w:r>
              </w:p>
            </w:tc>
            <w:tc>
              <w:tcPr>
                <w:tcW w:w="833" w:type="pct"/>
              </w:tcPr>
              <w:p>
                <w:pPr>
                  <w:spacing w:after="0" w:line="240" w:lineRule="auto"/>
                  <w:ind w:firstLine="0"/>
                  <w:jc w:val="left"/>
                  <w:rPr>
                    <w:sz w:val="17"/>
                  </w:rPr>
                </w:pPr>
                <w:r>
                  <w:rPr>
                    <w:sz w:val="17"/>
                  </w:rPr>
                  <w:t xml:space="preserve">1.7</w:t>
                </w:r>
              </w:p>
            </w:tc>
            <w:tc>
              <w:tcPr>
                <w:tcW w:w="833" w:type="pct"/>
              </w:tcPr>
              <w:p>
                <w:pPr>
                  <w:spacing w:after="0" w:line="240" w:lineRule="auto"/>
                  <w:ind w:firstLine="0"/>
                  <w:jc w:val="left"/>
                  <w:rPr>
                    <w:sz w:val="17"/>
                  </w:rPr>
                </w:pPr>
                <w:r>
                  <w:rPr>
                    <w:sz w:val="17"/>
                  </w:rPr>
                  <w:t xml:space="preserve">0.31</w:t>
                </w:r>
              </w:p>
            </w:tc>
          </w:tr>
          <w:tr>
            <w:trPr>
              <w:cantSplit/>
            </w:trPr>
            <w:tc>
              <w:tcPr>
                <w:tcW w:w="833" w:type="pct"/>
              </w:tcPr>
              <w:p>
                <w:pPr>
                  <w:spacing w:after="0" w:line="240" w:lineRule="auto"/>
                  <w:ind w:firstLine="0"/>
                  <w:jc w:val="left"/>
                  <w:rPr>
                    <w:sz w:val="17"/>
                  </w:rPr>
                </w:pPr>
                <w:r>
                  <w:rPr>
                    <w:sz w:val="17"/>
                  </w:rPr>
                  <w:t xml:space="preserve">Leer y especificar HUs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49,121</w:t>
                </w:r>
              </w:p>
            </w:tc>
            <w:tc>
              <w:tcPr>
                <w:tcW w:w="833" w:type="pct"/>
              </w:tcPr>
              <w:p>
                <w:pPr>
                  <w:spacing w:after="0" w:line="240" w:lineRule="auto"/>
                  <w:ind w:firstLine="0"/>
                  <w:jc w:val="left"/>
                  <w:rPr>
                    <w:sz w:val="17"/>
                  </w:rPr>
                </w:pPr>
                <w:r>
                  <w:rPr>
                    <w:sz w:val="17"/>
                  </w:rPr>
                  <w:t xml:space="preserve">6,782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0.28</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128</w:t>
                </w:r>
              </w:p>
            </w:tc>
            <w:tc>
              <w:tcPr>
                <w:tcW w:w="833" w:type="pct"/>
              </w:tcPr>
              <w:p>
                <w:pPr>
                  <w:spacing w:after="0" w:line="240" w:lineRule="auto"/>
                  <w:ind w:firstLine="0"/>
                  <w:jc w:val="left"/>
                  <w:rPr>
                    <w:sz w:val="17"/>
                  </w:rPr>
                </w:pPr>
                <w:r>
                  <w:rPr>
                    <w:sz w:val="17"/>
                  </w:rPr>
                  <w:t xml:space="preserve">2,146,219</w:t>
                </w:r>
              </w:p>
            </w:tc>
            <w:tc>
              <w:tcPr>
                <w:tcW w:w="833" w:type="pct"/>
              </w:tcPr>
              <w:p>
                <w:pPr>
                  <w:spacing w:after="0" w:line="240" w:lineRule="auto"/>
                  <w:ind w:firstLine="0"/>
                  <w:jc w:val="left"/>
                  <w:rPr>
                    <w:sz w:val="17"/>
                  </w:rPr>
                </w:pPr>
                <w:r>
                  <w:rPr>
                    <w:sz w:val="17"/>
                  </w:rPr>
                  <w:t xml:space="preserve">516,483</w:t>
                </w:r>
              </w:p>
            </w:tc>
            <w:tc>
              <w:tcPr>
                <w:tcW w:w="833" w:type="pct"/>
              </w:tcPr>
              <w:p>
                <w:pPr>
                  <w:spacing w:after="0" w:line="240" w:lineRule="auto"/>
                  <w:ind w:firstLine="0"/>
                  <w:jc w:val="left"/>
                  <w:rPr>
                    <w:sz w:val="17"/>
                  </w:rPr>
                </w:pPr>
                <w:r>
                  <w:rPr>
                    <w:sz w:val="17"/>
                  </w:rPr>
                  <w:t xml:space="preserve">81.6</w:t>
                </w:r>
              </w:p>
            </w:tc>
            <w:tc>
              <w:tcPr>
                <w:tcW w:w="833" w:type="pct"/>
              </w:tcPr>
              <w:p>
                <w:pPr>
                  <w:spacing w:after="0" w:line="240" w:lineRule="auto"/>
                  <w:ind w:firstLine="0"/>
                  <w:jc w:val="left"/>
                  <w:rPr>
                    <w:sz w:val="17"/>
                  </w:rPr>
                </w:pPr>
                <w:r>
                  <w:rPr>
                    <w:sz w:val="17"/>
                  </w:rPr>
                  <w:t xml:space="preserve">16.67</w:t>
                </w:r>
              </w:p>
            </w:tc>
          </w:tr>
        </w:tbl>
        <w:p>
          <w:pPr>
            <w:spacing w:after="0" w:line="240" w:lineRule="auto"/>
            <w:ind w:firstLine="0"/>
          </w:pPr>
        </w:p>
        <w:p>
          <w:pPr>
            <w:pStyle w:val="Heading3"/>
            <w:ind w:firstLine="0"/>
            <w:jc w:val="left"/>
            <w:rPr>
              <w:color w:val="000000"/>
              <w:sz w:val="24"/>
            </w:rPr>
          </w:pPr>
          <w:r>
            <w:rPr>
              <w:color w:val="000000"/>
              <w:sz w:val="24"/>
            </w:rPr>
            <w:t xml:space="preserve">5.2.9 Segundo proyecto (E3c): ejecución de punta a punta</w:t>
          </w:r>
        </w:p>
        <w:p>
          <w:r>
            <w:t xml:space="preserve">En E3c el flujo también se completó con las tres HUs (IAT-2, autorregistro de cliente; IAT-3, inicio y cierre de sesión; IAT-4, recuperación de contraseña): 17 paquetes fusionados, la aplicación desplegada en Cloud Run y 101 casos de prueba ejecutados contra ella. La Tabla 5.7 resume cada etapa con la duración de sus procesos en Loom. La generación de código fue la etapa más larga y la única que el límite de sesión de la suscripción interrumpió: tres generaciones se cortaron y se repitieron.</w:t>
          </w:r>
        </w:p>
        <w:p>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xml:space="preserve">. Etapas de la corrida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Tiempo (min)</w:t>
                </w:r>
              </w:p>
            </w:tc>
          </w:tr>
          <w:tr>
            <w:trPr>
              <w:cantSplit/>
            </w:trPr>
            <w:tc>
              <w:tcPr>
                <w:tcW w:w="1667" w:type="pct"/>
              </w:tcPr>
              <w:p>
                <w:pPr>
                  <w:spacing w:after="0" w:line="240" w:lineRule="auto"/>
                  <w:ind w:firstLine="0"/>
                  <w:jc w:val="left"/>
                  <w:rPr>
                    <w:sz w:val="17"/>
                  </w:rPr>
                </w:pPr>
                <w:r>
                  <w:rPr>
                    <w:sz w:val="17"/>
                  </w:rPr>
                  <w:t xml:space="preserve">Leer y especificar 3 HUs</w:t>
                </w:r>
              </w:p>
            </w:tc>
            <w:tc>
              <w:tcPr>
                <w:tcW w:w="1667" w:type="pct"/>
              </w:tcPr>
              <w:p>
                <w:pPr>
                  <w:spacing w:after="0" w:line="240" w:lineRule="auto"/>
                  <w:ind w:firstLine="0"/>
                  <w:jc w:val="left"/>
                  <w:rPr>
                    <w:sz w:val="17"/>
                  </w:rPr>
                </w:pPr>
                <w:r>
                  <w:rPr>
                    <w:sz w:val="17"/>
                  </w:rPr>
                  <w:t xml:space="preserve">3 HUs, todas con supuestos por confirmar</w:t>
                </w:r>
              </w:p>
            </w:tc>
            <w:tc>
              <w:tcPr>
                <w:tcW w:w="1667" w:type="pct"/>
              </w:tcPr>
              <w:p>
                <w:pPr>
                  <w:spacing w:after="0" w:line="240" w:lineRule="auto"/>
                  <w:ind w:firstLine="0"/>
                  <w:jc w:val="left"/>
                  <w:rPr>
                    <w:sz w:val="17"/>
                  </w:rPr>
                </w:pPr>
                <w:r>
                  <w:rPr>
                    <w:sz w:val="17"/>
                  </w:rPr>
                  <w:t xml:space="preserve">1.9</w:t>
                </w:r>
              </w:p>
            </w:tc>
          </w:tr>
          <w:tr>
            <w:trPr>
              <w:cantSplit/>
            </w:trPr>
            <w:tc>
              <w:tcPr>
                <w:tcW w:w="1667" w:type="pct"/>
              </w:tcPr>
              <w:p>
                <w:pPr>
                  <w:spacing w:after="0" w:line="240" w:lineRule="auto"/>
                  <w:ind w:firstLine="0"/>
                  <w:jc w:val="left"/>
                  <w:rPr>
                    <w:sz w:val="17"/>
                  </w:rPr>
                </w:pPr>
                <w:r>
                  <w:rPr>
                    <w:sz w:val="17"/>
                  </w:rPr>
                  <w:t xml:space="preserve">Generar casos de prueba</w:t>
                </w:r>
              </w:p>
            </w:tc>
            <w:tc>
              <w:tcPr>
                <w:tcW w:w="1667" w:type="pct"/>
              </w:tcPr>
              <w:p>
                <w:pPr>
                  <w:spacing w:after="0" w:line="240" w:lineRule="auto"/>
                  <w:ind w:firstLine="0"/>
                  <w:jc w:val="left"/>
                  <w:rPr>
                    <w:sz w:val="17"/>
                  </w:rPr>
                </w:pPr>
                <w:r>
                  <w:rPr>
                    <w:sz w:val="17"/>
                  </w:rPr>
                  <w:t xml:space="preserve">101 casos (35, 39 y 27)</w:t>
                </w:r>
              </w:p>
            </w:tc>
            <w:tc>
              <w:tcPr>
                <w:tcW w:w="1667" w:type="pct"/>
              </w:tcPr>
              <w:p>
                <w:pPr>
                  <w:spacing w:after="0" w:line="240" w:lineRule="auto"/>
                  <w:ind w:firstLine="0"/>
                  <w:jc w:val="left"/>
                  <w:rPr>
                    <w:sz w:val="17"/>
                  </w:rPr>
                </w:pPr>
                <w:r>
                  <w:rPr>
                    <w:sz w:val="17"/>
                  </w:rPr>
                  <w:t xml:space="preserve">4.7</w:t>
                </w:r>
              </w:p>
            </w:tc>
          </w:tr>
          <w:tr>
            <w:trPr>
              <w:cantSplit/>
            </w:trPr>
            <w:tc>
              <w:tcPr>
                <w:tcW w:w="1667" w:type="pct"/>
              </w:tcPr>
              <w:p>
                <w:pPr>
                  <w:spacing w:after="0" w:line="240" w:lineRule="auto"/>
                  <w:ind w:firstLine="0"/>
                  <w:jc w:val="left"/>
                  <w:rPr>
                    <w:sz w:val="17"/>
                  </w:rPr>
                </w:pPr>
                <w:r>
                  <w:rPr>
                    <w:sz w:val="17"/>
                  </w:rPr>
                  <w:t xml:space="preserve">Generar la arquitectura</w:t>
                </w:r>
              </w:p>
            </w:tc>
            <w:tc>
              <w:tcPr>
                <w:tcW w:w="1667" w:type="pct"/>
              </w:tcPr>
              <w:p>
                <w:pPr>
                  <w:spacing w:after="0" w:line="240" w:lineRule="auto"/>
                  <w:ind w:firstLine="0"/>
                  <w:jc w:val="left"/>
                  <w:rPr>
                    <w:sz w:val="17"/>
                  </w:rPr>
                </w:pPr>
                <w:r>
                  <w:rPr>
                    <w:sz w:val="17"/>
                  </w:rPr>
                  <w:t xml:space="preserve">7 entidades, 8 decisiones, 10 preguntas abiertas</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Descomponer en paquetes</w:t>
                </w:r>
              </w:p>
            </w:tc>
            <w:tc>
              <w:tcPr>
                <w:tcW w:w="1667" w:type="pct"/>
              </w:tcPr>
              <w:p>
                <w:pPr>
                  <w:spacing w:after="0" w:line="240" w:lineRule="auto"/>
                  <w:ind w:firstLine="0"/>
                  <w:jc w:val="left"/>
                  <w:rPr>
                    <w:sz w:val="17"/>
                  </w:rPr>
                </w:pPr>
                <w:r>
                  <w:rPr>
                    <w:sz w:val="17"/>
                  </w:rPr>
                  <w:t xml:space="preserve">17 paquetes en 4 grupos, al primer intento</w:t>
                </w:r>
              </w:p>
            </w:tc>
            <w:tc>
              <w:tcPr>
                <w:tcW w:w="1667" w:type="pct"/>
              </w:tcPr>
              <w:p>
                <w:pPr>
                  <w:spacing w:after="0" w:line="240" w:lineRule="auto"/>
                  <w:ind w:firstLine="0"/>
                  <w:jc w:val="left"/>
                  <w:rPr>
                    <w:sz w:val="17"/>
                  </w:rPr>
                </w:pPr>
                <w:r>
                  <w:rPr>
                    <w:sz w:val="17"/>
                  </w:rPr>
                  <w:t xml:space="preserve">3.0</w:t>
                </w:r>
              </w:p>
            </w:tc>
          </w:tr>
          <w:tr>
            <w:trPr>
              <w:cantSplit/>
            </w:trPr>
            <w:tc>
              <w:tcPr>
                <w:tcW w:w="1667" w:type="pct"/>
              </w:tcPr>
              <w:p>
                <w:pPr>
                  <w:spacing w:after="0" w:line="240" w:lineRule="auto"/>
                  <w:ind w:firstLine="0"/>
                  <w:jc w:val="left"/>
                  <w:rPr>
                    <w:sz w:val="17"/>
                  </w:rPr>
                </w:pPr>
                <w:r>
                  <w:rPr>
                    <w:sz w:val="17"/>
                  </w:rPr>
                  <w:t xml:space="preserve">Generar el código de los 17 paquetes</w:t>
                </w:r>
              </w:p>
            </w:tc>
            <w:tc>
              <w:tcPr>
                <w:tcW w:w="1667" w:type="pct"/>
              </w:tcPr>
              <w:p>
                <w:pPr>
                  <w:spacing w:after="0" w:line="240" w:lineRule="auto"/>
                  <w:ind w:firstLine="0"/>
                  <w:jc w:val="left"/>
                  <w:rPr>
                    <w:sz w:val="17"/>
                  </w:rPr>
                </w:pPr>
                <w:r>
                  <w:rPr>
                    <w:sz w:val="17"/>
                  </w:rPr>
                  <w:t xml:space="preserve">17 Pull Requests abiertos</w:t>
                </w:r>
              </w:p>
            </w:tc>
            <w:tc>
              <w:tcPr>
                <w:tcW w:w="1667" w:type="pct"/>
              </w:tcPr>
              <w:p>
                <w:pPr>
                  <w:spacing w:after="0" w:line="240" w:lineRule="auto"/>
                  <w:ind w:firstLine="0"/>
                  <w:jc w:val="left"/>
                  <w:rPr>
                    <w:sz w:val="17"/>
                  </w:rPr>
                </w:pPr>
                <w:r>
                  <w:rPr>
                    <w:sz w:val="17"/>
                  </w:rPr>
                  <w:t xml:space="preserve">185.2</w:t>
                </w:r>
              </w:p>
            </w:tc>
          </w:tr>
          <w:tr>
            <w:trPr>
              <w:cantSplit/>
            </w:trPr>
            <w:tc>
              <w:tcPr>
                <w:tcW w:w="1667" w:type="pct"/>
              </w:tcPr>
              <w:p>
                <w:pPr>
                  <w:spacing w:after="0" w:line="240" w:lineRule="auto"/>
                  <w:ind w:firstLine="0"/>
                  <w:jc w:val="left"/>
                  <w:rPr>
                    <w:sz w:val="17"/>
                  </w:rPr>
                </w:pPr>
                <w:r>
                  <w:rPr>
                    <w:sz w:val="17"/>
                  </w:rPr>
                  <w:t xml:space="preserve">Revisar los 17 paquetes</w:t>
                </w:r>
              </w:p>
            </w:tc>
            <w:tc>
              <w:tcPr>
                <w:tcW w:w="1667" w:type="pct"/>
              </w:tcPr>
              <w:p>
                <w:pPr>
                  <w:spacing w:after="0" w:line="240" w:lineRule="auto"/>
                  <w:ind w:firstLine="0"/>
                  <w:jc w:val="left"/>
                  <w:rPr>
                    <w:sz w:val="17"/>
                  </w:rPr>
                </w:pPr>
                <w:r>
                  <w:rPr>
                    <w:sz w:val="17"/>
                  </w:rPr>
                  <w:t xml:space="preserve">17 revisiones</w:t>
                </w:r>
              </w:p>
            </w:tc>
            <w:tc>
              <w:tcPr>
                <w:tcW w:w="1667" w:type="pct"/>
              </w:tcPr>
              <w:p>
                <w:pPr>
                  <w:spacing w:after="0" w:line="240" w:lineRule="auto"/>
                  <w:ind w:firstLine="0"/>
                  <w:jc w:val="left"/>
                  <w:rPr>
                    <w:sz w:val="17"/>
                  </w:rPr>
                </w:pPr>
                <w:r>
                  <w:rPr>
                    <w:sz w:val="17"/>
                  </w:rPr>
                  <w:t xml:space="preserve">13.6</w:t>
                </w:r>
              </w:p>
            </w:tc>
          </w:tr>
          <w:tr>
            <w:trPr>
              <w:cantSplit/>
            </w:trPr>
            <w:tc>
              <w:tcPr>
                <w:tcW w:w="1667" w:type="pct"/>
              </w:tcPr>
              <w:p>
                <w:pPr>
                  <w:spacing w:after="0" w:line="240" w:lineRule="auto"/>
                  <w:ind w:firstLine="0"/>
                  <w:jc w:val="left"/>
                  <w:rPr>
                    <w:sz w:val="17"/>
                  </w:rPr>
                </w:pPr>
                <w:r>
                  <w:rPr>
                    <w:sz w:val="17"/>
                  </w:rPr>
                  <w:t xml:space="preserve">Ejecutar el release en Google Cloud</w:t>
                </w:r>
              </w:p>
            </w:tc>
            <w:tc>
              <w:tcPr>
                <w:tcW w:w="1667" w:type="pct"/>
              </w:tcPr>
              <w:p>
                <w:pPr>
                  <w:spacing w:after="0" w:line="240" w:lineRule="auto"/>
                  <w:ind w:firstLine="0"/>
                  <w:jc w:val="left"/>
                  <w:rPr>
                    <w:sz w:val="17"/>
                  </w:rPr>
                </w:pPr>
                <w:r>
                  <w:rPr>
                    <w:sz w:val="17"/>
                  </w:rPr>
                  <w:t xml:space="preserve">Correcto al tercer lanzamiento manual, tras cuatro automáticos fallidos</w:t>
                </w:r>
              </w:p>
            </w:tc>
            <w:tc>
              <w:tcPr>
                <w:tcW w:w="1667" w:type="pct"/>
              </w:tcPr>
              <w:p>
                <w:pPr>
                  <w:spacing w:after="0" w:line="240" w:lineRule="auto"/>
                  <w:ind w:firstLine="0"/>
                  <w:jc w:val="left"/>
                  <w:rPr>
                    <w:sz w:val="17"/>
                  </w:rPr>
                </w:pPr>
                <w:r>
                  <w:rPr>
                    <w:sz w:val="17"/>
                  </w:rPr>
                  <w:t xml:space="preserve">9.5</w:t>
                </w:r>
              </w:p>
            </w:tc>
          </w:tr>
          <w:tr>
            <w:trPr>
              <w:cantSplit/>
            </w:trPr>
            <w:tc>
              <w:tcPr>
                <w:tcW w:w="1667" w:type="pct"/>
              </w:tcPr>
              <w:p>
                <w:pPr>
                  <w:spacing w:after="0" w:line="240" w:lineRule="auto"/>
                  <w:ind w:firstLine="0"/>
                  <w:jc w:val="left"/>
                  <w:rPr>
                    <w:sz w:val="17"/>
                  </w:rPr>
                </w:pPr>
                <w:r>
                  <w:rPr>
                    <w:sz w:val="17"/>
                  </w:rPr>
                  <w:t xml:space="preserve">Pruebas de humo de las 3 HUs (corrida final de cada HU)</w:t>
                </w:r>
              </w:p>
            </w:tc>
            <w:tc>
              <w:tcPr>
                <w:tcW w:w="1667" w:type="pct"/>
              </w:tcPr>
              <w:p>
                <w:pPr>
                  <w:spacing w:after="0" w:line="240" w:lineRule="auto"/>
                  <w:ind w:firstLine="0"/>
                  <w:jc w:val="left"/>
                  <w:rPr>
                    <w:sz w:val="17"/>
                  </w:rPr>
                </w:pPr>
                <w:r>
                  <w:rPr>
                    <w:sz w:val="17"/>
                  </w:rPr>
                  <w:t xml:space="preserve">68 aprobados, 9 fallidos, 24 bloqueados</w:t>
                </w:r>
              </w:p>
            </w:tc>
            <w:tc>
              <w:tcPr>
                <w:tcW w:w="1667"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El tiempo de generación suma los 16 procesos que terminaron; no incluye los intentos cortados ni la espera de la integración continua. El release corresponde al intento que terminó bien.</w:t>
          </w:r>
        </w:p>
        <w:p>
          <w:r>
            <w:t xml:space="preserve">La especificación produjo más del doble de casos de prueba que en E1c (101 contra 44) para el mismo número de HUs, y la descomposición, cinco paquetes más (17 contra 12), en este caso sin fallar. Como el modelo también cambió (apartado 5.1.4), esas diferencias no se pueden atribuir solo al dominio.</w:t>
          </w:r>
        </w:p>
        <w:p>
          <w:pPr>
            <w:pStyle w:val="Heading3"/>
            <w:ind w:firstLine="0"/>
            <w:jc w:val="left"/>
            <w:rPr>
              <w:color w:val="000000"/>
              <w:sz w:val="24"/>
            </w:rPr>
          </w:pPr>
          <w:r>
            <w:rPr>
              <w:color w:val="000000"/>
              <w:sz w:val="24"/>
            </w:rPr>
            <w:t xml:space="preserve">5.2.10 Revisión, compuertas y corrección en E3c</w:t>
          </w:r>
        </w:p>
        <w:p>
          <w:r>
            <w:t xml:space="preserve">Las 17 primeras revisiones aprobaron siete paquetes y dejaron diez con observaciones (Tabla 5.8). Sumaron 59 observaciones, ninguna bloqueante, 10 mayores y 49 menores, con un promedio de 3.5 por paquete, menor que en E1c. Por fuente, predominan las de buenas prácticas (22), seguidas por arquitectura (11), pruebas (10), seguridad (9) y criterios de aceptación (7).</w:t>
          </w:r>
        </w:p>
        <w:p>
          <w:pPr>
            <w:pStyle w:val="Caption"/>
            <w:keepNext/>
            <w:ind w:firstLine="0"/>
            <w:jc w:val="left"/>
            <w:rPr>
              <w:b w:val="0"/>
            </w:rPr>
          </w:pPr>
          <w:r>
            <w:t>Tabla 5.</w:t>
          </w:r>
          <w:r>
            <w:fldChar w:fldCharType="begin"/>
          </w:r>
          <w:r>
            <w:instrText xml:space="preserve"> SEQ Tabla \s 1 </w:instrText>
          </w:r>
          <w:r>
            <w:fldChar w:fldCharType="separate"/>
          </w:r>
          <w:r>
            <w:rPr>
              <w:noProof/>
            </w:rPr>
            <w:t>8</w:t>
          </w:r>
          <w:r>
            <w:fldChar w:fldCharType="end"/>
          </w:r>
          <w:r>
            <w:t xml:space="preserve">. Primera revisión de cada paquete de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Veredicto</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#2</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#5</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#6</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#7</w:t>
                </w:r>
              </w:p>
            </w:tc>
          </w:tr>
          <w:tr>
            <w:trPr>
              <w:cantSplit/>
            </w:trPr>
            <w:tc>
              <w:tcPr>
                <w:tcW w:w="833" w:type="pct"/>
              </w:tcPr>
              <w:p>
                <w:pPr>
                  <w:spacing w:after="0" w:line="240" w:lineRule="auto"/>
                  <w:ind w:firstLine="0"/>
                  <w:jc w:val="left"/>
                  <w:rPr>
                    <w:sz w:val="17"/>
                  </w:rPr>
                </w:pPr>
                <w:r>
                  <w:rPr>
                    <w:sz w:val="17"/>
                  </w:rPr>
                  <w:t xml:space="preserve">HU-001/PT-03</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#8</w:t>
                </w:r>
              </w:p>
            </w:tc>
          </w:tr>
          <w:tr>
            <w:trPr>
              <w:cantSplit/>
            </w:trPr>
            <w:tc>
              <w:tcPr>
                <w:tcW w:w="833" w:type="pct"/>
              </w:tcPr>
              <w:p>
                <w:pPr>
                  <w:spacing w:after="0" w:line="240" w:lineRule="auto"/>
                  <w:ind w:firstLine="0"/>
                  <w:jc w:val="left"/>
                  <w:rPr>
                    <w:sz w:val="17"/>
                  </w:rPr>
                </w:pPr>
                <w:r>
                  <w:rPr>
                    <w:sz w:val="17"/>
                  </w:rPr>
                  <w:t xml:space="preserve">HU-001/PT-04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#9</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#10</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#11</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#12</w:t>
                </w:r>
              </w:p>
            </w:tc>
          </w:tr>
          <w:tr>
            <w:trPr>
              <w:cantSplit/>
            </w:trPr>
            <w:tc>
              <w:tcPr>
                <w:tcW w:w="833" w:type="pct"/>
              </w:tcPr>
              <w:p>
                <w:pPr>
                  <w:spacing w:after="0" w:line="240" w:lineRule="auto"/>
                  <w:ind w:firstLine="0"/>
                  <w:jc w:val="left"/>
                  <w:rPr>
                    <w:sz w:val="17"/>
                  </w:rPr>
                </w:pPr>
                <w:r>
                  <w:rPr>
                    <w:sz w:val="17"/>
                  </w:rPr>
                  <w:t xml:space="preserve">HU-002/PT-04</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#13</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#14</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Con observaciones</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#15</w:t>
                </w:r>
              </w:p>
            </w:tc>
          </w:tr>
          <w:tr>
            <w:trPr>
              <w:cantSplit/>
            </w:trPr>
            <w:tc>
              <w:tcPr>
                <w:tcW w:w="833" w:type="pct"/>
              </w:tcPr>
              <w:p>
                <w:pPr>
                  <w:spacing w:after="0" w:line="240" w:lineRule="auto"/>
                  <w:ind w:firstLine="0"/>
                  <w:jc w:val="left"/>
                  <w:rPr>
                    <w:sz w:val="17"/>
                  </w:rPr>
                </w:pPr>
                <w:r>
                  <w:rPr>
                    <w:sz w:val="17"/>
                  </w:rPr>
                  <w:t xml:space="preserve">HU-003/PT-03</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#16</w:t>
                </w:r>
              </w:p>
            </w:tc>
          </w:tr>
          <w:tr>
            <w:trPr>
              <w:cantSplit/>
            </w:trPr>
            <w:tc>
              <w:tcPr>
                <w:tcW w:w="833" w:type="pct"/>
              </w:tcPr>
              <w:p>
                <w:pPr>
                  <w:spacing w:after="0" w:line="240" w:lineRule="auto"/>
                  <w:ind w:firstLine="0"/>
                  <w:jc w:val="left"/>
                  <w:rPr>
                    <w:sz w:val="17"/>
                  </w:rPr>
                </w:pPr>
                <w:r>
                  <w:rPr>
                    <w:sz w:val="17"/>
                  </w:rPr>
                  <w:t xml:space="preserve">HU-003/PT-04</w:t>
                </w:r>
              </w:p>
            </w:tc>
            <w:tc>
              <w:tcPr>
                <w:tcW w:w="833" w:type="pct"/>
              </w:tcPr>
              <w:p>
                <w:pPr>
                  <w:spacing w:after="0" w:line="240" w:lineRule="auto"/>
                  <w:ind w:firstLine="0"/>
                  <w:jc w:val="left"/>
                  <w:rPr>
                    <w:sz w:val="17"/>
                  </w:rPr>
                </w:pPr>
                <w:r>
                  <w:rPr>
                    <w:sz w:val="17"/>
                  </w:rPr>
                  <w:t xml:space="preserve">Aprobado</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w:t>
                </w:r>
              </w:p>
            </w:tc>
          </w:tr>
        </w:tbl>
        <w:p>
          <w:pPr>
            <w:spacing w:after="0" w:line="240" w:lineRule="auto"/>
            <w:ind w:firstLine="0"/>
          </w:pPr>
        </w:p>
        <w:p>
          <w:r>
            <w:t xml:space="preserve">La diferencia más importante con E1c no está en la revisión sino en la compuerta de ejecución. En E3c la compuerta de compilación, análisis estático y pruebas no se ejecutó nunca: sus 21 registros son «omitida». La compuerta busca el </w:t>
          </w:r>
          <w:r>
            <w:rPr>
              <w:rFonts w:ascii="Consolas" w:hAnsi="Consolas" w:cs="Consolas"/>
            </w:rPr>
            <w:t xml:space="preserve">package.json</w:t>
          </w:r>
          <w:r>
            <w:t xml:space="preserve"> de cada capa en la carpeta de la capa y luego en la raíz; en este monorepo con </w:t>
          </w:r>
          <w:r>
            <w:rPr>
              <w:i/>
            </w:rPr>
            <w:t xml:space="preserve">workspaces</w:t>
          </w:r>
          <w:r>
            <w:t xml:space="preserve"> encontró el </w:t>
          </w:r>
          <w:r>
            <w:rPr>
              <w:rFonts w:ascii="Consolas" w:hAnsi="Consolas" w:cs="Consolas"/>
            </w:rPr>
            <w:t xml:space="preserve">package.json</w:t>
          </w:r>
          <w:r>
            <w:t xml:space="preserve"> raíz, que no tiene </w:t>
          </w:r>
          <w:r>
            <w:rPr>
              <w:rFonts w:ascii="Consolas" w:hAnsi="Consolas" w:cs="Consolas"/>
            </w:rPr>
            <w:t xml:space="preserve">tsconfig.json</w:t>
          </w:r>
          <w:r>
            <w:t xml:space="preserve">, y concluyó que no sabía compilar, sin revisar </w:t>
          </w:r>
          <w:r>
            <w:rPr>
              <w:rFonts w:ascii="Consolas" w:hAnsi="Consolas" w:cs="Consolas"/>
            </w:rPr>
            <w:t xml:space="preserve">apps/backend</w:t>
          </w:r>
          <w:r>
            <w:t xml:space="preserve"> ni </w:t>
          </w:r>
          <w:r>
            <w:rPr>
              <w:rFonts w:ascii="Consolas" w:hAnsi="Consolas" w:cs="Consolas"/>
            </w:rPr>
            <w:t xml:space="preserve">apps/frontend</w:t>
          </w:r>
          <w:r>
            <w:t xml:space="preserve">. La compuerta de archivos obligatorios sí actuó: rechazó cuatro veces una entrega de los paquetes BASE/PT-02 y BASE/PT-04 por archivos faltantes, y el agente los completó.</w:t>
          </w:r>
        </w:p>
        <w:p>
          <w:r>
            <w:t xml:space="preserve">Sin la compuerta, dos defectos llegaron hasta la integración continua de GitHub: una prueba de Vitest en rojo en HU-001/PT-04, un paquete que la revisión había aprobado, y una prueba de Jest en rojo en HU-002/PT-02. Loom no dejó fusionar ninguno de los dos. En los dos casos la corrección que resolvió el CI fue la que recibe el extracto del registro del CI (ADR-0078), disponible dentro de la acción «avanzar HU». La corrección del botón de la interfaz, que aplica solo las observaciones de la revisión, no resolvió la prueba de HU-002/PT-02, y para un paquete «Aprobado» la interfaz no ofrece corrección. En HU-002/PT-02, además, «avanzar HU» volvió a revisar el paquete antes de corregirlo, así que ese paquete tuvo tres revisiones en lugar de una. Con todo, las 19 revisiones de la corrida sumaron 69 observaciones (12 mayores y 57 menores).</w:t>
          </w:r>
        </w:p>
        <w:p>
          <w:pPr>
            <w:pStyle w:val="Heading3"/>
            <w:ind w:firstLine="0"/>
            <w:jc w:val="left"/>
            <w:rPr>
              <w:color w:val="000000"/>
              <w:sz w:val="24"/>
            </w:rPr>
          </w:pPr>
          <w:r>
            <w:rPr>
              <w:color w:val="000000"/>
              <w:sz w:val="24"/>
            </w:rPr>
            <w:t xml:space="preserve">5.2.11 Despliegue y validación funcional en E3c</w:t>
          </w:r>
        </w:p>
        <w:p>
          <w:r>
            <w:t xml:space="preserve">El release automático, que Loom lanza al completarse el esqueleto y cada HU, falló las cuatro veces: suponía </w:t>
          </w:r>
          <w:r>
            <w:rPr>
              <w:rFonts w:ascii="Consolas" w:hAnsi="Consolas" w:cs="Consolas"/>
            </w:rPr>
            <w:t xml:space="preserve">backend/</w:t>
          </w:r>
          <w:r>
            <w:t xml:space="preserve"> y </w:t>
          </w:r>
          <w:r>
            <w:rPr>
              <w:rFonts w:ascii="Consolas" w:hAnsi="Consolas" w:cs="Consolas"/>
            </w:rPr>
            <w:t xml:space="preserve">frontend/</w:t>
          </w:r>
          <w:r>
            <w:t xml:space="preserve"> en la raíz del repositorio y no encontró los servicios. Con ese supuesto corregido (ADR-0086), el primer lanzamiento manual construyó las imágenes, pero el backend no arrancó: Prisma exige una cadena de conexión </w:t>
          </w:r>
          <w:r>
            <w:rPr>
              <w:rFonts w:ascii="Consolas" w:hAnsi="Consolas" w:cs="Consolas"/>
            </w:rPr>
            <w:t xml:space="preserve">DATABASE_URL</w:t>
          </w:r>
          <w:r>
            <w:t xml:space="preserve"> que el release solo entregaba en formato JDBC, para Java. El segundo, con esa cadena y con las variables de entorno del Proyecto ajustadas a las que exige el código generado, desplegó los dos servicios, pero el frontend quedó apuntando a su propio dominio porque fija la dirección de la API al compilar. El tercero, con esa dirección como argumento de construcción (ADR-0087), dejó la aplicación funcionando en 9.5 minutos. Loom registró como «terminados» los cuatro lanzamientos automáticos aunque habían fallado; el fallo solo quedó en el resultado del release del Proyecto.</w:t>
          </w:r>
        </w:p>
        <w:p>
          <w:r>
            <w:t xml:space="preserve">Las pruebas de humo de la HU-001 se corrieron tres veces. Las dos primeras dejaron 33 de 35 casos bloqueados por «no hay cuenta de prueba para el rol»: los casos de E3c usan 32 roles distintos, escritos en texto libre («invitado (sin sesión); admin para verificar», «cliente_bloqueable», «personal_interno»…), y Loom buscaba la cuenta por el nombre exacto entre las tres configuradas. La segunda corrida repitió el resultado porque el backend de Loom no había recargado el cambio. Con la asignación por actor principal (ADR-0088) y una cuenta de prueba por cada rol que usan los casos, la tercera dio 28 aprobados, 4 fallidos y 3 bloqueados. La Tabla 5.9 resume la corrida final de cada HU.</w:t>
          </w:r>
        </w:p>
        <w:p>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xml:space="preserve">. Resultado de las pruebas de humo de E3c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 (min)</w:t>
                </w:r>
              </w:p>
            </w:tc>
          </w:tr>
          <w:tr>
            <w:trPr>
              <w:cantSplit/>
            </w:trPr>
            <w:tc>
              <w:tcPr>
                <w:tcW w:w="833" w:type="pct"/>
              </w:tcPr>
              <w:p>
                <w:pPr>
                  <w:spacing w:after="0" w:line="240" w:lineRule="auto"/>
                  <w:ind w:firstLine="0"/>
                  <w:jc w:val="left"/>
                  <w:rPr>
                    <w:sz w:val="17"/>
                  </w:rPr>
                </w:pPr>
                <w:r>
                  <w:rPr>
                    <w:sz w:val="17"/>
                  </w:rPr>
                  <w:t xml:space="preserve">HU-001, autorregistro</w:t>
                </w:r>
              </w:p>
            </w:tc>
            <w:tc>
              <w:tcPr>
                <w:tcW w:w="833" w:type="pct"/>
              </w:tcPr>
              <w:p>
                <w:pPr>
                  <w:spacing w:after="0" w:line="240" w:lineRule="auto"/>
                  <w:ind w:firstLine="0"/>
                  <w:jc w:val="left"/>
                  <w:rPr>
                    <w:sz w:val="17"/>
                  </w:rPr>
                </w:pPr>
                <w:r>
                  <w:rPr>
                    <w:sz w:val="17"/>
                  </w:rPr>
                  <w:t xml:space="preserve">35</w:t>
                </w:r>
              </w:p>
            </w:tc>
            <w:tc>
              <w:tcPr>
                <w:tcW w:w="833" w:type="pct"/>
              </w:tcPr>
              <w:p>
                <w:pPr>
                  <w:spacing w:after="0" w:line="240" w:lineRule="auto"/>
                  <w:ind w:firstLine="0"/>
                  <w:jc w:val="left"/>
                  <w:rPr>
                    <w:sz w:val="17"/>
                  </w:rPr>
                </w:pPr>
                <w:r>
                  <w:rPr>
                    <w:sz w:val="17"/>
                  </w:rPr>
                  <w:t xml:space="preserve">28</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17.8</w:t>
                </w:r>
              </w:p>
            </w:tc>
          </w:tr>
          <w:tr>
            <w:trPr>
              <w:cantSplit/>
            </w:trPr>
            <w:tc>
              <w:tcPr>
                <w:tcW w:w="833" w:type="pct"/>
              </w:tcPr>
              <w:p>
                <w:pPr>
                  <w:spacing w:after="0" w:line="240" w:lineRule="auto"/>
                  <w:ind w:firstLine="0"/>
                  <w:jc w:val="left"/>
                  <w:rPr>
                    <w:sz w:val="17"/>
                  </w:rPr>
                </w:pPr>
                <w:r>
                  <w:rPr>
                    <w:sz w:val="17"/>
                  </w:rPr>
                  <w:t xml:space="preserve">HU-002, inicio y cierre de sesión</w:t>
                </w:r>
              </w:p>
            </w:tc>
            <w:tc>
              <w:tcPr>
                <w:tcW w:w="833" w:type="pct"/>
              </w:tcPr>
              <w:p>
                <w:pPr>
                  <w:spacing w:after="0" w:line="240" w:lineRule="auto"/>
                  <w:ind w:firstLine="0"/>
                  <w:jc w:val="left"/>
                  <w:rPr>
                    <w:sz w:val="17"/>
                  </w:rPr>
                </w:pPr>
                <w:r>
                  <w:rPr>
                    <w:sz w:val="17"/>
                  </w:rPr>
                  <w:t xml:space="preserve">39</w:t>
                </w:r>
              </w:p>
            </w:tc>
            <w:tc>
              <w:tcPr>
                <w:tcW w:w="833" w:type="pct"/>
              </w:tcPr>
              <w:p>
                <w:pPr>
                  <w:spacing w:after="0" w:line="240" w:lineRule="auto"/>
                  <w:ind w:firstLine="0"/>
                  <w:jc w:val="left"/>
                  <w:rPr>
                    <w:sz w:val="17"/>
                  </w:rPr>
                </w:pPr>
                <w:r>
                  <w:rPr>
                    <w:sz w:val="17"/>
                  </w:rPr>
                  <w:t xml:space="preserve">19</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34.7</w:t>
                </w:r>
              </w:p>
            </w:tc>
          </w:tr>
          <w:tr>
            <w:trPr>
              <w:cantSplit/>
            </w:trPr>
            <w:tc>
              <w:tcPr>
                <w:tcW w:w="833" w:type="pct"/>
              </w:tcPr>
              <w:p>
                <w:pPr>
                  <w:spacing w:after="0" w:line="240" w:lineRule="auto"/>
                  <w:ind w:firstLine="0"/>
                  <w:jc w:val="left"/>
                  <w:rPr>
                    <w:sz w:val="17"/>
                  </w:rPr>
                </w:pPr>
                <w:r>
                  <w:rPr>
                    <w:sz w:val="17"/>
                  </w:rPr>
                  <w:t xml:space="preserve">HU-003, recuperación de contraseña</w:t>
                </w:r>
              </w:p>
            </w:tc>
            <w:tc>
              <w:tcPr>
                <w:tcW w:w="833" w:type="pct"/>
              </w:tcPr>
              <w:p>
                <w:pPr>
                  <w:spacing w:after="0" w:line="240" w:lineRule="auto"/>
                  <w:ind w:firstLine="0"/>
                  <w:jc w:val="left"/>
                  <w:rPr>
                    <w:sz w:val="17"/>
                  </w:rPr>
                </w:pPr>
                <w:r>
                  <w:rPr>
                    <w:sz w:val="17"/>
                  </w:rPr>
                  <w:t xml:space="preserve">27</w:t>
                </w:r>
              </w:p>
            </w:tc>
            <w:tc>
              <w:tcPr>
                <w:tcW w:w="833" w:type="pct"/>
              </w:tcPr>
              <w:p>
                <w:pPr>
                  <w:spacing w:after="0" w:line="240" w:lineRule="auto"/>
                  <w:ind w:firstLine="0"/>
                  <w:jc w:val="left"/>
                  <w:rPr>
                    <w:sz w:val="17"/>
                  </w:rPr>
                </w:pPr>
                <w:r>
                  <w:rPr>
                    <w:sz w:val="17"/>
                  </w:rPr>
                  <w:t xml:space="preserve">21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11.2</w:t>
                </w:r>
              </w:p>
            </w:tc>
          </w:tr>
          <w:tr>
            <w:trPr>
              <w:cantSplit/>
            </w:trPr>
            <w:tc>
              <w:tcPr>
                <w:tcW w:w="833" w:type="pct"/>
              </w:tcPr>
              <w:p>
                <w:pPr>
                  <w:spacing w:after="0" w:line="240" w:lineRule="auto"/>
                  <w:ind w:firstLine="0"/>
                  <w:jc w:val="left"/>
                  <w:rPr>
                    <w:sz w:val="17"/>
                  </w:rPr>
                </w:pPr>
                <w:r>
                  <w:rPr>
                    <w:sz w:val="17"/>
                  </w:rPr>
                  <w:t xml:space="preserve">Total</w:t>
                </w:r>
              </w:p>
            </w:tc>
            <w:tc>
              <w:tcPr>
                <w:tcW w:w="833" w:type="pct"/>
              </w:tcPr>
              <w:p>
                <w:pPr>
                  <w:spacing w:after="0" w:line="240" w:lineRule="auto"/>
                  <w:ind w:firstLine="0"/>
                  <w:jc w:val="left"/>
                  <w:rPr>
                    <w:sz w:val="17"/>
                  </w:rPr>
                </w:pPr>
                <w:r>
                  <w:rPr>
                    <w:sz w:val="17"/>
                  </w:rPr>
                  <w:t xml:space="preserve">101</w:t>
                </w:r>
              </w:p>
            </w:tc>
            <w:tc>
              <w:tcPr>
                <w:tcW w:w="833" w:type="pct"/>
              </w:tcPr>
              <w:p>
                <w:pPr>
                  <w:spacing w:after="0" w:line="240" w:lineRule="auto"/>
                  <w:ind w:firstLine="0"/>
                  <w:jc w:val="left"/>
                  <w:rPr>
                    <w:sz w:val="17"/>
                  </w:rPr>
                </w:pPr>
                <w:r>
                  <w:rPr>
                    <w:sz w:val="17"/>
                  </w:rPr>
                  <w:t xml:space="preserve">68</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24</w:t>
                </w:r>
              </w:p>
            </w:tc>
            <w:tc>
              <w:tcPr>
                <w:tcW w:w="833" w:type="pct"/>
              </w:tcPr>
              <w:p>
                <w:pPr>
                  <w:spacing w:after="0" w:line="240" w:lineRule="auto"/>
                  <w:ind w:firstLine="0"/>
                  <w:jc w:val="left"/>
                  <w:rPr>
                    <w:sz w:val="17"/>
                  </w:rPr>
                </w:pPr>
                <w:r>
                  <w:rPr>
                    <w:sz w:val="17"/>
                  </w:rPr>
                  <w:t xml:space="preserve">63.7</w:t>
                </w:r>
              </w:p>
            </w:tc>
          </w:tr>
        </w:tbl>
        <w:p>
          <w:pPr>
            <w:spacing w:after="0" w:line="240" w:lineRule="auto"/>
            <w:ind w:firstLine="0"/>
          </w:pPr>
        </w:p>
        <w:p>
          <w:r>
            <w:t xml:space="preserve">Los nueve fallos son omisiones de la aplicación generada. Recepción no tiene la sección de clientes que piden los criterios, el administrador no tiene módulo de auditoría, entrar a </w:t>
          </w:r>
          <w:r>
            <w:rPr>
              <w:rFonts w:ascii="Consolas" w:hAnsi="Consolas" w:cs="Consolas"/>
            </w:rPr>
            <w:t xml:space="preserve">/login</w:t>
          </w:r>
          <w:r>
            <w:t xml:space="preserve"> con sesión iniciada no redirige a la pantalla inicial, el personal interno puede abrir la pantalla de vehículos del cliente, y no hay documentación de la API publicada. La ausencia de una bitácora visible para el administrador es la misma omisión que produjo los dos fallos de E1c.</w:t>
          </w:r>
        </w:p>
        <w:p>
          <w:r>
            <w:t xml:space="preserve">Los 24 bloqueos tienen tres causas. La primera es el orden de los casos: la cuenta preparada para probar el bloqueo por intentos fallidos quedó bloqueada por los primeros casos y arrastró a los siguientes (HU-002). La segunda son casos que el agente de navegador no puede montar, como esperar 25 o 30 minutos de inactividad o medir tiempos de 40 peticiones a la API. La tercera son precondiciones que dependen del correo, como abrir un enlace de verificación o de restablecimiento que el ambiente no permite leer.</w:t>
          </w:r>
        </w:p>
        <w:p>
          <w:pPr>
            <w:pStyle w:val="Heading3"/>
            <w:ind w:firstLine="0"/>
            <w:jc w:val="left"/>
            <w:rPr>
              <w:color w:val="000000"/>
              <w:sz w:val="24"/>
            </w:rPr>
          </w:pPr>
          <w:r>
            <w:rPr>
              <w:color w:val="000000"/>
              <w:sz w:val="24"/>
            </w:rPr>
            <w:t xml:space="preserve">5.2.12 Lo que cambió en Loom para el segundo proyecto</w:t>
          </w:r>
        </w:p>
        <w:p>
          <w:r>
            <w:t xml:space="preserve">E3c es la primera evidencia de generalización del flujo: la misma plataforma, con las mismas </w:t>
          </w:r>
          <w:r>
            <w:rPr>
              <w:i/>
            </w:rPr>
            <w:t xml:space="preserve">skills</w:t>
          </w:r>
          <w:r>
            <w:t xml:space="preserve">, completó el ciclo en un segundo dominio y en un segundo stack. No lo hizo solo con cambios de configuración. Cuatro supuestos de Loom estaban atados a la forma del primer proyecto (Tabla 5.10): tres se corrigieron durante la corrida, cada uno con su registro de decisión, y el cuarto, la compuerta de compilación, sigue abierto.</w:t>
          </w:r>
        </w:p>
        <w:p>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xml:space="preserve">. Supuestos de Loom que no generalizaron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Supuesto</w:t>
                </w:r>
              </w:p>
            </w:tc>
            <w:tc>
              <w:tcPr>
                <w:tcW w:w="1667" w:type="pct"/>
                <w:shd w:val="clear" w:color="auto" w:fill="E5E5ED"/>
              </w:tcPr>
              <w:p>
                <w:pPr>
                  <w:spacing w:after="0" w:line="240" w:lineRule="auto"/>
                  <w:ind w:firstLine="0"/>
                  <w:jc w:val="left"/>
                  <w:rPr>
                    <w:b/>
                    <w:sz w:val="17"/>
                  </w:rPr>
                </w:pPr>
                <w:r>
                  <w:rPr>
                    <w:b/>
                    <w:sz w:val="17"/>
                  </w:rPr>
                  <w:t xml:space="preserve">Efecto en E3c</w:t>
                </w:r>
              </w:p>
            </w:tc>
            <w:tc>
              <w:tcPr>
                <w:tcW w:w="1667" w:type="pct"/>
                <w:shd w:val="clear" w:color="auto" w:fill="E5E5ED"/>
              </w:tcPr>
              <w:p>
                <w:pPr>
                  <w:spacing w:after="0" w:line="240" w:lineRule="auto"/>
                  <w:ind w:firstLine="0"/>
                  <w:jc w:val="left"/>
                  <w:rPr>
                    <w:b/>
                    <w:sz w:val="17"/>
                  </w:rPr>
                </w:pPr>
                <w:r>
                  <w:rPr>
                    <w:b/>
                    <w:sz w:val="17"/>
                  </w:rPr>
                  <w:t xml:space="preserve">Corrección</w:t>
                </w:r>
              </w:p>
            </w:tc>
          </w:tr>
          <w:tr>
            <w:trPr>
              <w:cantSplit/>
            </w:trPr>
            <w:tc>
              <w:tcPr>
                <w:tcW w:w="1667" w:type="pct"/>
              </w:tcPr>
              <w:p>
                <w:pPr>
                  <w:spacing w:after="0" w:line="240" w:lineRule="auto"/>
                  <w:ind w:firstLine="0"/>
                  <w:jc w:val="left"/>
                  <w:rPr>
                    <w:sz w:val="17"/>
                  </w:rPr>
                </w:pPr>
                <w:r>
                  <w:rPr>
                    <w:sz w:val="17"/>
                  </w:rPr>
                  <w:t xml:space="preserve">El release busca </w:t>
                </w:r>
                <w:r>
                  <w:rPr>
                    <w:rFonts w:ascii="Consolas" w:hAnsi="Consolas" w:cs="Consolas"/>
                    <w:sz w:val="17"/>
                  </w:rPr>
                  <w:t xml:space="preserve">backend/</w:t>
                </w:r>
                <w:r>
                  <w:rPr>
                    <w:sz w:val="17"/>
                  </w:rPr>
                  <w:t xml:space="preserve"> y </w:t>
                </w:r>
                <w:r>
                  <w:rPr>
                    <w:rFonts w:ascii="Consolas" w:hAnsi="Consolas" w:cs="Consolas"/>
                    <w:sz w:val="17"/>
                  </w:rPr>
                  <w:t xml:space="preserve">frontend/</w:t>
                </w:r>
                <w:r>
                  <w:rPr>
                    <w:sz w:val="17"/>
                  </w:rPr>
                  <w:t xml:space="preserve"> en la raíz y construye cada uno desde su carpeta</w:t>
                </w:r>
              </w:p>
            </w:tc>
            <w:tc>
              <w:tcPr>
                <w:tcW w:w="1667" w:type="pct"/>
              </w:tcPr>
              <w:p>
                <w:pPr>
                  <w:spacing w:after="0" w:line="240" w:lineRule="auto"/>
                  <w:ind w:firstLine="0"/>
                  <w:jc w:val="left"/>
                  <w:rPr>
                    <w:sz w:val="17"/>
                  </w:rPr>
                </w:pPr>
                <w:r>
                  <w:rPr>
                    <w:sz w:val="17"/>
                  </w:rPr>
                  <w:t xml:space="preserve">El release automático falló al completarse cada HU</w:t>
                </w:r>
              </w:p>
            </w:tc>
            <w:tc>
              <w:tcPr>
                <w:tcW w:w="1667" w:type="pct"/>
              </w:tcPr>
              <w:p>
                <w:pPr>
                  <w:spacing w:after="0" w:line="240" w:lineRule="auto"/>
                  <w:ind w:firstLine="0"/>
                  <w:jc w:val="left"/>
                  <w:rPr>
                    <w:sz w:val="17"/>
                  </w:rPr>
                </w:pPr>
                <w:r>
                  <w:rPr>
                    <w:sz w:val="17"/>
                  </w:rPr>
                  <w:t xml:space="preserve">ADR-0086: busca también en </w:t>
                </w:r>
                <w:r>
                  <w:rPr>
                    <w:rFonts w:ascii="Consolas" w:hAnsi="Consolas" w:cs="Consolas"/>
                    <w:sz w:val="17"/>
                  </w:rPr>
                  <w:t xml:space="preserve">apps/</w:t>
                </w:r>
                <w:r>
                  <w:rPr>
                    <w:sz w:val="17"/>
                  </w:rPr>
                  <w:t xml:space="preserve">, </w:t>
                </w:r>
                <w:r>
                  <w:rPr>
                    <w:rFonts w:ascii="Consolas" w:hAnsi="Consolas" w:cs="Consolas"/>
                    <w:sz w:val="17"/>
                  </w:rPr>
                  <w:t xml:space="preserve">packages/</w:t>
                </w:r>
                <w:r>
                  <w:rPr>
                    <w:sz w:val="17"/>
                  </w:rPr>
                  <w:t xml:space="preserve"> y </w:t>
                </w:r>
                <w:r>
                  <w:rPr>
                    <w:rFonts w:ascii="Consolas" w:hAnsi="Consolas" w:cs="Consolas"/>
                    <w:sz w:val="17"/>
                  </w:rPr>
                  <w:t xml:space="preserve">services/</w:t>
                </w:r>
                <w:r>
                  <w:rPr>
                    <w:sz w:val="17"/>
                  </w:rPr>
                  <w:t xml:space="preserve">, y construye desde la raíz con </w:t>
                </w:r>
                <w:r>
                  <w:rPr>
                    <w:rFonts w:ascii="Consolas" w:hAnsi="Consolas" w:cs="Consolas"/>
                    <w:sz w:val="17"/>
                  </w:rPr>
                  <w:t xml:space="preserve">-f</w:t>
                </w:r>
                <w:r>
                  <w:rPr>
                    <w:sz w:val="17"/>
                  </w:rPr>
                  <w:t xml:space="preserve"> cuando el Dockerfile lo pide</w:t>
                </w:r>
              </w:p>
            </w:tc>
          </w:tr>
          <w:tr>
            <w:trPr>
              <w:cantSplit/>
            </w:trPr>
            <w:tc>
              <w:tcPr>
                <w:tcW w:w="1667" w:type="pct"/>
              </w:tcPr>
              <w:p>
                <w:pPr>
                  <w:spacing w:after="0" w:line="240" w:lineRule="auto"/>
                  <w:ind w:firstLine="0"/>
                  <w:jc w:val="left"/>
                  <w:rPr>
                    <w:sz w:val="17"/>
                  </w:rPr>
                </w:pPr>
                <w:r>
                  <w:rPr>
                    <w:sz w:val="17"/>
                  </w:rPr>
                  <w:t xml:space="preserve">La base de datos se entrega en variables sueltas y en JDBC; la URL de la API llega al frontend en tiempo de ejecución</w:t>
                </w:r>
              </w:p>
            </w:tc>
            <w:tc>
              <w:tcPr>
                <w:tcW w:w="1667" w:type="pct"/>
              </w:tcPr>
              <w:p>
                <w:pPr>
                  <w:spacing w:after="0" w:line="240" w:lineRule="auto"/>
                  <w:ind w:firstLine="0"/>
                  <w:jc w:val="left"/>
                  <w:rPr>
                    <w:sz w:val="17"/>
                  </w:rPr>
                </w:pPr>
                <w:r>
                  <w:rPr>
                    <w:sz w:val="17"/>
                  </w:rPr>
                  <w:t xml:space="preserve">El backend no arrancó y el frontend apuntaba a su propio dominio</w:t>
                </w:r>
              </w:p>
            </w:tc>
            <w:tc>
              <w:tcPr>
                <w:tcW w:w="1667" w:type="pct"/>
              </w:tcPr>
              <w:p>
                <w:pPr>
                  <w:spacing w:after="0" w:line="240" w:lineRule="auto"/>
                  <w:ind w:firstLine="0"/>
                  <w:jc w:val="left"/>
                  <w:rPr>
                    <w:sz w:val="17"/>
                  </w:rPr>
                </w:pPr>
                <w:r>
                  <w:rPr>
                    <w:sz w:val="17"/>
                  </w:rPr>
                  <w:t xml:space="preserve">ADR-0087: </w:t>
                </w:r>
                <w:r>
                  <w:rPr>
                    <w:rFonts w:ascii="Consolas" w:hAnsi="Consolas" w:cs="Consolas"/>
                    <w:sz w:val="17"/>
                  </w:rPr>
                  <w:t xml:space="preserve">DATABASE_URL</w:t>
                </w:r>
                <w:r>
                  <w:rPr>
                    <w:sz w:val="17"/>
                  </w:rPr>
                  <w:t xml:space="preserve"> como secreto para stacks que no son Java y URL de la API como </w:t>
                </w:r>
                <w:r>
                  <w:rPr>
                    <w:i/>
                    <w:sz w:val="17"/>
                  </w:rPr>
                  <w:t xml:space="preserve">build-arg</w:t>
                </w:r>
              </w:p>
            </w:tc>
          </w:tr>
          <w:tr>
            <w:trPr>
              <w:cantSplit/>
            </w:trPr>
            <w:tc>
              <w:tcPr>
                <w:tcW w:w="1667" w:type="pct"/>
              </w:tcPr>
              <w:p>
                <w:pPr>
                  <w:spacing w:after="0" w:line="240" w:lineRule="auto"/>
                  <w:ind w:firstLine="0"/>
                  <w:jc w:val="left"/>
                  <w:rPr>
                    <w:sz w:val="17"/>
                  </w:rPr>
                </w:pPr>
                <w:r>
                  <w:rPr>
                    <w:sz w:val="17"/>
                  </w:rPr>
                  <w:t xml:space="preserve">El rol de cada caso de prueba coincide con el nombre de una cuenta configurada</w:t>
                </w:r>
              </w:p>
            </w:tc>
            <w:tc>
              <w:tcPr>
                <w:tcW w:w="1667" w:type="pct"/>
              </w:tcPr>
              <w:p>
                <w:pPr>
                  <w:spacing w:after="0" w:line="240" w:lineRule="auto"/>
                  <w:ind w:firstLine="0"/>
                  <w:jc w:val="left"/>
                  <w:rPr>
                    <w:sz w:val="17"/>
                  </w:rPr>
                </w:pPr>
                <w:r>
                  <w:rPr>
                    <w:sz w:val="17"/>
                  </w:rPr>
                  <w:t xml:space="preserve">33 de 35 casos bloqueados en HU-001</w:t>
                </w:r>
              </w:p>
            </w:tc>
            <w:tc>
              <w:tcPr>
                <w:tcW w:w="1667" w:type="pct"/>
              </w:tcPr>
              <w:p>
                <w:pPr>
                  <w:spacing w:after="0" w:line="240" w:lineRule="auto"/>
                  <w:ind w:firstLine="0"/>
                  <w:jc w:val="left"/>
                  <w:rPr>
                    <w:sz w:val="17"/>
                  </w:rPr>
                </w:pPr>
                <w:r>
                  <w:rPr>
                    <w:sz w:val="17"/>
                  </w:rPr>
                  <w:t xml:space="preserve">ADR-0088: se asigna la cuenta por el actor principal del rol; se configuraron cuentas por rol</w:t>
                </w:r>
              </w:p>
            </w:tc>
          </w:tr>
          <w:tr>
            <w:trPr>
              <w:cantSplit/>
            </w:trPr>
            <w:tc>
              <w:tcPr>
                <w:tcW w:w="1667" w:type="pct"/>
              </w:tcPr>
              <w:p>
                <w:pPr>
                  <w:spacing w:after="0" w:line="240" w:lineRule="auto"/>
                  <w:ind w:firstLine="0"/>
                  <w:jc w:val="left"/>
                  <w:rPr>
                    <w:sz w:val="17"/>
                  </w:rPr>
                </w:pPr>
                <w:r>
                  <w:rPr>
                    <w:sz w:val="17"/>
                  </w:rPr>
                  <w:t xml:space="preserve">La compuerta de compilación encuentra el proyecto de cada capa en su carpeta o en la raíz</w:t>
                </w:r>
              </w:p>
            </w:tc>
            <w:tc>
              <w:tcPr>
                <w:tcW w:w="1667" w:type="pct"/>
              </w:tcPr>
              <w:p>
                <w:pPr>
                  <w:spacing w:after="0" w:line="240" w:lineRule="auto"/>
                  <w:ind w:firstLine="0"/>
                  <w:jc w:val="left"/>
                  <w:rPr>
                    <w:sz w:val="17"/>
                  </w:rPr>
                </w:pPr>
                <w:r>
                  <w:rPr>
                    <w:sz w:val="17"/>
                  </w:rPr>
                  <w:t xml:space="preserve">La compuerta no se ejecutó nunca</w:t>
                </w:r>
              </w:p>
            </w:tc>
            <w:tc>
              <w:tcPr>
                <w:tcW w:w="1667" w:type="pct"/>
              </w:tcPr>
              <w:p>
                <w:pPr>
                  <w:spacing w:after="0" w:line="240" w:lineRule="auto"/>
                  <w:ind w:firstLine="0"/>
                  <w:jc w:val="left"/>
                  <w:rPr>
                    <w:sz w:val="17"/>
                  </w:rPr>
                </w:pPr>
                <w:r>
                  <w:rPr>
                    <w:sz w:val="17"/>
                  </w:rPr>
                  <w:t xml:space="preserve">Abierto</w:t>
                </w:r>
              </w:p>
            </w:tc>
          </w:tr>
        </w:tbl>
        <w:p>
          <w:pPr>
            <w:spacing w:after="0" w:line="240" w:lineRule="auto"/>
            <w:ind w:firstLine="0"/>
          </w:pPr>
        </w:p>
        <w:p>
          <w:r>
            <w:t xml:space="preserve">A la configuración del Proyecto también hubo que ajustarle las variables de entorno del backend (</w:t>
          </w:r>
          <w:r>
            <w:rPr>
              <w:rFonts w:ascii="Consolas" w:hAnsi="Consolas" w:cs="Consolas"/>
            </w:rPr>
            <w:t xml:space="preserve">JWT_ACCESS_SECRET</w:t>
          </w:r>
          <w:r>
            <w:t xml:space="preserve"> y </w:t>
          </w:r>
          <w:r>
            <w:rPr>
              <w:rFonts w:ascii="Consolas" w:hAnsi="Consolas" w:cs="Consolas"/>
            </w:rPr>
            <w:t xml:space="preserve">FRONTEND_URL</w:t>
          </w:r>
          <w:r>
            <w:t xml:space="preserve">), que se habían escrito por analogía con E1c antes de que existiera el código, y sembrar las cuentas de prueba con el propio </w:t>
          </w:r>
          <w:r>
            <w:rPr>
              <w:i/>
            </w:rPr>
            <w:t xml:space="preserve">seed</w:t>
          </w:r>
          <w:r>
            <w:t xml:space="preserve"> de la aplicación, que el contenedor no ejecuta al arrancar. La Tabla 5.11 reúne las intervenciones hechas fuera de la interfaz de Loom. Ninguna editó el código generado.</w:t>
          </w:r>
        </w:p>
        <w:p>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xml:space="preserve">. Intervenciones fuera de la interfaz de Loom en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Intervención</w:t>
                </w:r>
              </w:p>
            </w:tc>
            <w:tc>
              <w:tcPr>
                <w:tcW w:w="2500" w:type="pct"/>
                <w:shd w:val="clear" w:color="auto" w:fill="E5E5ED"/>
              </w:tcPr>
              <w:p>
                <w:pPr>
                  <w:spacing w:after="0" w:line="240" w:lineRule="auto"/>
                  <w:ind w:firstLine="0"/>
                  <w:jc w:val="left"/>
                  <w:rPr>
                    <w:b/>
                    <w:sz w:val="17"/>
                  </w:rPr>
                </w:pPr>
                <w:r>
                  <w:rPr>
                    <w:b/>
                    <w:sz w:val="17"/>
                  </w:rPr>
                  <w:t xml:space="preserve">Causa</w:t>
                </w:r>
              </w:p>
            </w:tc>
          </w:tr>
          <w:tr>
            <w:trPr>
              <w:cantSplit/>
            </w:trPr>
            <w:tc>
              <w:tcPr>
                <w:tcW w:w="2500" w:type="pct"/>
              </w:tcPr>
              <w:p>
                <w:pPr>
                  <w:spacing w:after="0" w:line="240" w:lineRule="auto"/>
                  <w:ind w:firstLine="0"/>
                  <w:jc w:val="left"/>
                  <w:rPr>
                    <w:sz w:val="17"/>
                  </w:rPr>
                </w:pPr>
                <w:r>
                  <w:rPr>
                    <w:sz w:val="17"/>
                  </w:rPr>
                  <w:t xml:space="preserve">«Avanzar HU» llamado por la API en dos paquetes, y cancelado a mano en uno de ellos</w:t>
                </w:r>
              </w:p>
            </w:tc>
            <w:tc>
              <w:tcPr>
                <w:tcW w:w="2500" w:type="pct"/>
              </w:tcPr>
              <w:p>
                <w:pPr>
                  <w:spacing w:after="0" w:line="240" w:lineRule="auto"/>
                  <w:ind w:firstLine="0"/>
                  <w:jc w:val="left"/>
                  <w:rPr>
                    <w:sz w:val="17"/>
                  </w:rPr>
                </w:pPr>
                <w:r>
                  <w:rPr>
                    <w:sz w:val="17"/>
                  </w:rPr>
                  <w:t xml:space="preserve">La interfaz no ofrece corregir con el registro del CI en esos estados</w:t>
                </w:r>
              </w:p>
            </w:tc>
          </w:tr>
          <w:tr>
            <w:trPr>
              <w:cantSplit/>
            </w:trPr>
            <w:tc>
              <w:tcPr>
                <w:tcW w:w="2500" w:type="pct"/>
              </w:tcPr>
              <w:p>
                <w:pPr>
                  <w:spacing w:after="0" w:line="240" w:lineRule="auto"/>
                  <w:ind w:firstLine="0"/>
                  <w:jc w:val="left"/>
                  <w:rPr>
                    <w:sz w:val="17"/>
                  </w:rPr>
                </w:pPr>
                <w:r>
                  <w:rPr>
                    <w:sz w:val="17"/>
                  </w:rPr>
                  <w:t xml:space="preserve">Fusión del Pull Request de despliegue por su </w:t>
                </w:r>
                <w:r>
                  <w:rPr>
                    <w:i/>
                    <w:sz w:val="17"/>
                  </w:rPr>
                  <w:t xml:space="preserve">endpoint</w:t>
                </w:r>
              </w:p>
            </w:tc>
            <w:tc>
              <w:tcPr>
                <w:tcW w:w="2500" w:type="pct"/>
              </w:tcPr>
              <w:p>
                <w:pPr>
                  <w:spacing w:after="0" w:line="240" w:lineRule="auto"/>
                  <w:ind w:firstLine="0"/>
                  <w:jc w:val="left"/>
                  <w:rPr>
                    <w:sz w:val="17"/>
                  </w:rPr>
                </w:pPr>
                <w:r>
                  <w:rPr>
                    <w:sz w:val="17"/>
                  </w:rPr>
                  <w:t xml:space="preserve">La interfaz no tiene el botón</w:t>
                </w:r>
              </w:p>
            </w:tc>
          </w:tr>
          <w:tr>
            <w:trPr>
              <w:cantSplit/>
            </w:trPr>
            <w:tc>
              <w:tcPr>
                <w:tcW w:w="2500" w:type="pct"/>
              </w:tcPr>
              <w:p>
                <w:pPr>
                  <w:spacing w:after="0" w:line="240" w:lineRule="auto"/>
                  <w:ind w:firstLine="0"/>
                  <w:jc w:val="left"/>
                  <w:rPr>
                    <w:sz w:val="17"/>
                  </w:rPr>
                </w:pPr>
                <w:r>
                  <w:rPr>
                    <w:i/>
                    <w:sz w:val="17"/>
                  </w:rPr>
                  <w:t xml:space="preserve">Seed</w:t>
                </w:r>
                <w:r>
                  <w:rPr>
                    <w:sz w:val="17"/>
                  </w:rPr>
                  <w:t xml:space="preserve"> de la aplicación contra Cloud SQL y dos cambios de estado de cuenta por SQL</w:t>
                </w:r>
              </w:p>
            </w:tc>
            <w:tc>
              <w:tcPr>
                <w:tcW w:w="2500" w:type="pct"/>
              </w:tcPr>
              <w:p>
                <w:pPr>
                  <w:spacing w:after="0" w:line="240" w:lineRule="auto"/>
                  <w:ind w:firstLine="0"/>
                  <w:jc w:val="left"/>
                  <w:rPr>
                    <w:sz w:val="17"/>
                  </w:rPr>
                </w:pPr>
                <w:r>
                  <w:rPr>
                    <w:sz w:val="17"/>
                  </w:rPr>
                  <w:t xml:space="preserve">Cuentas de prueba por rol</w:t>
                </w:r>
              </w:p>
            </w:tc>
          </w:tr>
          <w:tr>
            <w:trPr>
              <w:cantSplit/>
            </w:trPr>
            <w:tc>
              <w:tcPr>
                <w:tcW w:w="2500" w:type="pct"/>
              </w:tcPr>
              <w:p>
                <w:pPr>
                  <w:spacing w:after="0" w:line="240" w:lineRule="auto"/>
                  <w:ind w:firstLine="0"/>
                  <w:jc w:val="left"/>
                  <w:rPr>
                    <w:sz w:val="17"/>
                  </w:rPr>
                </w:pPr>
                <w:r>
                  <w:rPr>
                    <w:sz w:val="17"/>
                  </w:rPr>
                  <w:t xml:space="preserve">Corrección de Loom (ADR-0086, 0087 y 0088) y reinicios de su backend</w:t>
                </w:r>
              </w:p>
            </w:tc>
            <w:tc>
              <w:tcPr>
                <w:tcW w:w="2500" w:type="pct"/>
              </w:tcPr>
              <w:p>
                <w:pPr>
                  <w:spacing w:after="0" w:line="240" w:lineRule="auto"/>
                  <w:ind w:firstLine="0"/>
                  <w:jc w:val="left"/>
                  <w:rPr>
                    <w:sz w:val="17"/>
                  </w:rPr>
                </w:pPr>
                <w:r>
                  <w:rPr>
                    <w:sz w:val="17"/>
                  </w:rPr>
                  <w:t xml:space="preserve">Supuestos que no generalizaron</w:t>
                </w:r>
              </w:p>
            </w:tc>
          </w:tr>
          <w:tr>
            <w:trPr>
              <w:cantSplit/>
            </w:trPr>
            <w:tc>
              <w:tcPr>
                <w:tcW w:w="2500" w:type="pct"/>
              </w:tcPr>
              <w:p>
                <w:pPr>
                  <w:spacing w:after="0" w:line="240" w:lineRule="auto"/>
                  <w:ind w:firstLine="0"/>
                  <w:jc w:val="left"/>
                  <w:rPr>
                    <w:sz w:val="17"/>
                  </w:rPr>
                </w:pPr>
                <w:r>
                  <w:rPr>
                    <w:sz w:val="17"/>
                  </w:rPr>
                  <w:t xml:space="preserve">Repetir los procesos cortados por el límite de sesión</w:t>
                </w:r>
              </w:p>
            </w:tc>
            <w:tc>
              <w:tcPr>
                <w:tcW w:w="2500" w:type="pct"/>
              </w:tcPr>
              <w:p>
                <w:pPr>
                  <w:spacing w:after="0" w:line="240" w:lineRule="auto"/>
                  <w:ind w:firstLine="0"/>
                  <w:jc w:val="left"/>
                  <w:rPr>
                    <w:sz w:val="17"/>
                  </w:rPr>
                </w:pPr>
                <w:r>
                  <w:rPr>
                    <w:sz w:val="17"/>
                  </w:rPr>
                  <w:t xml:space="preserve">Entorno (suscripción del CLI)</w:t>
                </w:r>
              </w:p>
            </w:tc>
          </w:tr>
        </w:tbl>
        <w:p>
          <w:pPr>
            <w:spacing w:after="0" w:line="240" w:lineRule="auto"/>
            <w:ind w:firstLine="0"/>
          </w:pPr>
        </w:p>
        <w:p>
          <w:pPr>
            <w:pStyle w:val="Heading3"/>
            <w:ind w:firstLine="0"/>
            <w:jc w:val="left"/>
            <w:rPr>
              <w:color w:val="000000"/>
              <w:sz w:val="24"/>
            </w:rPr>
          </w:pPr>
          <w:r>
            <w:rPr>
              <w:color w:val="000000"/>
              <w:sz w:val="24"/>
            </w:rPr>
            <w:t xml:space="preserve">5.2.13 Comparación de las dos corridas</w:t>
          </w:r>
        </w:p>
        <w:p>
          <w:r>
            <w:t xml:space="preserve">La Tabla 5.12 pone lado a lado las cifras principales. Sirve para ver la forma de cada corrida, no para comparar calidad, porque el modelo y la versión de la plataforma cambiaron entre ellas.</w:t>
          </w:r>
        </w:p>
        <w:p>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xml:space="preserve">. Cifras principales de E1c y E3c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E1c (P1, inventarios)</w:t>
                </w:r>
              </w:p>
            </w:tc>
            <w:tc>
              <w:tcPr>
                <w:tcW w:w="1667" w:type="pct"/>
                <w:shd w:val="clear" w:color="auto" w:fill="E5E5ED"/>
              </w:tcPr>
              <w:p>
                <w:pPr>
                  <w:spacing w:after="0" w:line="240" w:lineRule="auto"/>
                  <w:ind w:firstLine="0"/>
                  <w:jc w:val="left"/>
                  <w:rPr>
                    <w:b/>
                    <w:sz w:val="17"/>
                  </w:rPr>
                </w:pPr>
                <w:r>
                  <w:rPr>
                    <w:b/>
                    <w:sz w:val="17"/>
                  </w:rPr>
                  <w:t xml:space="preserve">E3c (P2, agenda de taller)</w:t>
                </w:r>
              </w:p>
            </w:tc>
          </w:tr>
          <w:tr>
            <w:trPr>
              <w:cantSplit/>
            </w:trPr>
            <w:tc>
              <w:tcPr>
                <w:tcW w:w="1667" w:type="pct"/>
              </w:tcPr>
              <w:p>
                <w:pPr>
                  <w:spacing w:after="0" w:line="240" w:lineRule="auto"/>
                  <w:ind w:firstLine="0"/>
                  <w:jc w:val="left"/>
                  <w:rPr>
                    <w:sz w:val="17"/>
                  </w:rPr>
                </w:pPr>
                <w:r>
                  <w:rPr>
                    <w:sz w:val="17"/>
                  </w:rPr>
                  <w:t xml:space="preserve">Stack generado</w:t>
                </w:r>
              </w:p>
            </w:tc>
            <w:tc>
              <w:tcPr>
                <w:tcW w:w="1667" w:type="pct"/>
              </w:tcPr>
              <w:p>
                <w:pPr>
                  <w:spacing w:after="0" w:line="240" w:lineRule="auto"/>
                  <w:ind w:firstLine="0"/>
                  <w:jc w:val="left"/>
                  <w:rPr>
                    <w:sz w:val="17"/>
                  </w:rPr>
                </w:pPr>
                <w:r>
                  <w:rPr>
                    <w:sz w:val="17"/>
                  </w:rPr>
                  <w:t xml:space="preserve">Java con Spring Boot y Angular</w:t>
                </w:r>
              </w:p>
            </w:tc>
            <w:tc>
              <w:tcPr>
                <w:tcW w:w="1667" w:type="pct"/>
              </w:tcPr>
              <w:p>
                <w:pPr>
                  <w:spacing w:after="0" w:line="240" w:lineRule="auto"/>
                  <w:ind w:firstLine="0"/>
                  <w:jc w:val="left"/>
                  <w:rPr>
                    <w:sz w:val="17"/>
                  </w:rPr>
                </w:pPr>
                <w:r>
                  <w:rPr>
                    <w:sz w:val="17"/>
                  </w:rPr>
                  <w:t xml:space="preserve">Node con NestJS y Prisma, React con Vite</w:t>
                </w:r>
              </w:p>
            </w:tc>
          </w:tr>
          <w:tr>
            <w:trPr>
              <w:cantSplit/>
            </w:trPr>
            <w:tc>
              <w:tcPr>
                <w:tcW w:w="1667" w:type="pct"/>
              </w:tcPr>
              <w:p>
                <w:pPr>
                  <w:spacing w:after="0" w:line="240" w:lineRule="auto"/>
                  <w:ind w:firstLine="0"/>
                  <w:jc w:val="left"/>
                  <w:rPr>
                    <w:sz w:val="17"/>
                  </w:rPr>
                </w:pPr>
                <w:r>
                  <w:rPr>
                    <w:sz w:val="17"/>
                  </w:rPr>
                  <w:t xml:space="preserve">Modelo</w:t>
                </w:r>
              </w:p>
            </w:tc>
            <w:tc>
              <w:tcPr>
                <w:tcW w:w="1667" w:type="pct"/>
              </w:tcPr>
              <w:p>
                <w:pPr>
                  <w:spacing w:after="0" w:line="240" w:lineRule="auto"/>
                  <w:ind w:firstLine="0"/>
                  <w:jc w:val="left"/>
                  <w:rPr>
                    <w:sz w:val="17"/>
                  </w:rPr>
                </w:pPr>
                <w:r>
                  <w:rPr>
                    <w:sz w:val="17"/>
                  </w:rPr>
                  <w:t xml:space="preserve">claude-sonnet-5</w:t>
                </w:r>
              </w:p>
            </w:tc>
            <w:tc>
              <w:tcPr>
                <w:tcW w:w="1667" w:type="pct"/>
              </w:tcPr>
              <w:p>
                <w:pPr>
                  <w:spacing w:after="0" w:line="240" w:lineRule="auto"/>
                  <w:ind w:firstLine="0"/>
                  <w:jc w:val="left"/>
                  <w:rPr>
                    <w:sz w:val="17"/>
                  </w:rPr>
                </w:pPr>
                <w:r>
                  <w:rPr>
                    <w:sz w:val="17"/>
                  </w:rPr>
                  <w:t xml:space="preserve">claude-opus-5-5 y claude-haiku-4-5</w:t>
                </w:r>
              </w:p>
            </w:tc>
          </w:tr>
          <w:tr>
            <w:trPr>
              <w:cantSplit/>
            </w:trPr>
            <w:tc>
              <w:tcPr>
                <w:tcW w:w="1667" w:type="pct"/>
              </w:tcPr>
              <w:p>
                <w:pPr>
                  <w:spacing w:after="0" w:line="240" w:lineRule="auto"/>
                  <w:ind w:firstLine="0"/>
                  <w:jc w:val="left"/>
                  <w:rPr>
                    <w:sz w:val="17"/>
                  </w:rPr>
                </w:pPr>
                <w:r>
                  <w:rPr>
                    <w:sz w:val="17"/>
                  </w:rPr>
                  <w:t xml:space="preserve">Casos de prueba</w:t>
                </w:r>
              </w:p>
            </w:tc>
            <w:tc>
              <w:tcPr>
                <w:tcW w:w="1667" w:type="pct"/>
              </w:tcPr>
              <w:p>
                <w:pPr>
                  <w:spacing w:after="0" w:line="240" w:lineRule="auto"/>
                  <w:ind w:firstLine="0"/>
                  <w:jc w:val="left"/>
                  <w:rPr>
                    <w:sz w:val="17"/>
                  </w:rPr>
                </w:pPr>
                <w:r>
                  <w:rPr>
                    <w:sz w:val="17"/>
                  </w:rPr>
                  <w:t xml:space="preserve">44</w:t>
                </w:r>
              </w:p>
            </w:tc>
            <w:tc>
              <w:tcPr>
                <w:tcW w:w="1667" w:type="pct"/>
              </w:tcPr>
              <w:p>
                <w:pPr>
                  <w:spacing w:after="0" w:line="240" w:lineRule="auto"/>
                  <w:ind w:firstLine="0"/>
                  <w:jc w:val="left"/>
                  <w:rPr>
                    <w:sz w:val="17"/>
                  </w:rPr>
                </w:pPr>
                <w:r>
                  <w:rPr>
                    <w:sz w:val="17"/>
                  </w:rPr>
                  <w:t xml:space="preserve">101</w:t>
                </w:r>
              </w:p>
            </w:tc>
          </w:tr>
          <w:tr>
            <w:trPr>
              <w:cantSplit/>
            </w:trPr>
            <w:tc>
              <w:tcPr>
                <w:tcW w:w="1667" w:type="pct"/>
              </w:tcPr>
              <w:p>
                <w:pPr>
                  <w:spacing w:after="0" w:line="240" w:lineRule="auto"/>
                  <w:ind w:firstLine="0"/>
                  <w:jc w:val="left"/>
                  <w:rPr>
                    <w:sz w:val="17"/>
                  </w:rPr>
                </w:pPr>
                <w:r>
                  <w:rPr>
                    <w:sz w:val="17"/>
                  </w:rPr>
                  <w:t xml:space="preserve">Paquetes fusionados</w:t>
                </w:r>
              </w:p>
            </w:tc>
            <w:tc>
              <w:tcPr>
                <w:tcW w:w="1667" w:type="pct"/>
              </w:tcPr>
              <w:p>
                <w:pPr>
                  <w:spacing w:after="0" w:line="240" w:lineRule="auto"/>
                  <w:ind w:firstLine="0"/>
                  <w:jc w:val="left"/>
                  <w:rPr>
                    <w:sz w:val="17"/>
                  </w:rPr>
                </w:pPr>
                <w:r>
                  <w:rPr>
                    <w:sz w:val="17"/>
                  </w:rPr>
                  <w:t xml:space="preserve">12</w:t>
                </w:r>
              </w:p>
            </w:tc>
            <w:tc>
              <w:tcPr>
                <w:tcW w:w="1667" w:type="pct"/>
              </w:tcPr>
              <w:p>
                <w:pPr>
                  <w:spacing w:after="0" w:line="240" w:lineRule="auto"/>
                  <w:ind w:firstLine="0"/>
                  <w:jc w:val="left"/>
                  <w:rPr>
                    <w:sz w:val="17"/>
                  </w:rPr>
                </w:pPr>
                <w:r>
                  <w:rPr>
                    <w:sz w:val="17"/>
                  </w:rPr>
                  <w:t xml:space="preserve">17</w:t>
                </w:r>
              </w:p>
            </w:tc>
          </w:tr>
          <w:tr>
            <w:trPr>
              <w:cantSplit/>
            </w:trPr>
            <w:tc>
              <w:tcPr>
                <w:tcW w:w="1667" w:type="pct"/>
              </w:tcPr>
              <w:p>
                <w:pPr>
                  <w:spacing w:after="0" w:line="240" w:lineRule="auto"/>
                  <w:ind w:firstLine="0"/>
                  <w:jc w:val="left"/>
                  <w:rPr>
                    <w:sz w:val="17"/>
                  </w:rPr>
                </w:pPr>
                <w:r>
                  <w:rPr>
                    <w:sz w:val="17"/>
                  </w:rPr>
                  <w:t xml:space="preserve">Observaciones de la primera revisión</w:t>
                </w:r>
              </w:p>
            </w:tc>
            <w:tc>
              <w:tcPr>
                <w:tcW w:w="1667" w:type="pct"/>
              </w:tcPr>
              <w:p>
                <w:pPr>
                  <w:spacing w:after="0" w:line="240" w:lineRule="auto"/>
                  <w:ind w:firstLine="0"/>
                  <w:jc w:val="left"/>
                  <w:rPr>
                    <w:sz w:val="17"/>
                  </w:rPr>
                </w:pPr>
                <w:r>
                  <w:rPr>
                    <w:sz w:val="17"/>
                  </w:rPr>
                  <w:t xml:space="preserve">66 (2 bloqueantes, 24 mayores, 40 menores)</w:t>
                </w:r>
              </w:p>
            </w:tc>
            <w:tc>
              <w:tcPr>
                <w:tcW w:w="1667" w:type="pct"/>
              </w:tcPr>
              <w:p>
                <w:pPr>
                  <w:spacing w:after="0" w:line="240" w:lineRule="auto"/>
                  <w:ind w:firstLine="0"/>
                  <w:jc w:val="left"/>
                  <w:rPr>
                    <w:sz w:val="17"/>
                  </w:rPr>
                </w:pPr>
                <w:r>
                  <w:rPr>
                    <w:sz w:val="17"/>
                  </w:rPr>
                  <w:t xml:space="preserve">59 (10 mayores, 49 menores)</w:t>
                </w:r>
              </w:p>
            </w:tc>
          </w:tr>
          <w:tr>
            <w:trPr>
              <w:cantSplit/>
            </w:trPr>
            <w:tc>
              <w:tcPr>
                <w:tcW w:w="1667" w:type="pct"/>
              </w:tcPr>
              <w:p>
                <w:pPr>
                  <w:spacing w:after="0" w:line="240" w:lineRule="auto"/>
                  <w:ind w:firstLine="0"/>
                  <w:jc w:val="left"/>
                  <w:rPr>
                    <w:sz w:val="17"/>
                  </w:rPr>
                </w:pPr>
                <w:r>
                  <w:rPr>
                    <w:sz w:val="17"/>
                  </w:rPr>
                  <w:t xml:space="preserve">Paquetes con el CI en rojo</w:t>
                </w:r>
              </w:p>
            </w:tc>
            <w:tc>
              <w:tcPr>
                <w:tcW w:w="1667" w:type="pct"/>
              </w:tcPr>
              <w:p>
                <w:pPr>
                  <w:spacing w:after="0" w:line="240" w:lineRule="auto"/>
                  <w:ind w:firstLine="0"/>
                  <w:jc w:val="left"/>
                  <w:rPr>
                    <w:sz w:val="17"/>
                  </w:rPr>
                </w:pPr>
                <w:r>
                  <w:rPr>
                    <w:sz w:val="17"/>
                  </w:rPr>
                  <w:t xml:space="preserve">1</w:t>
                </w:r>
              </w:p>
            </w:tc>
            <w:tc>
              <w:tcPr>
                <w:tcW w:w="1667" w:type="pct"/>
              </w:tcPr>
              <w:p>
                <w:pPr>
                  <w:spacing w:after="0" w:line="240" w:lineRule="auto"/>
                  <w:ind w:firstLine="0"/>
                  <w:jc w:val="left"/>
                  <w:rPr>
                    <w:sz w:val="17"/>
                  </w:rPr>
                </w:pPr>
                <w:r>
                  <w:rPr>
                    <w:sz w:val="17"/>
                  </w:rPr>
                  <w:t xml:space="preserve">2</w:t>
                </w:r>
              </w:p>
            </w:tc>
          </w:tr>
          <w:tr>
            <w:trPr>
              <w:cantSplit/>
            </w:trPr>
            <w:tc>
              <w:tcPr>
                <w:tcW w:w="1667" w:type="pct"/>
              </w:tcPr>
              <w:p>
                <w:pPr>
                  <w:spacing w:after="0" w:line="240" w:lineRule="auto"/>
                  <w:ind w:firstLine="0"/>
                  <w:jc w:val="left"/>
                  <w:rPr>
                    <w:sz w:val="17"/>
                  </w:rPr>
                </w:pPr>
                <w:r>
                  <w:rPr>
                    <w:sz w:val="17"/>
                  </w:rPr>
                  <w:t xml:space="preserve">Compuerta de compilación</w:t>
                </w:r>
              </w:p>
            </w:tc>
            <w:tc>
              <w:tcPr>
                <w:tcW w:w="1667" w:type="pct"/>
              </w:tcPr>
              <w:p>
                <w:pPr>
                  <w:spacing w:after="0" w:line="240" w:lineRule="auto"/>
                  <w:ind w:firstLine="0"/>
                  <w:jc w:val="left"/>
                  <w:rPr>
                    <w:sz w:val="17"/>
                  </w:rPr>
                </w:pPr>
                <w:r>
                  <w:rPr>
                    <w:sz w:val="17"/>
                  </w:rPr>
                  <w:t xml:space="preserve">Ejecutada en 10 de 12 paquetes</w:t>
                </w:r>
              </w:p>
            </w:tc>
            <w:tc>
              <w:tcPr>
                <w:tcW w:w="1667" w:type="pct"/>
              </w:tcPr>
              <w:p>
                <w:pPr>
                  <w:spacing w:after="0" w:line="240" w:lineRule="auto"/>
                  <w:ind w:firstLine="0"/>
                  <w:jc w:val="left"/>
                  <w:rPr>
                    <w:sz w:val="17"/>
                  </w:rPr>
                </w:pPr>
                <w:r>
                  <w:rPr>
                    <w:sz w:val="17"/>
                  </w:rPr>
                  <w:t xml:space="preserve">No se ejecutó</w:t>
                </w:r>
              </w:p>
            </w:tc>
          </w:tr>
          <w:tr>
            <w:trPr>
              <w:cantSplit/>
            </w:trPr>
            <w:tc>
              <w:tcPr>
                <w:tcW w:w="1667" w:type="pct"/>
              </w:tcPr>
              <w:p>
                <w:pPr>
                  <w:spacing w:after="0" w:line="240" w:lineRule="auto"/>
                  <w:ind w:firstLine="0"/>
                  <w:jc w:val="left"/>
                  <w:rPr>
                    <w:sz w:val="17"/>
                  </w:rPr>
                </w:pPr>
                <w:r>
                  <w:rPr>
                    <w:sz w:val="17"/>
                  </w:rPr>
                  <w:t xml:space="preserve">Lanzamientos de release hasta desplegar</w:t>
                </w:r>
              </w:p>
            </w:tc>
            <w:tc>
              <w:tcPr>
                <w:tcW w:w="1667" w:type="pct"/>
              </w:tcPr>
              <w:p>
                <w:pPr>
                  <w:spacing w:after="0" w:line="240" w:lineRule="auto"/>
                  <w:ind w:firstLine="0"/>
                  <w:jc w:val="left"/>
                  <w:rPr>
                    <w:sz w:val="17"/>
                  </w:rPr>
                </w:pPr>
                <w:r>
                  <w:rPr>
                    <w:sz w:val="17"/>
                  </w:rPr>
                  <w:t xml:space="preserve">2 manuales (y 1 automático fallido)</w:t>
                </w:r>
              </w:p>
            </w:tc>
            <w:tc>
              <w:tcPr>
                <w:tcW w:w="1667" w:type="pct"/>
              </w:tcPr>
              <w:p>
                <w:pPr>
                  <w:spacing w:after="0" w:line="240" w:lineRule="auto"/>
                  <w:ind w:firstLine="0"/>
                  <w:jc w:val="left"/>
                  <w:rPr>
                    <w:sz w:val="17"/>
                  </w:rPr>
                </w:pPr>
                <w:r>
                  <w:rPr>
                    <w:sz w:val="17"/>
                  </w:rPr>
                  <w:t xml:space="preserve">3 manuales (y 4 automáticos fallidos)</w:t>
                </w:r>
              </w:p>
            </w:tc>
          </w:tr>
          <w:tr>
            <w:trPr>
              <w:cantSplit/>
            </w:trPr>
            <w:tc>
              <w:tcPr>
                <w:tcW w:w="1667" w:type="pct"/>
              </w:tcPr>
              <w:p>
                <w:pPr>
                  <w:spacing w:after="0" w:line="240" w:lineRule="auto"/>
                  <w:ind w:firstLine="0"/>
                  <w:jc w:val="left"/>
                  <w:rPr>
                    <w:sz w:val="17"/>
                  </w:rPr>
                </w:pPr>
                <w:r>
                  <w:rPr>
                    <w:sz w:val="17"/>
                  </w:rPr>
                  <w:t xml:space="preserve">Pruebas de humo (aprobados, fallidos, bloqueados)</w:t>
                </w:r>
              </w:p>
            </w:tc>
            <w:tc>
              <w:tcPr>
                <w:tcW w:w="1667" w:type="pct"/>
              </w:tcPr>
              <w:p>
                <w:pPr>
                  <w:spacing w:after="0" w:line="240" w:lineRule="auto"/>
                  <w:ind w:firstLine="0"/>
                  <w:jc w:val="left"/>
                  <w:rPr>
                    <w:sz w:val="17"/>
                  </w:rPr>
                </w:pPr>
                <w:r>
                  <w:rPr>
                    <w:sz w:val="17"/>
                  </w:rPr>
                  <w:t xml:space="preserve">36, 2, 6 de 44</w:t>
                </w:r>
              </w:p>
            </w:tc>
            <w:tc>
              <w:tcPr>
                <w:tcW w:w="1667" w:type="pct"/>
              </w:tcPr>
              <w:p>
                <w:pPr>
                  <w:spacing w:after="0" w:line="240" w:lineRule="auto"/>
                  <w:ind w:firstLine="0"/>
                  <w:jc w:val="left"/>
                  <w:rPr>
                    <w:sz w:val="17"/>
                  </w:rPr>
                </w:pPr>
                <w:r>
                  <w:rPr>
                    <w:sz w:val="17"/>
                  </w:rPr>
                  <w:t xml:space="preserve">68, 9, 24 de 101</w:t>
                </w:r>
              </w:p>
            </w:tc>
          </w:tr>
          <w:tr>
            <w:trPr>
              <w:cantSplit/>
            </w:trPr>
            <w:tc>
              <w:tcPr>
                <w:tcW w:w="1667" w:type="pct"/>
              </w:tcPr>
              <w:p>
                <w:pPr>
                  <w:spacing w:after="0" w:line="240" w:lineRule="auto"/>
                  <w:ind w:firstLine="0"/>
                  <w:jc w:val="left"/>
                  <w:rPr>
                    <w:sz w:val="17"/>
                  </w:rPr>
                </w:pPr>
                <w:r>
                  <w:rPr>
                    <w:sz w:val="17"/>
                  </w:rPr>
                  <w:t xml:space="preserve">Llamadas al modelo</w:t>
                </w:r>
              </w:p>
            </w:tc>
            <w:tc>
              <w:tcPr>
                <w:tcW w:w="1667" w:type="pct"/>
              </w:tcPr>
              <w:p>
                <w:pPr>
                  <w:spacing w:after="0" w:line="240" w:lineRule="auto"/>
                  <w:ind w:firstLine="0"/>
                  <w:jc w:val="left"/>
                  <w:rPr>
                    <w:sz w:val="17"/>
                  </w:rPr>
                </w:pPr>
                <w:r>
                  <w:rPr>
                    <w:sz w:val="17"/>
                  </w:rPr>
                  <w:t xml:space="preserve">128</w:t>
                </w:r>
              </w:p>
            </w:tc>
            <w:tc>
              <w:tcPr>
                <w:tcW w:w="1667" w:type="pct"/>
              </w:tcPr>
              <w:p>
                <w:pPr>
                  <w:spacing w:after="0" w:line="240" w:lineRule="auto"/>
                  <w:ind w:firstLine="0"/>
                  <w:jc w:val="left"/>
                  <w:rPr>
                    <w:sz w:val="17"/>
                  </w:rPr>
                </w:pPr>
                <w:r>
                  <w:rPr>
                    <w:sz w:val="17"/>
                  </w:rPr>
                  <w:t xml:space="preserve">532</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16.67</w:t>
                </w:r>
              </w:p>
            </w:tc>
            <w:tc>
              <w:tcPr>
                <w:tcW w:w="1667" w:type="pct"/>
              </w:tcPr>
              <w:p>
                <w:pPr>
                  <w:spacing w:after="0" w:line="240" w:lineRule="auto"/>
                  <w:ind w:firstLine="0"/>
                  <w:jc w:val="left"/>
                  <w:rPr>
                    <w:sz w:val="17"/>
                  </w:rPr>
                </w:pPr>
                <w:r>
                  <w:rPr>
                    <w:sz w:val="17"/>
                  </w:rPr>
                  <w:t xml:space="preserve">120.99</w:t>
                </w:r>
              </w:p>
            </w:tc>
          </w:tr>
        </w:tbl>
        <w:p>
          <w:pPr>
            <w:spacing w:after="0" w:line="240" w:lineRule="auto"/>
            <w:ind w:firstLine="0"/>
          </w:pPr>
        </w:p>
        <w:p>
          <w:pPr>
            <w:keepNext/>
            <w:spacing w:before="120" w:after="60"/>
            <w:ind w:firstLine="0"/>
            <w:jc w:val="center"/>
          </w:pPr>
          <w:r>
            <w:drawing>
              <wp:inline distT="0" distB="0" distL="0" distR="0">
                <wp:extent cx="5400000" cy="1755000"/>
                <wp:docPr id="9051" name="Figura 5.3" descr="Resultado de las pruebas de humo de E1c y E3c, en porcentaje de casos"/>
                <a:graphic xmlns:a="http://schemas.openxmlformats.org/drawingml/2006/main">
                  <a:graphicData uri="http://schemas.openxmlformats.org/drawingml/2006/picture">
                    <pic:pic xmlns:pic="http://schemas.openxmlformats.org/drawingml/2006/picture">
                      <pic:nvPicPr>
                        <pic:cNvPr id="9051" name="loom_fig51.png"/>
                        <pic:cNvPicPr/>
                      </pic:nvPicPr>
                      <pic:blipFill>
                        <a:blip r:embed="rIdLoomFig51"/>
                        <a:stretch>
                          <a:fillRect/>
                        </a:stretch>
                      </pic:blipFill>
                      <pic:spPr>
                        <a:xfrm>
                          <a:off x="0" y="0"/>
                          <a:ext cx="5400000" cy="1755000"/>
                        </a:xfrm>
                        <a:prstGeom prst="rect">
                          <a:avLst/>
                        </a:prstGeom>
                      </pic:spPr>
                    </pic:pic>
                  </a:graphicData>
                </a:graphic>
              </wp:inline>
            </w:drawing>
          </w:r>
        </w:p>
        <w:p>
          <w:pPr>
            <w:pStyle w:val="Caption"/>
            <w:ind w:firstLine="0"/>
            <w:jc w:val="center"/>
            <w:rPr>
              <w:b w:val="0"/>
            </w:rPr>
          </w:pPr>
          <w:r>
            <w:t>Figura 5.</w:t>
          </w:r>
          <w:r>
            <w:fldChar w:fldCharType="begin"/>
          </w:r>
          <w:r>
            <w:instrText xml:space="preserve"> SEQ Figura \s 1</w:instrText>
          </w:r>
          <w:r>
            <w:fldChar w:fldCharType="separate"/>
          </w:r>
          <w:r>
            <w:rPr>
              <w:noProof/>
            </w:rPr>
            <w:t>3</w:t>
          </w:r>
          <w:r>
            <w:fldChar w:fldCharType="end"/>
          </w:r>
          <w:r>
            <w:t xml:space="preserve">. Resultado de las pruebas de humo de E1c y E3c, en porcentaje de casos</w:t>
          </w:r>
        </w:p>
        <w:p>
          <w:r>
            <w:t xml:space="preserve">Tres rasgos se repiten en las dos corridas. Primero, lo que la revisión no ve aparece al ejecutar: en E1c, la compuerta y el CI detuvieron un paquete y las pruebas de humo encontraron una bitácora ausente; en E3c, el CI detuvo dos paquetes y las pruebas de humo encontraron nueve omisiones. Segundo, el despliegue es la etapa más frágil: ninguna de las dos corridas desplegó al primer intento, y en ambas el motivo estuvo fuera del código de las HUs (una base de datos con migraciones previas en E1c, supuestos del release en E3c). Tercero, la mayoría de los bloqueos de las pruebas de humo se deben a datos y precondiciones que el ambiente no ofrece, no a la aplicación.</w:t>
          </w:r>
        </w:p>
        <w:p>
          <w:r>
            <w:t xml:space="preserve">La diferencia de costo (16.67 contra 120.99 USD nocionales) se explica en buena parte por el modelo: E3c corrió con Opus 5.5, y además sus pruebas de humo de la HU-001 se repitieron tres veces. El capítulo 4 prevé medir el costo con la API y con el modelo fijado; con estas corridas solo se puede decir que el mismo flujo, en proyectos de tamaño parecido, puede costar un orden de magnitud más según el modelo que lo ejecute.</w:t>
          </w:r>
        </w:p>
        <w:p>
          <w:pPr>
            <w:pStyle w:val="Heading3"/>
            <w:ind w:firstLine="0"/>
            <w:jc w:val="left"/>
            <w:rPr>
              <w:color w:val="000000"/>
              <w:sz w:val="24"/>
            </w:rPr>
          </w:pPr>
          <w:r>
            <w:rPr>
              <w:color w:val="000000"/>
              <w:sz w:val="24"/>
            </w:rPr>
            <w:t xml:space="preserve">5.2.14 Revisión con contexto frente a solo el </w:t>
          </w:r>
          <w:r>
            <w:rPr>
              <w:i/>
              <w:color w:val="000000"/>
              <w:sz w:val="24"/>
            </w:rPr>
            <w:t xml:space="preserve">diff</w:t>
          </w:r>
          <w:r>
            <w:rPr>
              <w:color w:val="000000"/>
              <w:sz w:val="24"/>
            </w:rPr>
            <w:t xml:space="preserve"> (experimento C)</w:t>
          </w:r>
        </w:p>
        <w:p>
          <w:r>
            <w:t xml:space="preserve">El experimento de control del apartado 4.1.7 se corrió entre el 27 y el 28 de septiembre de 2026: 58 revisiones, dos por cada uno de los 29 Pull Requests, con </w:t>
          </w:r>
          <w:r>
            <w:rPr>
              <w:rFonts w:ascii="Consolas" w:hAnsi="Consolas" w:cs="Consolas"/>
            </w:rPr>
            <w:t xml:space="preserve">claude-sonnet-5</w:t>
          </w:r>
          <w:r>
            <w:t xml:space="preserve">. El modelo ocupó 92.4 minutos en la condición con contexto y 100.0 en la de solo el </w:t>
          </w:r>
          <w:r>
            <w:rPr>
              <w:i/>
            </w:rPr>
            <w:t xml:space="preserve">diff</w:t>
          </w:r>
          <w:r>
            <w:t xml:space="preserve">, con una entrada media de 121,611 y 76,529 caracteres. Tres </w:t>
          </w:r>
          <w:r>
            <w:rPr>
              <w:i/>
            </w:rPr>
            <w:t xml:space="preserve">diffs</w:t>
          </w:r>
          <w:r>
            <w:t xml:space="preserve"> de E3c superaron el tope de 140,000 caracteres y se recortaron igual en las dos condiciones. La corrida se interrumpió tres veces, dos por el límite de sesión de la suscripción y una por un fallo de red con la API de GitHub, y se reanudó sin repetir las revisiones ya guardadas.</w:t>
          </w:r>
        </w:p>
        <w:p>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xml:space="preserve">. Observaciones por condición antes de la calificación ciega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Cifra</w:t>
                </w:r>
              </w:p>
            </w:tc>
            <w:tc>
              <w:tcPr>
                <w:tcW w:w="1667" w:type="pct"/>
                <w:shd w:val="clear" w:color="auto" w:fill="E5E5ED"/>
              </w:tcPr>
              <w:p>
                <w:pPr>
                  <w:spacing w:after="0" w:line="240" w:lineRule="auto"/>
                  <w:ind w:firstLine="0"/>
                  <w:jc w:val="left"/>
                  <w:rPr>
                    <w:b/>
                    <w:sz w:val="17"/>
                  </w:rPr>
                </w:pPr>
                <w:r>
                  <w:rPr>
                    <w:b/>
                    <w:sz w:val="17"/>
                  </w:rPr>
                  <w:t xml:space="preserve">Con contexto</w:t>
                </w:r>
              </w:p>
            </w:tc>
            <w:tc>
              <w:tcPr>
                <w:tcW w:w="1667" w:type="pct"/>
                <w:shd w:val="clear" w:color="auto" w:fill="E5E5ED"/>
              </w:tcPr>
              <w:p>
                <w:pPr>
                  <w:spacing w:after="0" w:line="240" w:lineRule="auto"/>
                  <w:ind w:firstLine="0"/>
                  <w:jc w:val="left"/>
                  <w:rPr>
                    <w:b/>
                    <w:sz w:val="17"/>
                  </w:rPr>
                </w:pPr>
                <w:r>
                  <w:rPr>
                    <w:b/>
                    <w:sz w:val="17"/>
                  </w:rPr>
                  <w:t xml:space="preserve">Solo el diff</w:t>
                </w:r>
              </w:p>
            </w:tc>
          </w:tr>
          <w:tr>
            <w:trPr>
              <w:cantSplit/>
            </w:trPr>
            <w:tc>
              <w:tcPr>
                <w:tcW w:w="1667" w:type="pct"/>
              </w:tcPr>
              <w:p>
                <w:pPr>
                  <w:spacing w:after="0" w:line="240" w:lineRule="auto"/>
                  <w:ind w:firstLine="0"/>
                  <w:jc w:val="left"/>
                  <w:rPr>
                    <w:sz w:val="17"/>
                  </w:rPr>
                </w:pPr>
                <w:r>
                  <w:rPr>
                    <w:sz w:val="17"/>
                  </w:rPr>
                  <w:t xml:space="preserve">Observaciones</w:t>
                </w:r>
              </w:p>
            </w:tc>
            <w:tc>
              <w:tcPr>
                <w:tcW w:w="1667" w:type="pct"/>
              </w:tcPr>
              <w:p>
                <w:pPr>
                  <w:spacing w:after="0" w:line="240" w:lineRule="auto"/>
                  <w:ind w:firstLine="0"/>
                  <w:jc w:val="left"/>
                  <w:rPr>
                    <w:sz w:val="17"/>
                  </w:rPr>
                </w:pPr>
                <w:r>
                  <w:rPr>
                    <w:sz w:val="17"/>
                  </w:rPr>
                  <w:t xml:space="preserve">85</w:t>
                </w:r>
              </w:p>
            </w:tc>
            <w:tc>
              <w:tcPr>
                <w:tcW w:w="1667" w:type="pct"/>
              </w:tcPr>
              <w:p>
                <w:pPr>
                  <w:spacing w:after="0" w:line="240" w:lineRule="auto"/>
                  <w:ind w:firstLine="0"/>
                  <w:jc w:val="left"/>
                  <w:rPr>
                    <w:sz w:val="17"/>
                  </w:rPr>
                </w:pPr>
                <w:r>
                  <w:rPr>
                    <w:sz w:val="17"/>
                  </w:rPr>
                  <w:t xml:space="preserve">92</w:t>
                </w:r>
              </w:p>
            </w:tc>
          </w:tr>
          <w:tr>
            <w:trPr>
              <w:cantSplit/>
            </w:trPr>
            <w:tc>
              <w:tcPr>
                <w:tcW w:w="1667" w:type="pct"/>
              </w:tcPr>
              <w:p>
                <w:pPr>
                  <w:spacing w:after="0" w:line="240" w:lineRule="auto"/>
                  <w:ind w:firstLine="0"/>
                  <w:jc w:val="left"/>
                  <w:rPr>
                    <w:sz w:val="17"/>
                  </w:rPr>
                </w:pPr>
                <w:r>
                  <w:rPr>
                    <w:sz w:val="17"/>
                  </w:rPr>
                  <w:t xml:space="preserve">Bloqueantes, mayores y menores</w:t>
                </w:r>
              </w:p>
            </w:tc>
            <w:tc>
              <w:tcPr>
                <w:tcW w:w="1667" w:type="pct"/>
              </w:tcPr>
              <w:p>
                <w:pPr>
                  <w:spacing w:after="0" w:line="240" w:lineRule="auto"/>
                  <w:ind w:firstLine="0"/>
                  <w:jc w:val="left"/>
                  <w:rPr>
                    <w:sz w:val="17"/>
                  </w:rPr>
                </w:pPr>
                <w:r>
                  <w:rPr>
                    <w:sz w:val="17"/>
                  </w:rPr>
                  <w:t xml:space="preserve">7, 21 y 57</w:t>
                </w:r>
              </w:p>
            </w:tc>
            <w:tc>
              <w:tcPr>
                <w:tcW w:w="1667" w:type="pct"/>
              </w:tcPr>
              <w:p>
                <w:pPr>
                  <w:spacing w:after="0" w:line="240" w:lineRule="auto"/>
                  <w:ind w:firstLine="0"/>
                  <w:jc w:val="left"/>
                  <w:rPr>
                    <w:sz w:val="17"/>
                  </w:rPr>
                </w:pPr>
                <w:r>
                  <w:rPr>
                    <w:sz w:val="17"/>
                  </w:rPr>
                  <w:t xml:space="preserve">2, 21 y 69</w:t>
                </w:r>
              </w:p>
            </w:tc>
          </w:tr>
          <w:tr>
            <w:trPr>
              <w:cantSplit/>
            </w:trPr>
            <w:tc>
              <w:tcPr>
                <w:tcW w:w="1667" w:type="pct"/>
              </w:tcPr>
              <w:p>
                <w:pPr>
                  <w:spacing w:after="0" w:line="240" w:lineRule="auto"/>
                  <w:ind w:firstLine="0"/>
                  <w:jc w:val="left"/>
                  <w:rPr>
                    <w:sz w:val="17"/>
                  </w:rPr>
                </w:pPr>
                <w:r>
                  <w:rPr>
                    <w:sz w:val="17"/>
                  </w:rPr>
                  <w:t xml:space="preserve">Fuente: criterio de aceptación</w:t>
                </w:r>
              </w:p>
            </w:tc>
            <w:tc>
              <w:tcPr>
                <w:tcW w:w="1667" w:type="pct"/>
              </w:tcPr>
              <w:p>
                <w:pPr>
                  <w:spacing w:after="0" w:line="240" w:lineRule="auto"/>
                  <w:ind w:firstLine="0"/>
                  <w:jc w:val="left"/>
                  <w:rPr>
                    <w:sz w:val="17"/>
                  </w:rPr>
                </w:pPr>
                <w:r>
                  <w:rPr>
                    <w:sz w:val="17"/>
                  </w:rPr>
                  <w:t xml:space="preserve">13</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Fuente: arquitectura</w:t>
                </w:r>
              </w:p>
            </w:tc>
            <w:tc>
              <w:tcPr>
                <w:tcW w:w="1667" w:type="pct"/>
              </w:tcPr>
              <w:p>
                <w:pPr>
                  <w:spacing w:after="0" w:line="240" w:lineRule="auto"/>
                  <w:ind w:firstLine="0"/>
                  <w:jc w:val="left"/>
                  <w:rPr>
                    <w:sz w:val="17"/>
                  </w:rPr>
                </w:pPr>
                <w:r>
                  <w:rPr>
                    <w:sz w:val="17"/>
                  </w:rPr>
                  <w:t xml:space="preserve">19</w:t>
                </w:r>
              </w:p>
            </w:tc>
            <w:tc>
              <w:tcPr>
                <w:tcW w:w="1667" w:type="pct"/>
              </w:tcPr>
              <w:p>
                <w:pPr>
                  <w:spacing w:after="0" w:line="240" w:lineRule="auto"/>
                  <w:ind w:firstLine="0"/>
                  <w:jc w:val="left"/>
                  <w:rPr>
                    <w:sz w:val="17"/>
                  </w:rPr>
                </w:pPr>
                <w:r>
                  <w:rPr>
                    <w:sz w:val="17"/>
                  </w:rPr>
                  <w:t xml:space="preserve">15</w:t>
                </w:r>
              </w:p>
            </w:tc>
          </w:tr>
          <w:tr>
            <w:trPr>
              <w:cantSplit/>
            </w:trPr>
            <w:tc>
              <w:tcPr>
                <w:tcW w:w="1667" w:type="pct"/>
              </w:tcPr>
              <w:p>
                <w:pPr>
                  <w:spacing w:after="0" w:line="240" w:lineRule="auto"/>
                  <w:ind w:firstLine="0"/>
                  <w:jc w:val="left"/>
                  <w:rPr>
                    <w:sz w:val="17"/>
                  </w:rPr>
                </w:pPr>
                <w:r>
                  <w:rPr>
                    <w:sz w:val="17"/>
                  </w:rPr>
                  <w:t xml:space="preserve">Fuente: buenas prácticas</w:t>
                </w:r>
              </w:p>
            </w:tc>
            <w:tc>
              <w:tcPr>
                <w:tcW w:w="1667" w:type="pct"/>
              </w:tcPr>
              <w:p>
                <w:pPr>
                  <w:spacing w:after="0" w:line="240" w:lineRule="auto"/>
                  <w:ind w:firstLine="0"/>
                  <w:jc w:val="left"/>
                  <w:rPr>
                    <w:sz w:val="17"/>
                  </w:rPr>
                </w:pPr>
                <w:r>
                  <w:rPr>
                    <w:sz w:val="17"/>
                  </w:rPr>
                  <w:t xml:space="preserve">39</w:t>
                </w:r>
              </w:p>
            </w:tc>
            <w:tc>
              <w:tcPr>
                <w:tcW w:w="1667" w:type="pct"/>
              </w:tcPr>
              <w:p>
                <w:pPr>
                  <w:spacing w:after="0" w:line="240" w:lineRule="auto"/>
                  <w:ind w:firstLine="0"/>
                  <w:jc w:val="left"/>
                  <w:rPr>
                    <w:sz w:val="17"/>
                  </w:rPr>
                </w:pPr>
                <w:r>
                  <w:rPr>
                    <w:sz w:val="17"/>
                  </w:rPr>
                  <w:t xml:space="preserve">50</w:t>
                </w:r>
              </w:p>
            </w:tc>
          </w:tr>
          <w:tr>
            <w:trPr>
              <w:cantSplit/>
            </w:trPr>
            <w:tc>
              <w:tcPr>
                <w:tcW w:w="1667" w:type="pct"/>
              </w:tcPr>
              <w:p>
                <w:pPr>
                  <w:spacing w:after="0" w:line="240" w:lineRule="auto"/>
                  <w:ind w:firstLine="0"/>
                  <w:jc w:val="left"/>
                  <w:rPr>
                    <w:sz w:val="17"/>
                  </w:rPr>
                </w:pPr>
                <w:r>
                  <w:rPr>
                    <w:sz w:val="17"/>
                  </w:rPr>
                  <w:t xml:space="preserve">Fuente: pruebas</w:t>
                </w:r>
              </w:p>
            </w:tc>
            <w:tc>
              <w:tcPr>
                <w:tcW w:w="1667" w:type="pct"/>
              </w:tcPr>
              <w:p>
                <w:pPr>
                  <w:spacing w:after="0" w:line="240" w:lineRule="auto"/>
                  <w:ind w:firstLine="0"/>
                  <w:jc w:val="left"/>
                  <w:rPr>
                    <w:sz w:val="17"/>
                  </w:rPr>
                </w:pPr>
                <w:r>
                  <w:rPr>
                    <w:sz w:val="17"/>
                  </w:rPr>
                  <w:t xml:space="preserve">9</w:t>
                </w:r>
              </w:p>
            </w:tc>
            <w:tc>
              <w:tcPr>
                <w:tcW w:w="1667" w:type="pct"/>
              </w:tcPr>
              <w:p>
                <w:pPr>
                  <w:spacing w:after="0" w:line="240" w:lineRule="auto"/>
                  <w:ind w:firstLine="0"/>
                  <w:jc w:val="left"/>
                  <w:rPr>
                    <w:sz w:val="17"/>
                  </w:rPr>
                </w:pPr>
                <w:r>
                  <w:rPr>
                    <w:sz w:val="17"/>
                  </w:rPr>
                  <w:t xml:space="preserve">7</w:t>
                </w:r>
              </w:p>
            </w:tc>
          </w:tr>
          <w:tr>
            <w:trPr>
              <w:cantSplit/>
            </w:trPr>
            <w:tc>
              <w:tcPr>
                <w:tcW w:w="1667" w:type="pct"/>
              </w:tcPr>
              <w:p>
                <w:pPr>
                  <w:spacing w:after="0" w:line="240" w:lineRule="auto"/>
                  <w:ind w:firstLine="0"/>
                  <w:jc w:val="left"/>
                  <w:rPr>
                    <w:sz w:val="17"/>
                  </w:rPr>
                </w:pPr>
                <w:r>
                  <w:rPr>
                    <w:sz w:val="17"/>
                  </w:rPr>
                  <w:t xml:space="preserve">Fuente: seguridad</w:t>
                </w:r>
              </w:p>
            </w:tc>
            <w:tc>
              <w:tcPr>
                <w:tcW w:w="1667" w:type="pct"/>
              </w:tcPr>
              <w:p>
                <w:pPr>
                  <w:spacing w:after="0" w:line="240" w:lineRule="auto"/>
                  <w:ind w:firstLine="0"/>
                  <w:jc w:val="left"/>
                  <w:rPr>
                    <w:sz w:val="17"/>
                  </w:rPr>
                </w:pPr>
                <w:r>
                  <w:rPr>
                    <w:sz w:val="17"/>
                  </w:rPr>
                  <w:t xml:space="preserve">5</w:t>
                </w:r>
              </w:p>
            </w:tc>
            <w:tc>
              <w:tcPr>
                <w:tcW w:w="1667" w:type="pct"/>
              </w:tcPr>
              <w:p>
                <w:pPr>
                  <w:spacing w:after="0" w:line="240" w:lineRule="auto"/>
                  <w:ind w:firstLine="0"/>
                  <w:jc w:val="left"/>
                  <w:rPr>
                    <w:sz w:val="17"/>
                  </w:rPr>
                </w:pPr>
                <w:r>
                  <w:rPr>
                    <w:sz w:val="17"/>
                  </w:rPr>
                  <w:t xml:space="preserve">20</w:t>
                </w:r>
              </w:p>
            </w:tc>
          </w:tr>
          <w:tr>
            <w:trPr>
              <w:cantSplit/>
            </w:trPr>
            <w:tc>
              <w:tcPr>
                <w:tcW w:w="1667" w:type="pct"/>
              </w:tcPr>
              <w:p>
                <w:pPr>
                  <w:spacing w:after="0" w:line="240" w:lineRule="auto"/>
                  <w:ind w:firstLine="0"/>
                  <w:jc w:val="left"/>
                  <w:rPr>
                    <w:sz w:val="17"/>
                  </w:rPr>
                </w:pPr>
                <w:r>
                  <w:rPr>
                    <w:sz w:val="17"/>
                  </w:rPr>
                  <w:t xml:space="preserve">Pull Requests sin observaciones</w:t>
                </w:r>
              </w:p>
            </w:tc>
            <w:tc>
              <w:tcPr>
                <w:tcW w:w="1667" w:type="pct"/>
              </w:tcPr>
              <w:p>
                <w:pPr>
                  <w:spacing w:after="0" w:line="240" w:lineRule="auto"/>
                  <w:ind w:firstLine="0"/>
                  <w:jc w:val="left"/>
                  <w:rPr>
                    <w:sz w:val="17"/>
                  </w:rPr>
                </w:pPr>
                <w:r>
                  <w:rPr>
                    <w:sz w:val="17"/>
                  </w:rPr>
                  <w:t xml:space="preserve">0</w:t>
                </w:r>
              </w:p>
            </w:tc>
            <w:tc>
              <w:tcPr>
                <w:tcW w:w="1667" w:type="pct"/>
              </w:tcPr>
              <w:p>
                <w:pPr>
                  <w:spacing w:after="0" w:line="240" w:lineRule="auto"/>
                  <w:ind w:firstLine="0"/>
                  <w:jc w:val="left"/>
                  <w:rPr>
                    <w:sz w:val="17"/>
                  </w:rPr>
                </w:pPr>
                <w:r>
                  <w:rPr>
                    <w:sz w:val="17"/>
                  </w:rPr>
                  <w:t xml:space="preserve">0</w:t>
                </w:r>
              </w:p>
            </w:tc>
          </w:tr>
          <w:tr>
            <w:trPr>
              <w:cantSplit/>
            </w:trPr>
            <w:tc>
              <w:tcPr>
                <w:tcW w:w="1667" w:type="pct"/>
              </w:tcPr>
              <w:p>
                <w:pPr>
                  <w:spacing w:after="0" w:line="240" w:lineRule="auto"/>
                  <w:ind w:firstLine="0"/>
                  <w:jc w:val="left"/>
                  <w:rPr>
                    <w:sz w:val="17"/>
                  </w:rPr>
                </w:pPr>
                <w:r>
                  <w:rPr>
                    <w:sz w:val="17"/>
                  </w:rPr>
                  <w:t xml:space="preserve">Costo nocional informado por el CLI (USD)</w:t>
                </w:r>
              </w:p>
            </w:tc>
            <w:tc>
              <w:tcPr>
                <w:tcW w:w="1667" w:type="pct"/>
              </w:tcPr>
              <w:p>
                <w:pPr>
                  <w:spacing w:after="0" w:line="240" w:lineRule="auto"/>
                  <w:ind w:firstLine="0"/>
                  <w:jc w:val="left"/>
                  <w:rPr>
                    <w:sz w:val="17"/>
                  </w:rPr>
                </w:pPr>
                <w:r>
                  <w:rPr>
                    <w:sz w:val="17"/>
                  </w:rPr>
                  <w:t xml:space="preserve">14.81</w:t>
                </w:r>
              </w:p>
            </w:tc>
            <w:tc>
              <w:tcPr>
                <w:tcW w:w="1667" w:type="pct"/>
              </w:tcPr>
              <w:p>
                <w:pPr>
                  <w:spacing w:after="0" w:line="240" w:lineRule="auto"/>
                  <w:ind w:firstLine="0"/>
                  <w:jc w:val="left"/>
                  <w:rPr>
                    <w:sz w:val="17"/>
                  </w:rPr>
                </w:pPr>
                <w:r>
                  <w:rPr>
                    <w:sz w:val="17"/>
                  </w:rPr>
                  <w:t xml:space="preserve">11.39</w:t>
                </w:r>
              </w:p>
            </w:tc>
          </w:tr>
        </w:tbl>
        <w:p>
          <w:pPr>
            <w:spacing w:after="0" w:line="240" w:lineRule="auto"/>
            <w:ind w:firstLine="0"/>
          </w:pPr>
        </w:p>
        <w:p>
          <w:r>
            <w:t xml:space="preserve">La Tabla 5.13 describe qué produjo cada condición, no cuál revisó mejor. Con contexto hubo menos observaciones (85 contra 92) y más bloqueantes (7 contra 2). Las 13 observaciones sobre criterios de aceptación no tienen contraparte en la condición de control, que no conoce esos criterios. Sin contexto, el modelo dedicó más observaciones a seguridad (20 contra 5) y a buenas prácticas (50 contra 39). Nada de esto dice qué condición encuentra más problemas reales: una observación de seguridad puede ser un hallazgo o ruido, y una bloqueante puede ser falsa. Lo decide la calificación ciega de las 177 observaciones, pendiente al cierre de este capítulo.</w:t>
          </w:r>
        </w:p>
        <w:p>
          <w:r>
            <w:t xml:space="preserve">La primera ejecución de la condición con contexto se descartó. Tomó el paquete de trabajo de la base de datos, donde Loom lo regenera después de cada revisión con las observaciones de la última ronda y el estado final del paquete, así que el revisor recibió en su entrada observaciones que el piloto ya había hecho. El problema se detectó al armar la hoja de calificación, antes de calificar, y la condición se repitió con el paquete reconstruido desde el historial del repositorio de control. La ejecución descartada había producido 123 observaciones, 38 más que la válida; no se analizó cuántas de ellas repetían las del piloto. Queda registrada, con su costo de 12.90 USD nocionales, y fuera del análisis. La lección es de método: un experimento retrospectivo sobre un sistema que actualiza sus artefactos tiene que reconstruir las entradas desde el historial de versiones.</w:t>
          </w:r>
        </w:p>
        <w:p>
          <w:r>
            <w:t xml:space="preserve">El experimento tiene límites propios. Cada condición se ejecutó una sola vez, de modo que la variabilidad del modelo no está medida. Las revisiones se hicieron sobre código que generaron otros modelos (Sonnet 5 en E1c, Opus 5.5 en E3c), y por eso sus observaciones no sustituyen a las de los pilotos. El cegado, además, es imperfecto: una búsqueda de términos encontró que 50 de las 177 observaciones mencionan la HU, sus criterios, los casos de prueba o la arquitectura (35 de la condición con contexto y 15 de la de control), y eso puede sugerir su origen a quien califica.</w:t>
          </w:r>
        </w:p>
        <w:p>
          <w:pPr>
            <w:pStyle w:val="Heading3"/>
            <w:ind w:firstLine="0"/>
            <w:jc w:val="left"/>
            <w:rPr>
              <w:color w:val="000000"/>
              <w:sz w:val="24"/>
            </w:rPr>
          </w:pPr>
          <w:r>
            <w:rPr>
              <w:color w:val="000000"/>
              <w:sz w:val="24"/>
            </w:rPr>
            <w:t xml:space="preserve">5.2.15 Lo que las corridas no permiten concluir</w:t>
          </w:r>
        </w:p>
        <w:p>
          <w:r>
            <w:t xml:space="preserve">Las dos corridas muestran que el flujo completa el ciclo de punta a punta en dos proyectos de dominios y stacks distintos, que la regla de integración continua impidió fusionar código roto y que las pruebas de humo encuentran omisiones reales de la aplicación. No permiten todavía responder las preguntas de investigación centrales. Para la hipótesis H1 ya existe la revisión de control (apartado 5.2.14); falta la valoración, por una persona y a ciegas, de la relevancia de sus 177 observaciones. Para H2 hay evidencia parcial: el ciclo se completó en el segundo proyecto, pero no solo con cambios de configuración, y la compuerta de compilación sigue sin generalizar. Para H3 faltan las corridas equivalentes con las APIs de Claude y de Gemini, con el modelo fijado y la plataforma congelada. Estos conjuntos de datos son el trabajo pendiente del capítulo.</w:t>
          </w:r>
        </w:p>
      </w:sdtContent>
    </w:sdt>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rPr>
          <w:highlight w:val="yellow"/>
        </w:rPr>
        <w:t xml:space="preserve">Es en esta sección en la que se entregan los resultados experimentales, teóricos o numéricos que son producto del estudio que se presenta. </w:t>
      </w:r>
      <w:r>
        <w:rPr>
          <w:highlight w:val="yellow"/>
        </w:rPr>
        <w:t>L</w:t>
      </w:r>
      <w:r w:rsidRPr="003222AA">
        <w:rPr>
          <w:highlight w:val="yellow"/>
        </w:rPr>
        <w:t xml:space="preserve">as </w:t>
      </w:r>
      <w:r w:rsidRPr="003222AA">
        <w:rPr>
          <w:highlight w:val="yellow"/>
        </w:rPr>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dtPr>
      <w:sdtEndPr/>
      <w:sdtContent>
        <w:p>
          <w:pPr>
            <w:pStyle w:val="Heading3"/>
            <w:ind w:firstLine="0"/>
            <w:jc w:val="left"/>
            <w:rPr>
              <w:color w:val="000000"/>
              <w:sz w:val="24"/>
            </w:rPr>
          </w:pPr>
          <w:r>
            <w:rPr>
              <w:color w:val="000000"/>
              <w:sz w:val="24"/>
            </w:rPr>
            <w:t xml:space="preserve">6.1.1 Respuesta a las preguntas de investigación</w:t>
          </w:r>
        </w:p>
        <w:p>
          <w:r>
            <w:t xml:space="preserve">PI1 (cobertura de los casos de prueba sobre los criterios de aceptación) tiene una respuesta parcial. En las dos corridas del capítulo 5, Loom generó 44 y 101 casos de prueba a partir de los criterios de tres HUs, y las pruebas de humo los ejecutaron contra la aplicación desplegada: 36 aprobados, 2 fallidos y 6 bloqueados en el primer proyecto, y 68, 9 y 24 en el segundo. No se midió todavía qué proporción de los criterios de aceptación, uno por uno, quedó cubierta por al menos un caso, que es lo que la pregunta plantea en sentido estricto; el dato disponible es el resultado de ejecutar los casos generados, no la cobertura de los criterios de origen.</w:t>
          </w:r>
        </w:p>
        <w:p>
          <w:r>
            <w:t xml:space="preserve">PI2 y PI4 no tienen respuesta todavía. Para PI2 ya se hizo la revisión de control: los mismos 29 Pull Requests, revisados con el mismo modelo con contexto y con solo el </w:t>
          </w:r>
          <w:r>
            <w:rPr>
              <w:i/>
            </w:rPr>
            <w:t xml:space="preserve">diff</w:t>
          </w:r>
          <w:r>
            <w:t xml:space="preserve">, dieron 85 y 92 observaciones (apartado 5.2.14). La respuesta depende de cuántas de ellas señalan problemas reales, y esa calificación ciega está pendiente. PI4 exige repetir las corridas con las APIs de Claude y de Gemini en condiciones equivalentes, que no se hicieron.</w:t>
          </w:r>
        </w:p>
        <w:p>
          <w:r>
            <w:t xml:space="preserve">PI3 (si el mismo flujo completa el ciclo en proyectos de dominios distintos cambiando la configuración y no las </w:t>
          </w:r>
          <w:r>
            <w:rPr>
              <w:i/>
            </w:rPr>
            <w:t xml:space="preserve">skills</w:t>
          </w:r>
          <w:r>
            <w:t xml:space="preserve">) tiene una respuesta parcial. El flujo completó el ciclo en el segundo proyecto, con otro dominio y otra pila, sin cambiar ninguna </w:t>
          </w:r>
          <w:r>
            <w:rPr>
              <w:i/>
            </w:rPr>
            <w:t xml:space="preserve">skill</w:t>
          </w:r>
          <w:r>
            <w:t xml:space="preserve">; pero hizo falta corregir tres supuestos de la plataforma sobre la forma del proyecto (ADR-0086 a 0088) y queda un cuarto abierto, la compuerta de compilación, que no se ejecutó en el segundo proyecto. La respuesta es, por ahora, «sí en la lógica de las </w:t>
          </w:r>
          <w:r>
            <w:rPr>
              <w:i/>
            </w:rPr>
            <w:t xml:space="preserve">skills</w:t>
          </w:r>
          <w:r>
            <w:t xml:space="preserve">, no todavía en la infraestructura que las rodea».</w:t>
          </w:r>
        </w:p>
        <w:p>
          <w:r>
            <w:t xml:space="preserve">PI5, exploratoria, tiene una respuesta parcial y es el hallazgo más claro del capítulo 5, ahora en dos proyectos. En el primero, los dos fallos de las pruebas de humo piden una bitácora de auditoría visible para el administrador que ni la revisión ni la compilación señalaron. En el segundo, las pruebas de humo encontraron nueve omisiones (entre ellas, otra vez, la auditoría del administrador) y la integración continua detuvo dos paquetes con pruebas en rojo, uno de ellos aprobado por la revisión. Es la clase de defecto que la pregunta anticipa: pasa la revisión automática y solo se manifiesta al ejecutar el sistema.</w:t>
          </w:r>
        </w:p>
        <w:p>
          <w:pPr>
            <w:pStyle w:val="Heading3"/>
            <w:ind w:firstLine="0"/>
            <w:jc w:val="left"/>
            <w:rPr>
              <w:color w:val="000000"/>
              <w:sz w:val="24"/>
            </w:rPr>
          </w:pPr>
          <w:r>
            <w:rPr>
              <w:color w:val="000000"/>
              <w:sz w:val="24"/>
            </w:rPr>
            <w:t xml:space="preserve">6.1.2 Estado de las hipótesis</w:t>
          </w:r>
        </w:p>
        <w:p>
          <w:r>
            <w:t xml:space="preserve">Ninguna de las tres hipótesis se puede aceptar ni rechazar con la evidencia reunida hasta este corte.</w:t>
          </w:r>
        </w:p>
        <w:p>
          <w:r>
            <w:t xml:space="preserve">H1 (el contexto entregado a la revisión mejora la relevancia de sus observaciones frente a solo el </w:t>
          </w:r>
          <w:r>
            <w:rPr>
              <w:i/>
            </w:rPr>
            <w:t xml:space="preserve">diff</w:t>
          </w:r>
          <w:r>
            <w:t xml:space="preserve">) sigue abierta, aunque ya tiene su comparación de control. Los 29 Pull Requests de los dos pilotos se revisaron de nuevo con contexto y con solo el </w:t>
          </w:r>
          <w:r>
            <w:rPr>
              <w:i/>
            </w:rPr>
            <w:t xml:space="preserve">diff</w:t>
          </w:r>
          <w:r>
            <w:t xml:space="preserve">, con el mismo modelo (apartado 5.2.14). Falta el instrumento que la decide: que una persona califique a ciegas las 177 observaciones como relevantes, mal sustentadas, ruido o falsas. Los conteos por condición no bastan, porque el número de observaciones no dice cuántas señalan problemas reales.</w:t>
          </w:r>
        </w:p>
        <w:p>
          <w:r>
            <w:t xml:space="preserve">H2 (el sistema es generalizable entre dominios cambiando solo la configuración) tiene evidencia parcial y, en su forma estricta, en contra. El segundo proyecto completó el ciclo sin cambiar las </w:t>
          </w:r>
          <w:r>
            <w:rPr>
              <w:i/>
            </w:rPr>
            <w:t xml:space="preserve">skills</w:t>
          </w:r>
          <w:r>
            <w:t xml:space="preserve">, pero no solo con cambios de configuración: el release y la asignación de cuentas de prueba tuvieron que corregirse, y la compuerta de compilación no generalizó. Con esas correcciones incorporadas, la hipótesis debe volver a probarse en un tercer proyecto, o en los escenarios E3 y E4, con la plataforma congelada.</w:t>
          </w:r>
        </w:p>
        <w:p>
          <w:r>
            <w:t xml:space="preserve">H3 (el proveedor de IA afecta la calidad y el costo del resultado, con la arquitectura permitiendo intercambiarlo) sigue abierta en su parte comparativa. La arquitectura sí demostró ser intercambiable en la práctica: la misma plataforma ejecutó corridas con Claude por API, con Claude por CLI y con Gemini sin cambiar ninguna </w:t>
          </w:r>
          <w:r>
            <w:rPr>
              <w:i/>
            </w:rPr>
            <w:t xml:space="preserve">skill</w:t>
          </w:r>
          <w:r>
            <w:t xml:space="preserve">, solo la configuración del Proyecto. Lo que falta es la comparación de calidad y costo en condiciones equivalentes: la corrida con Gemini de la primera etapa del piloto no cubrió las mismas HUs con el mismo procedimiento que la corrida de Claude reportada en el capítulo 5, y por eso no es comparable.</w:t>
          </w:r>
        </w:p>
        <w:p>
          <w:pPr>
            <w:pStyle w:val="Heading3"/>
            <w:ind w:firstLine="0"/>
            <w:jc w:val="left"/>
            <w:rPr>
              <w:color w:val="000000"/>
              <w:sz w:val="24"/>
            </w:rPr>
          </w:pPr>
          <w:r>
            <w:rPr>
              <w:color w:val="000000"/>
              <w:sz w:val="24"/>
            </w:rPr>
            <w:t xml:space="preserve">6.1.3 Cumplimiento de los objetivos específicos</w:t>
          </w:r>
        </w:p>
        <w:p>
          <w:r>
            <w:t xml:space="preserve">De los 11 objetivos específicos del capítulo 1, la plataforma implementa las skills que cubren los objetivos 2 a 9: análisis de HU y generación de casos de prueba, diagnóstico de avance existente, diseño de arquitectura y descomposición, generación de código con Pull Requests, revisión con ciclo de observaciones y rondas de corrección, ejecución de casos de prueba con Playwright, y generación de fixes ante un caso fallido. El objetivo 1 (modelo de Proyecto y fuente de HUs </w:t>
          </w:r>
          <w:r>
            <w:rPr>
              <w:i/>
            </w:rPr>
            <w:t xml:space="preserve">pluggable</w:t>
          </w:r>
          <w:r>
            <w:t xml:space="preserve">) está cubierto para Jira y Markdown, y no para GitHub como fuente de HUs; el objetivo 9 (indexación multi-repositorio) quedó solo a nivel de diseño, sin implementación. El objetivo 10 (validar en dos o tres proyectos, con y sin avance previo, variando la fuente) se cumplió en parte: hay dos proyectos de dominios y pilas distintos, pero los dos son nuevos y usan Jira como fuente, así que el modo con avance previo y las otras fuentes siguen sin validarse. El objetivo 11 (medir por HU) se cumplió de forma parcial: el capítulo 5 reporta tiempo, tokens y costo por </w:t>
          </w:r>
          <w:r>
            <w:rPr>
              <w:i/>
            </w:rPr>
            <w:t xml:space="preserve">skill</w:t>
          </w:r>
          <w:r>
            <w:t xml:space="preserve"> y por paquete, pero no agregado por HU completa, ni el resultado de la integración continua desglosado por paquete más allá de lo narrado en el Anexo C.</w:t>
          </w:r>
        </w:p>
        <w:p>
          <w:r>
            <w:t xml:space="preserve">La plataforma incorpora, además, capacidades que los 11 objetivos originales no previeron: el despliegue a Google Cloud con base de datos y secretos, el release automático por GitHub Actions con identidad federada, las compuertas de ejecución previas al Pull Request, la corrección automática con el registro de la integración continua, la pantalla de decisiones de negocio sobre los supuestos de una HU, y los procesos concurrentes con reglas de exclusión, historial y cancelación. Estas capacidades resultaron necesarias durante la construcción del sistema, principalmente porque un flujo que termina en código sin ejecutar sirve de poco: sin desplegar la aplicación no hay ambiente contra el cual correr las pruebas de humo del objetivo 7. Se reportan aquí como alcance ampliado y no como desviación, precisamente porque no estaban en el objetivo original.</w:t>
          </w:r>
        </w:p>
      </w:sdtContent>
    </w:sdt>
    <w:p w14:paraId="61F33EEA" w14:textId="77777777" w:rsidR="00D12CA7" w:rsidRDefault="00D12CA7" w:rsidP="003222AA"/>
    <w:p w14:paraId="4BC172B8" w14:textId="77777777" w:rsidR="00942DD5" w:rsidRDefault="009C1BCD" w:rsidP="003222AA">
      <w:r w:rsidRPr="003222AA">
        <w:rPr>
          <w:highlight w:val="yellow"/>
        </w:rPr>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dtPr>
      <w:sdtEndPr/>
      <w:sdtContent>
        <w:p>
          <w:r>
            <w:t xml:space="preserve">La corrida del capítulo 5 y el registro de hallazgos de las dos etapas del piloto dejan un conjunto de recomendaciones para quien adopte un enfoque semejante, derivadas de lo que ocurrió y no de principios generales.</w:t>
          </w:r>
        </w:p>
        <w:p>
          <w:r>
            <w:t xml:space="preserve">Ejecutar en un contenedor aislado, antes de abrir el Pull Request, la compilación, el análisis estático y las pruebas unitarias del código generado. En la primera etapa del piloto, sin esa compuerta, el código llegaba a integración continua o al despliegue con errores que un paso local barato habría detectado antes; con la compuerta en su lugar, la corrida del capítulo 5 solo tuvo un paquete que la agotó en sus tres intentos, y ese fue el único que necesitó una ronda de corrección.</w:t>
          </w:r>
        </w:p>
        <w:p>
          <w:r>
            <w:t xml:space="preserve">No fusionar con la integración continua en un estado distinto de verde, incluida la espera activa cuando los </w:t>
          </w:r>
          <w:r>
            <w:rPr>
              <w:i/>
            </w:rPr>
            <w:t xml:space="preserve">checks</w:t>
          </w:r>
          <w:r>
            <w:t xml:space="preserve"> todavía están corriendo. La corrida del capítulo 5 topó con este caso (BASE/PT-05) y la plataforma detuvo la fusión hasta que el resultado quedó disponible.</w:t>
          </w:r>
        </w:p>
        <w:p>
          <w:r>
            <w:t xml:space="preserve">Dar a la revisión el contexto de la historia de usuario, sus criterios de aceptación y la arquitectura aprobada, y no solo el cambio de código. En el experimento de control, solo la revisión con contexto evaluó el cambio contra los criterios de aceptación (13 observaciones contra ninguna); si eso la hace más útil depende de la calificación ciega pendiente (H1). Esa medición debe hacerla una persona con una rúbrica escrita, para que el resultado no dependa del juicio de quien construyó el sistema.</w:t>
          </w:r>
        </w:p>
        <w:p>
          <w:r>
            <w:t xml:space="preserve">Reconstruir desde el historial de versiones las entradas de cualquier experimento que repita una etapa ya ejecutada. La base de datos de Loom guarda el estado más reciente de cada artefacto; la primera ejecución del experimento de control tomó de ahí el paquete de trabajo y recibió, sin que se notara, las observaciones que la revisión original ya había hecho. El repositorio de control conserva cada versión y permitió repetirla con la entrada correcta.</w:t>
          </w:r>
        </w:p>
        <w:p>
          <w:r>
            <w:t xml:space="preserve">Correr pruebas de humo contra un ambiente desplegado, no solo revisar el código. Los dos fallos detectados en la corrida del capítulo 5 (bitácora de auditoría ausente) no aparecieron en ninguna de las 66 observaciones de las 12 revisiones ni impidieron que el código compilara: solo se manifestaron al ejecutar el sistema.</w:t>
          </w:r>
        </w:p>
        <w:p>
          <w:r>
            <w:t xml:space="preserve">Sembrar las cuentas y los datos de prueba antes de correr las pruebas de humo, y no después de que fallen por falta de datos. Cinco de los seis casos bloqueados en la corrida dependían de una cuenta, un buzón de correo o un estado de cuenta que el ambiente no tenía preparado.</w:t>
          </w:r>
        </w:p>
        <w:p>
          <w:r>
            <w:t xml:space="preserve">Congelar la versión del modelo y de la plataforma antes de medir, y registrar ambas junto con la fecha de cada corrida. La salida de un modelo de lenguaje es probabilística y su versión cambia con el tiempo; sin ese registro, una corrida posterior no es comparable con esta.</w:t>
          </w:r>
        </w:p>
        <w:p>
          <w:r>
            <w:t xml:space="preserve">Prever el límite de uso del proveedor de IA como parte del plan de una corrida larga, no como una excepción. La generación de un paquete de la corrida del capítulo 5 falló por el límite de sesión de una suscripción, y una corrida de varias horas debe esperar ese tipo de interrupción y saber reanudar donde quedó.</w:t>
          </w:r>
        </w:p>
        <w:p>
          <w:r>
            <w:t xml:space="preserve">Declarar, para cada intervención de la persona durante una corrida, si ocurrió con una acción de la propia plataforma o fuera de ella. Tres de las nueve intervenciones de la corrida del capítulo 5 se hicieron fuera de Loom (fusionar el Pull Request de despliegue, recrear una base de datos con datos de una corrida anterior y sembrar las cuentas de prueba); sin esa distinción, un informe de autonomía puede dar a entender que el sistema hizo más de lo que hizo.</w:t>
          </w:r>
        </w:p>
        <w:p>
          <w:r>
            <w:t xml:space="preserve">Fijar en la configuración el modelo exacto que usa cada proveedor, también cuando se usa un CLI con suscripción. En el segundo piloto, el CLI tomó un modelo distinto al del primero porque la plataforma no lo fijaba, y el costo y la calidad de las dos corridas dejaron de ser comparables.</w:t>
          </w:r>
        </w:p>
        <w:p>
          <w:r>
            <w:t xml:space="preserve">Hacer que las pruebas y la infraestructura se adapten a la forma del código que se genera, y no al revés. Los supuestos que el segundo piloto derribó (dónde vive cada servicio, cómo se conecta a la base de datos, cuándo recibe el frontend la dirección de la API, cómo se llama cada rol) no estaban en las </w:t>
          </w:r>
          <w:r>
            <w:rPr>
              <w:i/>
            </w:rPr>
            <w:t xml:space="preserve">skills</w:t>
          </w:r>
          <w:r>
            <w:t xml:space="preserve"> sino en el código que las rodea, y solo aparecieron al probar un segundo stack.</w:t>
          </w:r>
        </w:p>
      </w:sdtContent>
    </w:sdt>
    <w:p w14:paraId="6CCB528F" w14:textId="77777777" w:rsidR="009C1BCD" w:rsidRDefault="009C1BCD" w:rsidP="00D12CA7">
      <w:pPr>
        <w:ind w:firstLine="0"/>
      </w:pPr>
    </w:p>
    <w:p w14:paraId="4F2B214C" w14:textId="77777777" w:rsidR="00942DD5" w:rsidRDefault="009C1BCD" w:rsidP="001D44EE">
      <w:r w:rsidRPr="009C1BCD">
        <w:rPr>
          <w:highlight w:val="yellow"/>
        </w:rPr>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La sexta nace del segundo piloto: que la compuerta de compilación reconozca los monorepos con </w:t>
          </w:r>
          <w:r>
            <w:rPr>
              <w:i/>
            </w:rPr>
            <w:t xml:space="preserve">workspaces</w:t>
          </w:r>
          <w:r>
            <w:t xml:space="preserve"> (no se ejecutó en ningún paquete del segundo proyecto); que la </w:t>
          </w:r>
          <w:r>
            <w:rPr>
              <w:i/>
            </w:rPr>
            <w:t xml:space="preserve">skill</w:t>
          </w:r>
          <w:r>
            <w:t xml:space="preserve"> de casos de prueba escriba el rol con los nombres de las cuentas configuradas en lugar de texto libre; que la plataforma contraste las variables de entorno configuradas con las que exige el código generado (su </w:t>
          </w:r>
          <w:r>
            <w:rPr>
              <w:rFonts w:ascii="Consolas" w:hAnsi="Consolas" w:cs="Consolas"/>
            </w:rPr>
            <w:t xml:space="preserve">.env.example</w:t>
          </w:r>
          <w:r>
            <w:t xml:space="preserve"> o su esquema de configuración); que la corrección con el registro del CI esté disponible desde la interfaz para cualquier paquete con el CI en rojo, incluso uno aprobado; y que el modelo del CLI quede fijado y registrado por corrida.</w:t>
          </w:r>
        </w:p>
        <w:p>
          <w:r>
            <w:t xml:space="preserve">La séptima es completar el experimento de control de la revisión: repetir cada condición sobre una muestra de Pull Requests para medir la variabilidad del modelo, y sumar una segunda persona evaluadora para estimar el acuerdo entre calificaciones.</w:t>
          </w:r>
        </w:p>
        <w:p>
          <w:r>
            <w:t xml:space="preserve">Por último, la validez externa mejoraría con un tercer proyecto con avance previo, con otra fuente de HUs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rPr>
          <w:highlight w:val="yellow"/>
        </w:rPr>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S. Peng, E. Kalliamvakou, P. Cihon, and M. Demirer, "The impact of AI on developer productivity: Evidence from GitHub Copilot," arXiv:2302.06590, 2023.</w:t>
          </w:r>
        </w:p>
        <w:p>
          <w:r>
            <w:t xml:space="preserve">[6] A. Vaswani </w:t>
          </w:r>
          <w:r>
            <w:rPr>
              <w:i/>
            </w:rPr>
            <w:t xml:space="preserve">et al.</w:t>
          </w:r>
          <w:r>
            <w:t xml:space="preserve">, "Attention is all you need," arXiv:1706.03762, 2017.</w:t>
          </w:r>
        </w:p>
        <w:p>
          <w:r>
            <w:t xml:space="preserve">[7] T. B. Brown </w:t>
          </w:r>
          <w:r>
            <w:rPr>
              <w:i/>
            </w:rPr>
            <w:t xml:space="preserve">et al.</w:t>
          </w:r>
          <w:r>
            <w:t xml:space="preserve">, "Language models are few-shot learners," arXiv:2005.14165, 2020.</w:t>
          </w:r>
        </w:p>
        <w:p>
          <w:r>
            <w:t xml:space="preserve">[8] L. Ouyang </w:t>
          </w:r>
          <w:r>
            <w:rPr>
              <w:i/>
            </w:rPr>
            <w:t xml:space="preserve">et al.</w:t>
          </w:r>
          <w:r>
            <w:t xml:space="preserve">, "Training language models to follow instructions with human feedback," arXiv:2203.02155, 2022.</w:t>
          </w:r>
        </w:p>
        <w:p>
          <w:r>
            <w:t xml:space="preserve">[9] N. F. Liu, K. Lin, J. Hewitt, A. Paranjape, M. Bevilacqua, F. Petroni, and P. Liang, "Lost in the middle: How language models use long contexts," </w:t>
          </w:r>
          <w:r>
            <w:rPr>
              <w:i/>
            </w:rPr>
            <w:t xml:space="preserve">Trans. Assoc. Comput. Linguistics</w:t>
          </w:r>
          <w:r>
            <w:t xml:space="preserve">, arXiv:2307.03172, 2023.</w:t>
          </w:r>
        </w:p>
        <w:p>
          <w:r>
            <w:t xml:space="preserve">[10] P. Lewis </w:t>
          </w:r>
          <w:r>
            <w:rPr>
              <w:i/>
            </w:rPr>
            <w:t xml:space="preserve">et al.</w:t>
          </w:r>
          <w:r>
            <w:t xml:space="preserve">, "Retrieval-augmented generation for knowledge-intensive NLP tasks," in </w:t>
          </w:r>
          <w:r>
            <w:rPr>
              <w:i/>
            </w:rPr>
            <w:t xml:space="preserve">Adv. Neural Inf. Process. Syst. (NeurIPS)</w:t>
          </w:r>
          <w:r>
            <w:t xml:space="preserve">, 2020, arXiv:2005.11401.</w:t>
          </w:r>
        </w:p>
        <w:p>
          <w:r>
            <w:t xml:space="preserve">[11] Z. Ji </w:t>
          </w:r>
          <w:r>
            <w:rPr>
              <w:i/>
            </w:rPr>
            <w:t xml:space="preserve">et al.</w:t>
          </w:r>
          <w:r>
            <w:t xml:space="preserve">, "Survey of hallucination in natural language generation," </w:t>
          </w:r>
          <w:r>
            <w:rPr>
              <w:i/>
            </w:rPr>
            <w:t xml:space="preserve">ACM Comput. Surv.</w:t>
          </w:r>
          <w:r>
            <w:t xml:space="preserve">, 2022, arXiv:2202.03629.</w:t>
          </w:r>
        </w:p>
        <w:p>
          <w:r>
            <w:t xml:space="preserve">[12] S. Yao, J. Zhao, D. Yu, N. Du, I. Shafran, K. Narasimhan, and Y. Cao, "ReAct: Synergizing reasoning and acting in language models," in </w:t>
          </w:r>
          <w:r>
            <w:rPr>
              <w:i/>
            </w:rPr>
            <w:t xml:space="preserve">Proc. Int. Conf. Learn. Represent. (ICLR)</w:t>
          </w:r>
          <w:r>
            <w:t xml:space="preserve">, 2023, arXiv:2210.03629.</w:t>
          </w:r>
        </w:p>
        <w:p>
          <w:r>
            <w:t xml:space="preserve">[13] J. Yang, C. E. Jimenez, A. Wettig, K. Lieret, S. Yao, K. Narasimhan, and O. Press, "SWE-agent: Agent-computer interfaces enable automated software engineering," arXiv:2405.15793, 2024.</w:t>
          </w:r>
        </w:p>
        <w:p>
          <w:r>
            <w:t xml:space="preserve">[14] Anthropic, "Tool use with Claude," Claude Docs. Accessed: Sep. 21, 2026. [Online]. Available: https://platform.claude.com/docs/en/agents-and-tools/tool-use/overview</w:t>
          </w:r>
        </w:p>
        <w:p>
          <w:r>
            <w:t xml:space="preserve">[15] M. Chen </w:t>
          </w:r>
          <w:r>
            <w:rPr>
              <w:i/>
            </w:rPr>
            <w:t xml:space="preserve">et al.</w:t>
          </w:r>
          <w:r>
            <w:t xml:space="preserve">, "Evaluating large language models trained on code," arXiv:2107.03374, 2021.</w:t>
          </w:r>
        </w:p>
        <w:p>
          <w:r>
            <w:t xml:space="preserve">[16] H. Pearce, B. Ahmad, B. Tan, B. Dolan-Gavitt, and R. Karri, "Asleep at the keyboard? Assessing the security of GitHub Copilot's code contributions," in </w:t>
          </w:r>
          <w:r>
            <w:rPr>
              <w:i/>
            </w:rPr>
            <w:t xml:space="preserve">Proc. IEEE Symp. Security Privacy (SP)</w:t>
          </w:r>
          <w:r>
            <w:t xml:space="preserve">, 2022, arXiv:2108.09293.</w:t>
          </w:r>
        </w:p>
        <w:p>
          <w:r>
            <w:t xml:space="preserve">[17] M. Cohn, </w:t>
          </w:r>
          <w:r>
            <w:rPr>
              <w:i/>
            </w:rPr>
            <w:t xml:space="preserve">User Stories Applied: For Agile Software Development</w:t>
          </w:r>
          <w:r>
            <w:t xml:space="preserve">. Boston, MA, USA: Addison-Wesley, 2004.</w:t>
          </w:r>
        </w:p>
        <w:p>
          <w:r>
            <w:t xml:space="preserve">[18] D. North, "Introducing BDD," </w:t>
          </w:r>
          <w:r>
            <w:rPr>
              <w:i/>
            </w:rPr>
            <w:t xml:space="preserve">Better Software</w:t>
          </w:r>
          <w:r>
            <w:t xml:space="preserve">, Mar. 2006. [Online]. Available: https://dannorth.net/introducing-bdd/</w:t>
          </w:r>
        </w:p>
        <w:p>
          <w:r>
            <w:t xml:space="preserve">[19]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[20] M. Fowler, "Test pyramid," martinfowler.com, May 1, 2012. [Online]. Available: https://martinfowler.com/bliki/TestPyramid.html</w:t>
          </w:r>
        </w:p>
        <w:p>
          <w:r>
            <w:t xml:space="preserve">[21] K. Beck, </w:t>
          </w:r>
          <w:r>
            <w:rPr>
              <w:i/>
            </w:rPr>
            <w:t xml:space="preserve">Test-Driven Development: By Example</w:t>
          </w:r>
          <w:r>
            <w:t xml:space="preserve">. Boston, MA, USA: Addison-Wesley, 2002.</w:t>
          </w:r>
        </w:p>
        <w:p>
          <w:r>
            <w:t xml:space="preserve">[22] Microsoft, "Installation," Playwright Docs. Accessed: Sep. 21, 2026. [Online]. Available: https://playwright.dev/docs/intro</w:t>
          </w:r>
        </w:p>
        <w:p>
          <w:r>
            <w:t xml:space="preserve">[23] ISTQB, "Smoke test," ISTQB Glossary. Accessed: Sep. 28, 2026. [Online]. Available: https://glossary.istqb.org/en/term/smoke-test-1</w:t>
          </w:r>
        </w:p>
        <w:p>
          <w:r>
            <w:t xml:space="preserve">[24] M. E. Fagan, "Design and code inspections to reduce errors in program development," </w:t>
          </w:r>
          <w:r>
            <w:rPr>
              <w:i/>
            </w:rPr>
            <w:t xml:space="preserve">IBM Syst. J.</w:t>
          </w:r>
          <w:r>
            <w:t xml:space="preserve">, vol. 15, no. 3, pp. 182–211, 1976, doi: 10.1147/sj.153.0182.</w:t>
          </w:r>
        </w:p>
        <w:p>
          <w:r>
            <w:t xml:space="preserve">[25] C. Sadowski, E. Söderberg, L. Church, M. Sipko, and A. Bacchelli, "Modern code review: A case study at Google," in </w:t>
          </w:r>
          <w:r>
            <w:rPr>
              <w:i/>
            </w:rPr>
            <w:t xml:space="preserve">Proc. Int. Conf. Softw. Eng.: Softw. Eng. Pract. (ICSE-SEIP)</w:t>
          </w:r>
          <w:r>
            <w:t xml:space="preserve">, 2018, pp. 181–190, doi: 10.1145/3183519.3183525.</w:t>
          </w:r>
        </w:p>
        <w:p>
          <w:r>
            <w:t xml:space="preserve">[26] M. V. Mäntylä and C. Lassenius, "What types of defects are really discovered in code reviews?," </w:t>
          </w:r>
          <w:r>
            <w:rPr>
              <w:i/>
            </w:rPr>
            <w:t xml:space="preserve">IEEE Trans. Softw. Eng.</w:t>
          </w:r>
          <w:r>
            <w:t xml:space="preserve">, vol. 35, pp. 430–448, 2009, doi: 10.1109/TSE.2008.71.</w:t>
          </w:r>
        </w:p>
        <w:p>
          <w:r>
            <w:t xml:space="preserve">[27] R. Tufano, L. Pascarella, M. Tufano, D. Poshyvanyk, and G. Bavota, "Towards automating code review activities," in </w:t>
          </w:r>
          <w:r>
            <w:rPr>
              <w:i/>
            </w:rPr>
            <w:t xml:space="preserve">Proc. Int. Conf. Softw. Eng. (ICSE)</w:t>
          </w:r>
          <w:r>
            <w:t xml:space="preserve">, 2021, arXiv:2101.02518.</w:t>
          </w:r>
        </w:p>
        <w:p>
          <w:r>
            <w:t xml:space="preserve">[28]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arXiv:2203.09095.</w:t>
          </w:r>
        </w:p>
        <w:p>
          <w:r>
            <w:t xml:space="preserve">[29] M. Fowler, "Continuous integration," martinfowler.com, Sep. 10, 2000, updated Jan. 18, 2024. [Online]. Available: https://martinfowler.com/articles/continuousIntegration.html</w:t>
          </w:r>
        </w:p>
        <w:p>
          <w:r>
            <w:t xml:space="preserve">[30] J. Humble and D. Farley, </w:t>
          </w:r>
          <w:r>
            <w:rPr>
              <w:i/>
            </w:rPr>
            <w:t xml:space="preserve">Continuous Delivery: Reliable Software Releases through Build, Test, and Deployment Automation</w:t>
          </w:r>
          <w:r>
            <w:t xml:space="preserve">. Boston, MA, USA: Addison-Wesley, 2010.</w:t>
          </w:r>
        </w:p>
        <w:p>
          <w:r>
            <w:t xml:space="preserve">[31] D. Merkel, "Docker: Lightweight Linux containers for consistent development and deployment," </w:t>
          </w:r>
          <w:r>
            <w:rPr>
              <w:i/>
            </w:rPr>
            <w:t xml:space="preserve">Linux J.</w:t>
          </w:r>
          <w:r>
            <w:t xml:space="preserve">, vol. 2014, no. 239, Mar. 2014.</w:t>
          </w:r>
        </w:p>
        <w:p>
          <w:r>
            <w:t xml:space="preserve">[32] Google Cloud, "Workload Identity Federation," Google Cloud IAM Docs. Accessed: Sep. 21, 2026. [Online]. Available: https://docs.cloud.google.com/iam/docs/workload-identity-federation</w:t>
          </w:r>
        </w:p>
        <w:p>
          <w:r>
            <w:t xml:space="preserve">[33] GitHub, "OpenID Connect," GitHub Docs. Accessed: Sep. 21, 2026. [Online]. Available: https://docs.github.com/en/actions/concepts/security/openid-connect</w:t>
          </w:r>
        </w:p>
        <w:p>
          <w:r>
            <w:t xml:space="preserve">[34] A. Jansen and J. Bosch, "Software architecture as a set of architectural design decisions," in </w:t>
          </w:r>
          <w:r>
            <w:rPr>
              <w:i/>
            </w:rPr>
            <w:t xml:space="preserve">Proc. Work. IEEE/IFIP Conf. Softw. Archit. (WICSA)</w:t>
          </w:r>
          <w:r>
            <w:t xml:space="preserve">, 2005, pp. 109–120, doi: 10.1109/WICSA.2005.61.</w:t>
          </w:r>
        </w:p>
        <w:p>
          <w:r>
            <w:t xml:space="preserve">[35] M. Nygard, "Documenting architecture decisions," Cognitect Blog, Nov. 15, 2011. [Online]. Available: https://www.cognitect.com/blog/2011/11/15/documenting-architecture-decisions</w:t>
          </w:r>
        </w:p>
        <w:p>
          <w:r>
            <w:t xml:space="preserve">[36] P. Runeson and M. Höst, "Guidelines for conducting and reporting case study research in software engineering," </w:t>
          </w:r>
          <w:r>
            <w:rPr>
              <w:i/>
            </w:rPr>
            <w:t xml:space="preserve">Empirical Softw. Eng.</w:t>
          </w:r>
          <w:r>
            <w:t xml:space="preserve">, vol. 14, no. 2, pp. 131–164, 2009, doi: 10.1007/s10664-008-9102-8.</w:t>
          </w:r>
        </w:p>
        <w:p>
          <w:r>
            <w:t xml:space="preserve">[37] C. Wohlin, P. Runeson, M. Höst, M. C. Ohlsson, B. Regnell, and A. Wesslén, </w:t>
          </w:r>
          <w:r>
            <w:rPr>
              <w:i/>
            </w:rPr>
            <w:t xml:space="preserve">Experimentation in Software Engineering</w:t>
          </w:r>
          <w:r>
            <w:t xml:space="preserve">. Berlin, Germany: Springer, 2012, doi: 10.1007/978-3-642-29044-2.</w:t>
          </w:r>
        </w:p>
        <w:p>
          <w:r>
            <w:t xml:space="preserve">[38] A. Arcuri and L. Briand, "A practical guide for using statistical tests to assess randomized algorithms in software engineering," in </w:t>
          </w:r>
          <w:r>
            <w:rPr>
              <w:i/>
            </w:rPr>
            <w:t xml:space="preserve">Proc. Int. Conf. Softw. Eng. (ICSE)</w:t>
          </w:r>
          <w:r>
            <w:t xml:space="preserve">, 2011, pp. 1–10, doi: 10.1145/1985793.1985795.</w:t>
          </w:r>
        </w:p>
        <w:p>
          <w:r>
            <w:t xml:space="preserve">[39] F. Wilcoxon, "Individual comparisons by ranking methods," </w:t>
          </w:r>
          <w:r>
            <w:rPr>
              <w:i/>
            </w:rPr>
            <w:t xml:space="preserve">Biometrics Bull.</w:t>
          </w:r>
          <w:r>
            <w:t xml:space="preserve">, vol. 1, no. 6, pp. 80–83, Dec. 1945.</w:t>
          </w:r>
        </w:p>
        <w:p>
          <w:r>
            <w:t xml:space="preserve">[40] L. Zheng </w:t>
          </w:r>
          <w:r>
            <w:rPr>
              <w:i/>
            </w:rPr>
            <w:t xml:space="preserve">et al.</w:t>
          </w:r>
          <w:r>
            <w:t xml:space="preserve">, "Judging LLM-as-a-judge with MT-Bench and Chatbot Arena," in </w:t>
          </w:r>
          <w:r>
            <w:rPr>
              <w:i/>
            </w:rPr>
            <w:t xml:space="preserve">Adv. Neural Inf. Process. Syst. (NeurIPS), Datasets and Benchmarks Track</w:t>
          </w:r>
          <w:r>
            <w:t xml:space="preserve">, 2023, arXiv:2306.05685.</w:t>
          </w:r>
        </w:p>
        <w:p>
          <w:r>
            <w:t xml:space="preserve">[41] Y. Zhang, H. Ruan, Z. Fan, and A. Roychoudhury, "AutoCodeRover: Autonomous program improvement," in </w:t>
          </w:r>
          <w:r>
            <w:rPr>
              <w:i/>
            </w:rPr>
            <w:t xml:space="preserve">Proc. ACM SIGSOFT Int. Symp. Softw. Testing Anal. (ISSTA)</w:t>
          </w:r>
          <w:r>
            <w:t xml:space="preserve">, 2024, arXiv:2404.05427.</w:t>
          </w:r>
        </w:p>
        <w:p>
          <w:r>
            <w:t xml:space="preserve">[42] X. Wang </w:t>
          </w:r>
          <w:r>
            <w:rPr>
              <w:i/>
            </w:rPr>
            <w:t xml:space="preserve">et al.</w:t>
          </w:r>
          <w:r>
            <w:t xml:space="preserve">, "OpenHands: An open platform for AI software developers as generalist agents," in </w:t>
          </w:r>
          <w:r>
            <w:rPr>
              <w:i/>
            </w:rPr>
            <w:t xml:space="preserve">Proc. Int. Conf. Learn. Represent. (ICLR)</w:t>
          </w:r>
          <w:r>
            <w:t xml:space="preserve">, 2025, arXiv:2407.16741.</w:t>
          </w:r>
        </w:p>
        <w:p>
          <w:r>
            <w:t xml:space="preserve">[43] C. S. Xia, Y. Deng, S. Dunn, and L. Zhang, "Agentless: Demystifying LLM-based software engineering agents," arXiv:2407.01489, 2024.</w:t>
          </w:r>
        </w:p>
        <w:p>
          <w:r>
            <w:t xml:space="preserve">[44] S. Hong </w:t>
          </w:r>
          <w:r>
            <w:rPr>
              <w:i/>
            </w:rPr>
            <w:t xml:space="preserve">et al.</w:t>
          </w:r>
          <w:r>
            <w:t xml:space="preserve">, "MetaGPT: Meta programming for a multi-agent collaborative framework," arXiv:2308.00352, 2023.</w:t>
          </w:r>
        </w:p>
        <w:p>
          <w:r>
            <w:t xml:space="preserve">[45]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[46] GitHub, "About GitHub Copilot cloud agent," GitHub Docs. Accessed: Sep. 21, 2026. [Online]. Available: https://docs.github.com/en/copilot/concepts/agents/coding-agent/about-coding-agent</w:t>
          </w:r>
        </w:p>
        <w:p>
          <w:r>
            <w:t xml:space="preserve">[47] Anthropic, "Claude Code overview," Claude Code Docs. Accessed: Sep. 21, 2026. [Online]. Available: https://code.claude.com/docs/en/overview</w:t>
          </w:r>
        </w:p>
        <w:p>
          <w:r>
            <w:t xml:space="preserve">[48] J. Lu, L. Yu, X. Li, L. Yang, and C. Zuo, "LLaMA-Reviewer: Advancing code review automation with large language models through parameter-efficient fine-tuning," in </w:t>
          </w:r>
          <w:r>
            <w:rPr>
              <w:i/>
            </w:rPr>
            <w:t xml:space="preserve">Proc. IEEE Int. Symp. Softw. Rel. Eng. (ISSRE)</w:t>
          </w:r>
          <w:r>
            <w:t xml:space="preserve">, 2023, pp. 647–658, arXiv:2308.11148.</w:t>
          </w:r>
        </w:p>
        <w:p>
          <w:r>
            <w:t xml:space="preserve">[49] R. Tufano, O. Dabić, A. Mastropaolo, M. Ciniselli, and G. Bavota, "Code review automation: Strengths and weaknesses of the state of the art," arXiv:2401.05136, 2024.</w:t>
          </w:r>
        </w:p>
        <w:p>
          <w:r>
            <w:t xml:space="preserve">[50] U. Cihan, V. Haratian, A. İçöz, M. K. Gül, Ö. Devran, E. F. Bayendur, B. M. Uçar, and E. Tüzün, "Automated code review in practice," in </w:t>
          </w:r>
          <w:r>
            <w:rPr>
              <w:i/>
            </w:rPr>
            <w:t xml:space="preserve">Proc. Int. Conf. Softw. Eng.: Softw. Eng. Pract. (ICSE-SEIP)</w:t>
          </w:r>
          <w:r>
            <w:t xml:space="preserve">, 2025, arXiv:2412.18531.</w:t>
          </w:r>
        </w:p>
        <w:p>
          <w:r>
            <w:t xml:space="preserve">[51] K. Tantithamthavorn </w:t>
          </w:r>
          <w:r>
            <w:rPr>
              <w:i/>
            </w:rPr>
            <w:t xml:space="preserve">et al.</w:t>
          </w:r>
          <w:r>
            <w:t xml:space="preserve">, "RovoDev Code Reviewer: A large-scale online evaluation of LLM-based code review automation at Atlassian," in </w:t>
          </w:r>
          <w:r>
            <w:rPr>
              <w:i/>
            </w:rPr>
            <w:t xml:space="preserve">Proc. Int. Conf. Softw. Eng.: Softw. Eng. Pract. (ICSE-SEIP)</w:t>
          </w:r>
          <w:r>
            <w:t xml:space="preserve">, 2026, arXiv:2601.01129.</w:t>
          </w:r>
        </w:p>
        <w:p>
          <w:r>
            <w:t xml:space="preserve">[52] S. Ramesh, J. Bose, H. Singh, A. K. Raghavan, S. Roychowdhury, G. Sridhara, N. Saini, and R. Britto, "Automated code review using large language models at Ericsson: An experience report," in </w:t>
          </w:r>
          <w:r>
            <w:rPr>
              <w:i/>
            </w:rPr>
            <w:t xml:space="preserve">Proc. IEEE Int. Conf. Softw. Maint. Evol. (ICSME)</w:t>
          </w:r>
          <w:r>
            <w:t xml:space="preserve">, 2025, arXiv:2507.19115.</w:t>
          </w:r>
        </w:p>
        <w:p>
          <w:r>
            <w:t xml:space="preserve">[53] K. Wang, B. Mao, S. Jia, Y. Ding, D. Han, T. Ma, and B. Cao, "SGCR: A specification-grounded framework for trustworthy LLM code review," arXiv:2512.17540, 2025.</w:t>
          </w:r>
        </w:p>
        <w:p>
          <w:r>
            <w:t xml:space="preserve">[54] M. Schäfer, S. Nadi, A. Eghbali, and F. Tip, "An empirical evaluation of using large language models for automated unit test generation," arXiv:2302.06527, 2023.</w:t>
          </w:r>
        </w:p>
        <w:p>
          <w:r>
            <w:t xml:space="preserve">[55] N. Alshahwan, J. Chheda, A. Finegenova, B. Gokkaya, M. Harman, I. Harper, A. Marginean, S. Sengupta, and E. Wang, "Automated unit test improvement using large language models at Meta," in </w:t>
          </w:r>
          <w:r>
            <w:rPr>
              <w:i/>
            </w:rPr>
            <w:t xml:space="preserve">Proc. ACM Int. Conf. Found. Softw. Eng. (FSE)</w:t>
          </w:r>
          <w:r>
            <w:t xml:space="preserve">, 2024, arXiv:2402.09171.</w:t>
          </w:r>
        </w:p>
        <w:p>
          <w:r>
            <w:t xml:space="preserve">[56] M. Ferreira, L. Viegas, J. P. Faria, and B. Lima, "Acceptance test generation with large language models: An industrial case study," in </w:t>
          </w:r>
          <w:r>
            <w:rPr>
              <w:i/>
            </w:rPr>
            <w:t xml:space="preserve">Proc. IEEE/ACM Int. Conf. Autom. Softw. Test (AST)</w:t>
          </w:r>
          <w:r>
            <w:t xml:space="preserve">, 2025, arXiv:2504.07244.</w:t>
          </w:r>
        </w:p>
        <w:p>
          <w:r>
            <w:t xml:space="preserve">[57] O. Folorunsho and H. Reza, "AI-driven test case generation from natural language requirements: A survey of techniques and research gaps," arXiv:2606.06563, 2026.</w:t>
          </w:r>
        </w:p>
        <w:p>
          <w:r>
            <w:t xml:space="preserve">[58] A. R. Hevner, S. T. March, J. Park, and S. Ram, "Design science in information systems research," </w:t>
          </w:r>
          <w:r>
            <w:rPr>
              <w:i/>
            </w:rPr>
            <w:t xml:space="preserve">MIS Quarterly</w:t>
          </w:r>
          <w:r>
            <w:t xml:space="preserve">, vol. 28, no. 1, pp. 75–105, Mar. 2004.</w:t>
          </w:r>
        </w:p>
      </w:sdtContent>
    </w:sdt>
    <w:p w14:paraId="5FAE4A57" w14:textId="77777777" w:rsidR="001D44EE" w:rsidRDefault="001D44EE" w:rsidP="009C1BCD"/>
    <w:p w14:paraId="3C66E06B" w14:textId="77777777" w:rsidR="009C1BCD" w:rsidRDefault="009C1BCD" w:rsidP="009C1BCD">
      <w:r w:rsidRPr="009C1BCD">
        <w:rPr>
          <w:highlight w:val="yellow"/>
        </w:rPr>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rPr>
          <w:highlight w:val="yellow"/>
        </w:rPr>
        <w:t>ejemplo,</w:t>
      </w:r>
      <w:r w:rsidRPr="009C1BCD">
        <w:rPr>
          <w:highlight w:val="yellow"/>
        </w:rPr>
        <w:t xml:space="preserve"> APA, IEEE, ISO, entre otros).</w:t>
      </w:r>
    </w:p>
    <w:p w14:paraId="51BC4987" w14:textId="77777777" w:rsidR="009C1BCD" w:rsidRPr="001D44EE" w:rsidRDefault="009C1BCD" w:rsidP="009C1BCD"/>
    <w:p w14:paraId="06B6EFD4" w14:textId="77777777" w:rsidR="00240FC9" w:rsidRPr="001D44EE" w:rsidRDefault="00C84B1F" w:rsidP="001D44EE">
      <w:r w:rsidRPr="001D44EE">
        <w:rPr>
          <w:highlight w:val="yellow"/>
        </w:rPr>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r>
            <w:t xml:space="preserve">Anexo A. Registros de decisión de arquitectura (ADR). 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r>
            <w:trPr>
              <w:cantSplit/>
            </w:trPr>
            <w:tc>
              <w:tcPr>
                <w:tcW w:w="556" w:type="pct"/>
              </w:tcPr>
              <w:p>
                <w:pPr>
                  <w:spacing w:after="0" w:line="240" w:lineRule="auto"/>
                  <w:ind w:firstLine="0"/>
                  <w:jc w:val="left"/>
                  <w:rPr>
                    <w:sz w:val="17"/>
                  </w:rPr>
                </w:pPr>
                <w:r>
                  <w:rPr>
                    <w:sz w:val="17"/>
                  </w:rPr>
                  <w:t xml:space="preserve">0085</w:t>
                </w:r>
              </w:p>
            </w:tc>
            <w:tc>
              <w:tcPr>
                <w:tcW w:w="4444" w:type="pct"/>
              </w:tcPr>
              <w:p>
                <w:pPr>
                  <w:spacing w:after="0" w:line="240" w:lineRule="auto"/>
                  <w:ind w:firstLine="0"/>
                  <w:jc w:val="left"/>
                  <w:rPr>
                    <w:sz w:val="17"/>
                  </w:rPr>
                </w:pPr>
                <w:r>
                  <w:rPr>
                    <w:sz w:val="17"/>
                  </w:rPr>
                  <w:t xml:space="preserve">Proveedor de Workload Identity compartido entre Proyectos del mismo proyecto de GCP</w:t>
                </w:r>
              </w:p>
            </w:tc>
          </w:tr>
          <w:tr>
            <w:trPr>
              <w:cantSplit/>
            </w:trPr>
            <w:tc>
              <w:tcPr>
                <w:tcW w:w="556" w:type="pct"/>
              </w:tcPr>
              <w:p>
                <w:pPr>
                  <w:spacing w:after="0" w:line="240" w:lineRule="auto"/>
                  <w:ind w:firstLine="0"/>
                  <w:jc w:val="left"/>
                  <w:rPr>
                    <w:sz w:val="17"/>
                  </w:rPr>
                </w:pPr>
                <w:r>
                  <w:rPr>
                    <w:sz w:val="17"/>
                  </w:rPr>
                  <w:t xml:space="preserve">0086</w:t>
                </w:r>
              </w:p>
            </w:tc>
            <w:tc>
              <w:tcPr>
                <w:tcW w:w="4444" w:type="pct"/>
              </w:tcPr>
              <w:p>
                <w:pPr>
                  <w:spacing w:after="0" w:line="240" w:lineRule="auto"/>
                  <w:ind w:firstLine="0"/>
                  <w:jc w:val="left"/>
                  <w:rPr>
                    <w:sz w:val="17"/>
                  </w:rPr>
                </w:pPr>
                <w:r>
                  <w:rPr>
                    <w:sz w:val="17"/>
                  </w:rPr>
                  <w:t xml:space="preserve">El release ubica los servicios en monorepos con workspaces</w:t>
                </w:r>
              </w:p>
            </w:tc>
          </w:tr>
          <w:tr>
            <w:trPr>
              <w:cantSplit/>
            </w:trPr>
            <w:tc>
              <w:tcPr>
                <w:tcW w:w="556" w:type="pct"/>
              </w:tcPr>
              <w:p>
                <w:pPr>
                  <w:spacing w:after="0" w:line="240" w:lineRule="auto"/>
                  <w:ind w:firstLine="0"/>
                  <w:jc w:val="left"/>
                  <w:rPr>
                    <w:sz w:val="17"/>
                  </w:rPr>
                </w:pPr>
                <w:r>
                  <w:rPr>
                    <w:sz w:val="17"/>
                  </w:rPr>
                  <w:t xml:space="preserve">0087</w:t>
                </w:r>
              </w:p>
            </w:tc>
            <w:tc>
              <w:tcPr>
                <w:tcW w:w="4444" w:type="pct"/>
              </w:tcPr>
              <w:p>
                <w:pPr>
                  <w:spacing w:after="0" w:line="240" w:lineRule="auto"/>
                  <w:ind w:firstLine="0"/>
                  <w:jc w:val="left"/>
                  <w:rPr>
                    <w:sz w:val="17"/>
                  </w:rPr>
                </w:pPr>
                <w:r>
                  <w:rPr>
                    <w:sz w:val="17"/>
                  </w:rPr>
                  <w:t xml:space="preserve">El release entrega la cadena de conexión y la URL de la API al compilar el frontend</w:t>
                </w:r>
              </w:p>
            </w:tc>
          </w:tr>
          <w:tr>
            <w:trPr>
              <w:cantSplit/>
            </w:trPr>
            <w:tc>
              <w:tcPr>
                <w:tcW w:w="556" w:type="pct"/>
              </w:tcPr>
              <w:p>
                <w:pPr>
                  <w:spacing w:after="0" w:line="240" w:lineRule="auto"/>
                  <w:ind w:firstLine="0"/>
                  <w:jc w:val="left"/>
                  <w:rPr>
                    <w:sz w:val="17"/>
                  </w:rPr>
                </w:pPr>
                <w:r>
                  <w:rPr>
                    <w:sz w:val="17"/>
                  </w:rPr>
                  <w:t xml:space="preserve">0088</w:t>
                </w:r>
              </w:p>
            </w:tc>
            <w:tc>
              <w:tcPr>
                <w:tcW w:w="4444" w:type="pct"/>
              </w:tcPr>
              <w:p>
                <w:pPr>
                  <w:spacing w:after="0" w:line="240" w:lineRule="auto"/>
                  <w:ind w:firstLine="0"/>
                  <w:jc w:val="left"/>
                  <w:rPr>
                    <w:sz w:val="17"/>
                  </w:rPr>
                </w:pPr>
                <w:r>
                  <w:rPr>
                    <w:sz w:val="17"/>
                  </w:rPr>
                  <w:t xml:space="preserve">El rol de un caso de prueba se resuelve por su actor principal</w:t>
                </w:r>
              </w:p>
            </w:tc>
          </w:tr>
          <w:tr>
            <w:trPr>
              <w:cantSplit/>
            </w:trPr>
            <w:tc>
              <w:tcPr>
                <w:tcW w:w="556" w:type="pct"/>
              </w:tcPr>
              <w:p>
                <w:pPr>
                  <w:spacing w:after="0" w:line="240" w:lineRule="auto"/>
                  <w:ind w:firstLine="0"/>
                  <w:jc w:val="left"/>
                  <w:rPr>
                    <w:sz w:val="17"/>
                  </w:rPr>
                </w:pPr>
                <w:r>
                  <w:rPr>
                    <w:sz w:val="17"/>
                  </w:rPr>
                  <w:t xml:space="preserve">0089</w:t>
                </w:r>
              </w:p>
            </w:tc>
            <w:tc>
              <w:tcPr>
                <w:tcW w:w="4444" w:type="pct"/>
              </w:tcPr>
              <w:p>
                <w:pPr>
                  <w:spacing w:after="0" w:line="240" w:lineRule="auto"/>
                  <w:ind w:firstLine="0"/>
                  <w:jc w:val="left"/>
                  <w:rPr>
                    <w:sz w:val="17"/>
                  </w:rPr>
                </w:pPr>
                <w:r>
                  <w:rPr>
                    <w:sz w:val="17"/>
                  </w:rPr>
                  <w:t xml:space="preserve">Experimento C — revisión con contexto frente a revisión solo con el diff</w:t>
                </w:r>
              </w:p>
            </w:tc>
          </w:tr>
        </w:tbl>
        <w:p>
          <w:pPr>
            <w:spacing w:after="0" w:line="240" w:lineRule="auto"/>
            <w:ind w:firstLine="0"/>
          </w:pPr>
        </w:p>
        <w:p>
          <w:r>
            <w:t xml:space="preserve">Anexo B. Fichas de las </w:t>
          </w:r>
          <w:r>
            <w:rPr>
              <w:i/>
            </w:rPr>
            <w:t xml:space="preserve">skills</w:t>
          </w:r>
          <w:r>
            <w:t xml:space="preserve">. Cada ficha describe el propósito de la </w:t>
          </w:r>
          <w:r>
            <w:rPr>
              <w:i/>
            </w:rPr>
            <w:t xml:space="preserve">skill</w:t>
          </w:r>
          <w:r>
            <w:t xml:space="preserve">, cuándo se invoca, sus entradas y salidas, los registros de decisión relacionados, los criterios de éxito y los pendientes propios. Las fichas se conservan en la carpeta de </w:t>
          </w:r>
          <w:r>
            <w:rPr>
              <w:i/>
            </w:rPr>
            <w:t xml:space="preserve">skills</w:t>
          </w:r>
          <w:r>
            <w:t xml:space="preserve"> del repositorio y se integrarán completas: 00 Orquestador; 01 Descubrimiento y especificación de HU; 02 Generación de casos de prueba; 03 Diagnóstico de avance existente; 04 Diseño de arquitectura; 05 Descomposición en paquetes de trabajo; 06 Generación de código; 07 Revisión de código; 08 Pruebas de humo; 09 Generación de correcciones; 10 Generación de release.</w:t>
          </w:r>
        </w:p>
        <w:p>
          <w:r>
            <w:rPr>
              <w:highlight w:val="yellow"/>
            </w:rPr>
            <w:t xml:space="preserve">Anexo C. Prompts de cada skill. Pendiente de integrar: se extraerán del código de la plataforma para evitar transcripciones manuales.</w:t>
          </w:r>
        </w:p>
        <w:p>
          <w:r>
            <w:rPr>
              <w:highlight w:val="yellow"/>
            </w:rPr>
            <w:t xml:space="preserve">Anexo D. Ejemplo completo de una HU. Pendiente de integrar: se usará la HU de inicio de sesión del proyecto experimental, con su especificación, sus casos de prueba, sus paquetes, los Pull Requests con sus rondas de revisión y el informe de las pruebas de humo.</w:t>
          </w:r>
        </w:p>
        <w:p>
          <w:r>
            <w:t xml:space="preserve">Anexo E. Rúbricas de evaluación humana. La rúbrica de relevancia de una observación de revisión es la que aplica el experimento de control del apartado 4.1.7; quien califica recibe también una guía con el procedimiento y las reglas del cegado. Las rúbricas de suficiencia de los casos de prueba, de calidad de un paquete de código y de calidad de la arquitectura y del plan se integrarán cuando se apliquen.</w:t>
          </w:r>
        </w:p>
        <w:p>
          <w:pPr>
            <w:pStyle w:val="Caption"/>
            <w:keepNext/>
            <w:ind w:firstLine="0"/>
            <w:jc w:val="left"/>
            <w:rPr>
              <w:b w:val="0"/>
            </w:rPr>
          </w:pPr>
          <w:r>
            <w:t>Tabla E.</w:t>
          </w:r>
          <w:r>
            <w:fldChar w:fldCharType="begin"/>
          </w:r>
          <w:r>
            <w:instrText xml:space="preserve"> SEQ Tabla \s 1 </w:instrText>
          </w:r>
          <w:r>
            <w:fldChar w:fldCharType="separate"/>
          </w:r>
          <w:r>
            <w:rPr>
              <w:noProof/>
            </w:rPr>
            <w:t>1</w:t>
          </w:r>
          <w:r>
            <w:fldChar w:fldCharType="end"/>
          </w:r>
          <w:r>
            <w:t xml:space="preserve">. Rúbrica de relevancia de una observación de revisión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7"/>
            <w:gridCol w:w="4277"/>
          </w:tblGrid>
          <w:tr>
            <w:trPr>
              <w:cantSplit/>
              <w:tblHeader/>
            </w:trPr>
            <w:tc>
              <w:tcPr>
                <w:tcW w:w="2500" w:type="pct"/>
                <w:shd w:val="clear" w:color="auto" w:fill="E5E5ED"/>
              </w:tcPr>
              <w:p>
                <w:pPr>
                  <w:spacing w:after="0" w:line="240" w:lineRule="auto"/>
                  <w:ind w:firstLine="0"/>
                  <w:jc w:val="left"/>
                  <w:rPr>
                    <w:b/>
                    <w:sz w:val="17"/>
                  </w:rPr>
                </w:pPr>
                <w:r>
                  <w:rPr>
                    <w:b/>
                    <w:sz w:val="17"/>
                  </w:rPr>
                  <w:t xml:space="preserve">Calificación</w:t>
                </w:r>
              </w:p>
            </w:tc>
            <w:tc>
              <w:tcPr>
                <w:tcW w:w="2500" w:type="pct"/>
                <w:shd w:val="clear" w:color="auto" w:fill="E5E5ED"/>
              </w:tcPr>
              <w:p>
                <w:pPr>
                  <w:spacing w:after="0" w:line="240" w:lineRule="auto"/>
                  <w:ind w:firstLine="0"/>
                  <w:jc w:val="left"/>
                  <w:rPr>
                    <w:b/>
                    <w:sz w:val="17"/>
                  </w:rPr>
                </w:pPr>
                <w:r>
                  <w:rPr>
                    <w:b/>
                    <w:sz w:val="17"/>
                  </w:rPr>
                  <w:t xml:space="preserve">Cuándo se usa</w:t>
                </w:r>
              </w:p>
            </w:tc>
          </w:tr>
          <w:tr>
            <w:trPr>
              <w:cantSplit/>
            </w:trPr>
            <w:tc>
              <w:tcPr>
                <w:tcW w:w="2500" w:type="pct"/>
              </w:tcPr>
              <w:p>
                <w:pPr>
                  <w:spacing w:after="0" w:line="240" w:lineRule="auto"/>
                  <w:ind w:firstLine="0"/>
                  <w:jc w:val="left"/>
                  <w:rPr>
                    <w:sz w:val="17"/>
                  </w:rPr>
                </w:pPr>
                <w:r>
                  <w:rPr>
                    <w:sz w:val="17"/>
                  </w:rPr>
                  <w:t xml:space="preserve">Relevante y correcta</w:t>
                </w:r>
              </w:p>
            </w:tc>
            <w:tc>
              <w:tcPr>
                <w:tcW w:w="2500" w:type="pct"/>
              </w:tcPr>
              <w:p>
                <w:pPr>
                  <w:spacing w:after="0" w:line="240" w:lineRule="auto"/>
                  <w:ind w:firstLine="0"/>
                  <w:jc w:val="left"/>
                  <w:rPr>
                    <w:sz w:val="17"/>
                  </w:rPr>
                </w:pPr>
                <w:r>
                  <w:rPr>
                    <w:sz w:val="17"/>
                  </w:rPr>
                  <w:t xml:space="preserve">Señala un problema real del cambio, y lo que dice es correcto y accionable.</w:t>
                </w:r>
              </w:p>
            </w:tc>
          </w:tr>
          <w:tr>
            <w:trPr>
              <w:cantSplit/>
            </w:trPr>
            <w:tc>
              <w:tcPr>
                <w:tcW w:w="2500" w:type="pct"/>
              </w:tcPr>
              <w:p>
                <w:pPr>
                  <w:spacing w:after="0" w:line="240" w:lineRule="auto"/>
                  <w:ind w:firstLine="0"/>
                  <w:jc w:val="left"/>
                  <w:rPr>
                    <w:sz w:val="17"/>
                  </w:rPr>
                </w:pPr>
                <w:r>
                  <w:rPr>
                    <w:sz w:val="17"/>
                  </w:rPr>
                  <w:t xml:space="preserve">Relevante pero mal sustentada</w:t>
                </w:r>
              </w:p>
            </w:tc>
            <w:tc>
              <w:tcPr>
                <w:tcW w:w="2500" w:type="pct"/>
              </w:tcPr>
              <w:p>
                <w:pPr>
                  <w:spacing w:after="0" w:line="240" w:lineRule="auto"/>
                  <w:ind w:firstLine="0"/>
                  <w:jc w:val="left"/>
                  <w:rPr>
                    <w:sz w:val="17"/>
                  </w:rPr>
                </w:pPr>
                <w:r>
                  <w:rPr>
                    <w:sz w:val="17"/>
                  </w:rPr>
                  <w:t xml:space="preserve">El problema es real, pero la explicación, la ubicación o la sugerencia son imprecisas o incompletas.</w:t>
                </w:r>
              </w:p>
            </w:tc>
          </w:tr>
          <w:tr>
            <w:trPr>
              <w:cantSplit/>
            </w:trPr>
            <w:tc>
              <w:tcPr>
                <w:tcW w:w="2500" w:type="pct"/>
              </w:tcPr>
              <w:p>
                <w:pPr>
                  <w:spacing w:after="0" w:line="240" w:lineRule="auto"/>
                  <w:ind w:firstLine="0"/>
                  <w:jc w:val="left"/>
                  <w:rPr>
                    <w:sz w:val="17"/>
                  </w:rPr>
                </w:pPr>
                <w:r>
                  <w:rPr>
                    <w:sz w:val="17"/>
                  </w:rPr>
                  <w:t xml:space="preserve">Ruido</w:t>
                </w:r>
              </w:p>
            </w:tc>
            <w:tc>
              <w:tcPr>
                <w:tcW w:w="2500" w:type="pct"/>
              </w:tcPr>
              <w:p>
                <w:pPr>
                  <w:spacing w:after="0" w:line="240" w:lineRule="auto"/>
                  <w:ind w:firstLine="0"/>
                  <w:jc w:val="left"/>
                  <w:rPr>
                    <w:sz w:val="17"/>
                  </w:rPr>
                </w:pPr>
                <w:r>
                  <w:rPr>
                    <w:sz w:val="17"/>
                  </w:rPr>
                  <w:t xml:space="preserve">Es cierto pero no aporta: una preferencia de estilo sin impacto, una obviedad o algo que no vale la pena corregir.</w:t>
                </w:r>
              </w:p>
            </w:tc>
          </w:tr>
          <w:tr>
            <w:trPr>
              <w:cantSplit/>
            </w:trPr>
            <w:tc>
              <w:tcPr>
                <w:tcW w:w="2500" w:type="pct"/>
              </w:tcPr>
              <w:p>
                <w:pPr>
                  <w:spacing w:after="0" w:line="240" w:lineRule="auto"/>
                  <w:ind w:firstLine="0"/>
                  <w:jc w:val="left"/>
                  <w:rPr>
                    <w:sz w:val="17"/>
                  </w:rPr>
                </w:pPr>
                <w:r>
                  <w:rPr>
                    <w:sz w:val="17"/>
                  </w:rPr>
                  <w:t xml:space="preserve">Falsa</w:t>
                </w:r>
              </w:p>
            </w:tc>
            <w:tc>
              <w:tcPr>
                <w:tcW w:w="2500" w:type="pct"/>
              </w:tcPr>
              <w:p>
                <w:pPr>
                  <w:spacing w:after="0" w:line="240" w:lineRule="auto"/>
                  <w:ind w:firstLine="0"/>
                  <w:jc w:val="left"/>
                  <w:rPr>
                    <w:sz w:val="17"/>
                  </w:rPr>
                </w:pPr>
                <w:r>
                  <w:rPr>
                    <w:sz w:val="17"/>
                  </w:rPr>
                  <w:t xml:space="preserve">Es incorrecta: el problema no existe o contradice el código, la HU o la arquitectura.</w:t>
                </w:r>
              </w:p>
            </w:tc>
          </w:tr>
        </w:tbl>
        <w:p>
          <w:pPr>
            <w:spacing w:after="0" w:line="240" w:lineRule="auto"/>
            <w:ind w:firstLine="0"/>
          </w:pPr>
        </w:p>
        <w:p>
          <w:r>
            <w:t xml:space="preserve">Si dos observaciones del mismo Pull Request dicen en esencia lo mismo, quien califica las marca como equivalentes; así se cuenta cuántas observaciones relevantes de una condición encontró también la otra.</w:t>
          </w:r>
        </w:p>
        <w:p>
          <w:r>
            <w:rPr>
              <w:highlight w:val="yellow"/>
            </w:rPr>
            <w:t xml:space="preserve">Anexo F. Capturas de la plataforma. Pendiente de integrar: se tomarán al final, con la interfaz ya estabilizada.</w:t>
          </w:r>
        </w:p>
        <w:p>
          <w:r>
            <w:rPr>
              <w:highlight w:val="yellow"/>
            </w:rPr>
            <w:t xml:space="preserve">Anexo G. Datos crudos de los escenarios. Pendiente de integrar.</w:t>
          </w:r>
        </w:p>
        <w:p>
          <w:r>
            <w:rPr>
              <w:highlight w:val="yellow"/>
            </w:rPr>
            <w:t xml:space="preserve">Anexo H. Manual de instalación. Pendiente de integrar.</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La generación de código tardó entre 1.0 y 14.7 minutos por paquete;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Bloqueantes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7</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quedan registradas como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en HU-003/PT-02 la compuerta de Docker falló en sus tres intentos, por lo que el Pull Request se abrió con la advertencia y la revisión dejó dos observaciones bloqueantes. El </w:t>
          </w:r>
          <w:r>
            <w:rPr>
              <w:i/>
            </w:rPr>
            <w:t xml:space="preserve">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fuera de Loom: se registró la dirección del frontend desplegado como URL del ambiente de desarrollo (desde el formulario de Loom) y se sembraron en la base de datos las tres cuentas de prueba (administrador, usuario final y usuario inactivo),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son consistentes: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compuerta y CI en rojo</w:t>
                </w:r>
              </w:p>
            </w:tc>
            <w:tc>
              <w:tcPr>
                <w:tcW w:w="1667" w:type="pct"/>
              </w:tcPr>
              <w:p>
                <w:pPr>
                  <w:spacing w:after="0" w:line="240" w:lineRule="auto"/>
                  <w:ind w:firstLine="0"/>
                  <w:jc w:val="left"/>
                  <w:rPr>
                    <w:sz w:val="17"/>
                  </w:rPr>
                </w:pPr>
                <w:r>
                  <w:rPr>
                    <w:sz w:val="17"/>
                  </w:rPr>
                  <w:t xml:space="preserve">0.5 a 14.7 min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p>
          <w:pPr>
            <w:pStyle w:val="Heading3"/>
            <w:ind w:firstLine="0"/>
            <w:jc w:val="left"/>
            <w:rPr>
              <w:color w:val="000000"/>
              <w:sz w:val="24"/>
            </w:rPr>
          </w:pPr>
          <w:r>
            <w:rPr>
              <w:color w:val="000000"/>
              <w:sz w:val="24"/>
            </w:rPr>
            <w:t xml:space="preserve">Anexo D. Pantallas principales de la corrida piloto E3c</w:t>
          </w:r>
        </w:p>
        <w:p>
          <w:r>
            <w:t xml:space="preserve">Este anexo reúne las pantallas principales de la corrida E3c (Proyecto de agenda de un taller mecánico, con Claude por CLI), hecha el 26 y 27 de septiembre de 2026 con el mismo procedimiento que la corrida E1c del Anexo C. El recorrido completo, con 602 capturas, la bitácora con la hora de cada hallazgo y los guiones de Playwright que operaron la interfaz, está en </w:t>
          </w:r>
          <w:r>
            <w:rPr>
              <w:rFonts w:ascii="Consolas" w:hAnsi="Consolas" w:cs="Consolas"/>
            </w:rPr>
            <w:t xml:space="preserve">itz/tesis/evidencia/corrida-E3c-2026-09-26/</w:t>
          </w:r>
          <w:r>
            <w:t xml:space="preserve">; aquí solo se muestran las pantallas que sostienen el capítulo 5.</w:t>
          </w:r>
        </w:p>
        <w:p>
          <w:pPr>
            <w:pStyle w:val="Heading3"/>
            <w:ind w:firstLine="0"/>
            <w:jc w:val="left"/>
            <w:rPr>
              <w:color w:val="000000"/>
              <w:sz w:val="24"/>
            </w:rPr>
          </w:pPr>
          <w:r>
            <w:rPr>
              <w:color w:val="000000"/>
              <w:sz w:val="24"/>
            </w:rPr>
            <w:t xml:space="preserve">D.1 Requerimientos, diseño y descomposición</w:t>
          </w:r>
        </w:p>
        <w:p>
          <w:pPr>
            <w:keepNext/>
            <w:spacing w:before="120" w:after="60"/>
            <w:ind w:firstLine="0"/>
            <w:jc w:val="center"/>
          </w:pPr>
          <w:r>
            <w:drawing>
              <wp:inline distT="0" distB="0" distL="0" distR="0">
                <wp:extent cx="5400000" cy="3375000"/>
                <wp:docPr id="9038" name="Figura D.1" descr="Proyecto E3c sin ninguna fase ejecutada"/>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LoomFig3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w:t>
          </w:r>
          <w:r>
            <w:fldChar w:fldCharType="end"/>
          </w:r>
          <w:r>
            <w:t xml:space="preserve">. Proyecto E3c sin ninguna fase ejecutada</w:t>
          </w:r>
        </w:p>
        <w:p>
          <w:pPr>
            <w:keepNext/>
            <w:spacing w:before="120" w:after="60"/>
            <w:ind w:firstLine="0"/>
            <w:jc w:val="center"/>
          </w:pPr>
          <w:r>
            <w:drawing>
              <wp:inline distT="0" distB="0" distL="0" distR="0">
                <wp:extent cx="5400000" cy="3375000"/>
                <wp:docPr id="9039" name="Figura D.2" descr="Casos de prueba generados para las tres HUs del taller (101 en total)"/>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LoomFig3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2</w:t>
          </w:r>
          <w:r>
            <w:fldChar w:fldCharType="end"/>
          </w:r>
          <w:r>
            <w:t xml:space="preserve">. Casos de prueba generados para las tres HUs del taller (101 en total)</w:t>
          </w:r>
        </w:p>
        <w:p>
          <w:pPr>
            <w:keepNext/>
            <w:spacing w:before="120" w:after="60"/>
            <w:ind w:firstLine="0"/>
            <w:jc w:val="center"/>
          </w:pPr>
          <w:r>
            <w:drawing>
              <wp:inline distT="0" distB="0" distL="0" distR="0">
                <wp:extent cx="5400000" cy="3375000"/>
                <wp:docPr id="9040" name="Figura D.3" descr="Descomposición en 17 paquetes de trabajo al primer intento"/>
                <a:graphic xmlns:a="http://schemas.openxmlformats.org/drawingml/2006/main">
                  <a:graphicData uri="http://schemas.openxmlformats.org/drawingml/2006/picture">
                    <pic:pic xmlns:pic="http://schemas.openxmlformats.org/drawingml/2006/picture">
                      <pic:nvPicPr>
                        <pic:cNvPr id="9040" name="loom_fig40.png"/>
                        <pic:cNvPicPr/>
                      </pic:nvPicPr>
                      <pic:blipFill>
                        <a:blip r:embed="rIdLoomFig4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3</w:t>
          </w:r>
          <w:r>
            <w:fldChar w:fldCharType="end"/>
          </w:r>
          <w:r>
            <w:t xml:space="preserve">. Descomposición en 17 paquetes de trabajo al primer intento</w:t>
          </w:r>
        </w:p>
        <w:p>
          <w:pPr>
            <w:keepNext/>
            <w:spacing w:before="120" w:after="60"/>
            <w:ind w:firstLine="0"/>
            <w:jc w:val="center"/>
          </w:pPr>
          <w:r>
            <w:drawing>
              <wp:inline distT="0" distB="0" distL="0" distR="0">
                <wp:extent cx="5400000" cy="3375000"/>
                <wp:docPr id="9041" name="Figura D.4" descr="Fase 3 completa: 17 de 17 paquetes fusionados"/>
                <a:graphic xmlns:a="http://schemas.openxmlformats.org/drawingml/2006/main">
                  <a:graphicData uri="http://schemas.openxmlformats.org/drawingml/2006/picture">
                    <pic:pic xmlns:pic="http://schemas.openxmlformats.org/drawingml/2006/picture">
                      <pic:nvPicPr>
                        <pic:cNvPr id="9041" name="loom_fig41.png"/>
                        <pic:cNvPicPr/>
                      </pic:nvPicPr>
                      <pic:blipFill>
                        <a:blip r:embed="rIdLoomFig4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4</w:t>
          </w:r>
          <w:r>
            <w:fldChar w:fldCharType="end"/>
          </w:r>
          <w:r>
            <w:t xml:space="preserve">. Fase 3 completa: 17 de 17 paquetes fusionados</w:t>
          </w:r>
        </w:p>
        <w:p>
          <w:pPr>
            <w:pStyle w:val="Heading3"/>
            <w:ind w:firstLine="0"/>
            <w:jc w:val="left"/>
            <w:rPr>
              <w:color w:val="000000"/>
              <w:sz w:val="24"/>
            </w:rPr>
          </w:pPr>
          <w:r>
            <w:rPr>
              <w:color w:val="000000"/>
              <w:sz w:val="24"/>
            </w:rPr>
            <w:t xml:space="preserve">D.2 Corrección con el registro de la integración continua</w:t>
          </w:r>
        </w:p>
        <w:p>
          <w:r>
            <w:t xml:space="preserve">HU-001/PT-04 fue aprobado por la revisión, pero su integración continua quedó en rojo por una prueba de Vitest. La interfaz no ofrece la corrección para un paquete aprobado; la acción «avanzar HU», llamada por su API, corrigió con el extracto del registro del CI y fusionó el paquete con el CI en verde.</w:t>
          </w:r>
        </w:p>
        <w:p>
          <w:pPr>
            <w:keepNext/>
            <w:spacing w:before="120" w:after="60"/>
            <w:ind w:firstLine="0"/>
            <w:jc w:val="center"/>
          </w:pPr>
          <w:r>
            <w:drawing>
              <wp:inline distT="0" distB="0" distL="0" distR="0">
                <wp:extent cx="5400000" cy="3375000"/>
                <wp:docPr id="9042" name="Figura D.5" descr="HU-001/PT-04 aprobado por la revisión, con la integración continua en rojo"/>
                <a:graphic xmlns:a="http://schemas.openxmlformats.org/drawingml/2006/main">
                  <a:graphicData uri="http://schemas.openxmlformats.org/drawingml/2006/picture">
                    <pic:pic xmlns:pic="http://schemas.openxmlformats.org/drawingml/2006/picture">
                      <pic:nvPicPr>
                        <pic:cNvPr id="9042" name="loom_fig42.png"/>
                        <pic:cNvPicPr/>
                      </pic:nvPicPr>
                      <pic:blipFill>
                        <a:blip r:embed="rIdLoomFig4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5</w:t>
          </w:r>
          <w:r>
            <w:fldChar w:fldCharType="end"/>
          </w:r>
          <w:r>
            <w:t xml:space="preserve">. HU-001/PT-04 aprobado por la revisión, con la integración continua en rojo</w:t>
          </w:r>
        </w:p>
        <w:p>
          <w:pPr>
            <w:keepNext/>
            <w:spacing w:before="120" w:after="60"/>
            <w:ind w:firstLine="0"/>
            <w:jc w:val="center"/>
          </w:pPr>
          <w:r>
            <w:drawing>
              <wp:inline distT="0" distB="0" distL="0" distR="0">
                <wp:extent cx="5400000" cy="3375000"/>
                <wp:docPr id="9043" name="Figura D.6" descr="«Avanzar HU» terminado: corrección con el registro del CI y fusión"/>
                <a:graphic xmlns:a="http://schemas.openxmlformats.org/drawingml/2006/main">
                  <a:graphicData uri="http://schemas.openxmlformats.org/drawingml/2006/picture">
                    <pic:pic xmlns:pic="http://schemas.openxmlformats.org/drawingml/2006/picture">
                      <pic:nvPicPr>
                        <pic:cNvPr id="9043" name="loom_fig43.png"/>
                        <pic:cNvPicPr/>
                      </pic:nvPicPr>
                      <pic:blipFill>
                        <a:blip r:embed="rIdLoomFig4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6</w:t>
          </w:r>
          <w:r>
            <w:fldChar w:fldCharType="end"/>
          </w:r>
          <w:r>
            <w:t xml:space="preserve">. «Avanzar HU» terminado: corrección con el registro del CI y fusión</w:t>
          </w:r>
        </w:p>
        <w:p>
          <w:pPr>
            <w:pStyle w:val="Heading3"/>
            <w:ind w:firstLine="0"/>
            <w:jc w:val="left"/>
            <w:rPr>
              <w:color w:val="000000"/>
              <w:sz w:val="24"/>
            </w:rPr>
          </w:pPr>
          <w:r>
            <w:rPr>
              <w:color w:val="000000"/>
              <w:sz w:val="24"/>
            </w:rPr>
            <w:t xml:space="preserve">D.3 Despliegue</w:t>
          </w:r>
        </w:p>
        <w:p>
          <w:r>
            <w:t xml:space="preserve">Las variables de entorno del backend se ajustaron a las que exige el código generado, y el release quedó bien en su tercer lanzamiento manual, después de corregir en Loom la ubicación de los servicios (ADR-0086) y la entrega de la cadena de conexión y de la URL de la API (ADR-0087).</w:t>
          </w:r>
        </w:p>
        <w:p>
          <w:pPr>
            <w:keepNext/>
            <w:spacing w:before="120" w:after="60"/>
            <w:ind w:firstLine="0"/>
            <w:jc w:val="center"/>
          </w:pPr>
          <w:r>
            <w:drawing>
              <wp:inline distT="0" distB="0" distL="0" distR="0">
                <wp:extent cx="5400000" cy="3375000"/>
                <wp:docPr id="9044" name="Figura D.7" descr="Variables de entorno ajustadas a las que exige el backend generado"/>
                <a:graphic xmlns:a="http://schemas.openxmlformats.org/drawingml/2006/main">
                  <a:graphicData uri="http://schemas.openxmlformats.org/drawingml/2006/picture">
                    <pic:pic xmlns:pic="http://schemas.openxmlformats.org/drawingml/2006/picture">
                      <pic:nvPicPr>
                        <pic:cNvPr id="9044" name="loom_fig44.png"/>
                        <pic:cNvPicPr/>
                      </pic:nvPicPr>
                      <pic:blipFill>
                        <a:blip r:embed="rIdLoomFig4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7</w:t>
          </w:r>
          <w:r>
            <w:fldChar w:fldCharType="end"/>
          </w:r>
          <w:r>
            <w:t xml:space="preserve">. Variables de entorno ajustadas a las que exige el backend generado</w:t>
          </w:r>
        </w:p>
        <w:p>
          <w:pPr>
            <w:keepNext/>
            <w:spacing w:before="120" w:after="60"/>
            <w:ind w:firstLine="0"/>
            <w:jc w:val="center"/>
          </w:pPr>
          <w:r>
            <w:drawing>
              <wp:inline distT="0" distB="0" distL="0" distR="0">
                <wp:extent cx="5400000" cy="3375000"/>
                <wp:docPr id="9045" name="Figura D.8" descr="Release terminado: backend y frontend desplegados en Cloud Run"/>
                <a:graphic xmlns:a="http://schemas.openxmlformats.org/drawingml/2006/main">
                  <a:graphicData uri="http://schemas.openxmlformats.org/drawingml/2006/picture">
                    <pic:pic xmlns:pic="http://schemas.openxmlformats.org/drawingml/2006/picture">
                      <pic:nvPicPr>
                        <pic:cNvPr id="9045" name="loom_fig45.png"/>
                        <pic:cNvPicPr/>
                      </pic:nvPicPr>
                      <pic:blipFill>
                        <a:blip r:embed="rIdLoomFig4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8</w:t>
          </w:r>
          <w:r>
            <w:fldChar w:fldCharType="end"/>
          </w:r>
          <w:r>
            <w:t xml:space="preserve">. Release terminado: backend y frontend desplegados en Cloud Run</w:t>
          </w:r>
        </w:p>
        <w:p>
          <w:pPr>
            <w:pStyle w:val="Heading3"/>
            <w:ind w:firstLine="0"/>
            <w:jc w:val="left"/>
            <w:rPr>
              <w:color w:val="000000"/>
              <w:sz w:val="24"/>
            </w:rPr>
          </w:pPr>
          <w:r>
            <w:rPr>
              <w:color w:val="000000"/>
              <w:sz w:val="24"/>
            </w:rPr>
            <w:t xml:space="preserve">D.4 Pruebas de humo antes y después de la asignación de cuentas por rol</w:t>
          </w:r>
        </w:p>
        <w:p>
          <w:r>
            <w:t xml:space="preserve">La primera corrida de pruebas de humo de la HU-001 dejó 33 de 35 casos bloqueados porque Loom buscaba la cuenta de prueba por el texto exacto del rol. Con la asignación por actor principal (ADR-0088) y una cuenta por rol, la tercera corrida dio 28 aprobados, 4 fallidos y 3 bloqueados.</w:t>
          </w:r>
        </w:p>
        <w:p>
          <w:pPr>
            <w:keepNext/>
            <w:spacing w:before="120" w:after="60"/>
            <w:ind w:firstLine="0"/>
            <w:jc w:val="center"/>
          </w:pPr>
          <w:r>
            <w:drawing>
              <wp:inline distT="0" distB="0" distL="0" distR="0">
                <wp:extent cx="5400000" cy="3375000"/>
                <wp:docPr id="9046" name="Figura D.9" descr="HU-001, primera corrida: casos bloqueados por falta de cuenta para el rol"/>
                <a:graphic xmlns:a="http://schemas.openxmlformats.org/drawingml/2006/main">
                  <a:graphicData uri="http://schemas.openxmlformats.org/drawingml/2006/picture">
                    <pic:pic xmlns:pic="http://schemas.openxmlformats.org/drawingml/2006/picture">
                      <pic:nvPicPr>
                        <pic:cNvPr id="9046" name="loom_fig46.png"/>
                        <pic:cNvPicPr/>
                      </pic:nvPicPr>
                      <pic:blipFill>
                        <a:blip r:embed="rIdLoomFig4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9</w:t>
          </w:r>
          <w:r>
            <w:fldChar w:fldCharType="end"/>
          </w:r>
          <w:r>
            <w:t xml:space="preserve">. HU-001, primera corrida: casos bloqueados por falta de cuenta para el rol</w:t>
          </w:r>
        </w:p>
        <w:p>
          <w:pPr>
            <w:keepNext/>
            <w:spacing w:before="120" w:after="60"/>
            <w:ind w:firstLine="0"/>
            <w:jc w:val="center"/>
          </w:pPr>
          <w:r>
            <w:drawing>
              <wp:inline distT="0" distB="0" distL="0" distR="0">
                <wp:extent cx="5400000" cy="3375000"/>
                <wp:docPr id="9047" name="Figura D.10" descr="HU-001, tercera corrida, con cuentas por rol"/>
                <a:graphic xmlns:a="http://schemas.openxmlformats.org/drawingml/2006/main">
                  <a:graphicData uri="http://schemas.openxmlformats.org/drawingml/2006/picture">
                    <pic:pic xmlns:pic="http://schemas.openxmlformats.org/drawingml/2006/picture">
                      <pic:nvPicPr>
                        <pic:cNvPr id="9047" name="loom_fig47.png"/>
                        <pic:cNvPicPr/>
                      </pic:nvPicPr>
                      <pic:blipFill>
                        <a:blip r:embed="rIdLoomFig4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10</w:t>
          </w:r>
          <w:r>
            <w:fldChar w:fldCharType="end"/>
          </w:r>
          <w:r>
            <w:t xml:space="preserve">. HU-001, tercera corrida, con cuentas por rol</w:t>
          </w:r>
        </w:p>
        <w:p>
          <w:pPr>
            <w:keepNext/>
            <w:spacing w:before="120" w:after="60"/>
            <w:ind w:firstLine="0"/>
            <w:jc w:val="center"/>
          </w:pPr>
          <w:r>
            <w:drawing>
              <wp:inline distT="0" distB="0" distL="0" distR="0">
                <wp:extent cx="5400000" cy="3375000"/>
                <wp:docPr id="9048" name="Figura D.11" descr="HU-002: resultado de las pruebas de humo"/>
                <a:graphic xmlns:a="http://schemas.openxmlformats.org/drawingml/2006/main">
                  <a:graphicData uri="http://schemas.openxmlformats.org/drawingml/2006/picture">
                    <pic:pic xmlns:pic="http://schemas.openxmlformats.org/drawingml/2006/picture">
                      <pic:nvPicPr>
                        <pic:cNvPr id="9048" name="loom_fig48.png"/>
                        <pic:cNvPicPr/>
                      </pic:nvPicPr>
                      <pic:blipFill>
                        <a:blip r:embed="rIdLoomFig4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D.</w:t>
          </w:r>
          <w:r>
            <w:fldChar w:fldCharType="begin"/>
          </w:r>
          <w:r>
            <w:instrText xml:space="preserve"> SEQ Figura \s 1</w:instrText>
          </w:r>
          <w:r>
            <w:fldChar w:fldCharType="separate"/>
          </w:r>
          <w:r>
            <w:rPr>
              <w:noProof/>
            </w:rPr>
            <w:t>11</w:t>
          </w:r>
          <w:r>
            <w:fldChar w:fldCharType="end"/>
          </w:r>
          <w:r>
            <w:t xml:space="preserve">. HU-002: resultado de las pruebas de humo</w:t>
          </w:r>
        </w:p>
      </w:sdtContent>
    </w:sdt>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rPr>
          <w:highlight w:val="yellow"/>
        </w:rPr>
        <w:t>Los anexos incluyen material relevante al texto para mayor claridad y profundidad de la investigación</w:t>
      </w:r>
      <w:r w:rsidR="00EB28D0" w:rsidRPr="001D44EE">
        <w:rPr>
          <w:highlight w:val="yellow"/>
        </w:rPr>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 Id="rIdLoomFig38" Type="http://schemas.openxmlformats.org/officeDocument/2006/relationships/image" Target="media/loom_fig38.png"/><Relationship Id="rIdLoomFig39" Type="http://schemas.openxmlformats.org/officeDocument/2006/relationships/image" Target="media/loom_fig39.png"/><Relationship Id="rIdLoomFig40" Type="http://schemas.openxmlformats.org/officeDocument/2006/relationships/image" Target="media/loom_fig40.png"/><Relationship Id="rIdLoomFig41" Type="http://schemas.openxmlformats.org/officeDocument/2006/relationships/image" Target="media/loom_fig41.png"/><Relationship Id="rIdLoomFig42" Type="http://schemas.openxmlformats.org/officeDocument/2006/relationships/image" Target="media/loom_fig42.png"/><Relationship Id="rIdLoomFig43" Type="http://schemas.openxmlformats.org/officeDocument/2006/relationships/image" Target="media/loom_fig43.png"/><Relationship Id="rIdLoomFig44" Type="http://schemas.openxmlformats.org/officeDocument/2006/relationships/image" Target="media/loom_fig44.png"/><Relationship Id="rIdLoomFig45" Type="http://schemas.openxmlformats.org/officeDocument/2006/relationships/image" Target="media/loom_fig45.png"/><Relationship Id="rIdLoomFig46" Type="http://schemas.openxmlformats.org/officeDocument/2006/relationships/image" Target="media/loom_fig46.png"/><Relationship Id="rIdLoomFig47" Type="http://schemas.openxmlformats.org/officeDocument/2006/relationships/image" Target="media/loom_fig47.png"/><Relationship Id="rIdLoomFig48" Type="http://schemas.openxmlformats.org/officeDocument/2006/relationships/image" Target="media/loom_fig48.png"/><Relationship Id="rIdLoomFig49" Type="http://schemas.openxmlformats.org/officeDocument/2006/relationships/image" Target="media/loom_fig49.png"/><Relationship Id="rIdLoomFig50" Type="http://schemas.openxmlformats.org/officeDocument/2006/relationships/image" Target="media/loom_fig50.png"/><Relationship Id="rIdLoomFig51" Type="http://schemas.openxmlformats.org/officeDocument/2006/relationships/image" Target="media/loom_fig5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