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Tesis «Loom»: estado y decisiones pendientes para revisión con el director</w:t>
      </w:r>
    </w:p>
    <w:p>
      <w:pPr>
        <w:spacing w:after="120"/>
      </w:pPr>
      <w:r>
        <w:t xml:space="preserve">Maestría en Sistemas Computacionales, Instituto Tecnológico de Zacatecas. Documento que acompaña a </w:t>
      </w:r>
      <w:r>
        <w:rPr>
          <w:rFonts w:ascii="Consolas" w:cs="Consolas" w:eastAsia="Consolas" w:hAnsi="Consolas"/>
          <w:sz w:val="18"/>
          <w:szCs w:val="18"/>
        </w:rPr>
        <w:t xml:space="preserve">Loom - Tesis v04.docx</w:t>
      </w:r>
      <w:r>
        <w:t xml:space="preserve">. Corte: 3 de octubre de 2026. Versión 2 de este documento; el historial de cambios está al final.</w:t>
      </w:r>
    </w:p>
    <w:p>
      <w:pPr>
        <w:pStyle w:val="Heading1"/>
        <w:spacing w:after="120" w:before="240"/>
      </w:pPr>
      <w:r>
        <w:t xml:space="preserve">1. Estado del documento</w:t>
      </w:r>
    </w:p>
    <w:p>
      <w:pPr>
        <w:pStyle w:val="ListParagraph"/>
        <w:numPr>
          <w:ilvl w:val="0"/>
          <w:numId w:val="2"/>
        </w:numPr>
        <w:spacing w:after="60"/>
      </w:pPr>
      <w:r>
        <w:t xml:space="preserve">Están escritos todos los apartados de la guía institucional: introducción, capítulos 1 a 6, resumen, </w:t>
      </w:r>
      <w:r>
        <w:rPr>
          <w:i/>
          <w:iCs/>
        </w:rPr>
        <w:t xml:space="preserve">abstract</w:t>
      </w:r>
      <w:r>
        <w:t xml:space="preserve">, referencias y nueve anexos (A a I).</w:t>
      </w:r>
    </w:p>
    <w:p>
      <w:pPr>
        <w:pStyle w:val="ListParagraph"/>
        <w:numPr>
          <w:ilvl w:val="0"/>
          <w:numId w:val="2"/>
        </w:numPr>
        <w:spacing w:after="60"/>
      </w:pPr>
      <w:r>
        <w:t xml:space="preserve">Extensión, según la paginación de Word: 86 páginas del cuerpo (de la introducción al capítulo 6), 7 de referencias y 102 de anexos, 221 en total. La guía pide 80 cuartillas como mínimo.</w:t>
      </w:r>
    </w:p>
    <w:p>
      <w:pPr>
        <w:pStyle w:val="ListParagraph"/>
        <w:numPr>
          <w:ilvl w:val="0"/>
          <w:numId w:val="2"/>
        </w:numPr>
        <w:spacing w:after="60"/>
      </w:pPr>
      <w:r>
        <w:t xml:space="preserve">Figuras: 12 diagramas del problema, del diseño de la investigación y de la solución, además de las capturas de las corridas; los índices de figuras (56), gráficas (4) y tablas (34) están completos.</w:t>
      </w:r>
    </w:p>
    <w:p>
      <w:pPr>
        <w:pStyle w:val="ListParagraph"/>
        <w:numPr>
          <w:ilvl w:val="0"/>
          <w:numId w:val="2"/>
        </w:numPr>
        <w:spacing w:after="60"/>
      </w:pPr>
      <w:r>
        <w:t xml:space="preserve">Referencias: 61, en formato IEEE, verificadas una por una contra su fuente.</w:t>
      </w:r>
    </w:p>
    <w:p>
      <w:pPr>
        <w:pStyle w:val="ListParagraph"/>
        <w:numPr>
          <w:ilvl w:val="0"/>
          <w:numId w:val="2"/>
        </w:numPr>
        <w:spacing w:after="60"/>
      </w:pPr>
      <w:r>
        <w:t xml:space="preserve">Cifras: 87 de los capítulos 4 a 6 se recalculan desde la evidencia versionada y todas coinciden (</w:t>
      </w:r>
      <w:r>
        <w:rPr>
          <w:rFonts w:ascii="Consolas" w:cs="Consolas" w:eastAsia="Consolas" w:hAnsi="Consolas"/>
          <w:sz w:val="18"/>
          <w:szCs w:val="18"/>
        </w:rPr>
        <w:t xml:space="preserve">trazabilidad-de-cifras.md</w:t>
      </w:r>
      <w:r>
        <w:t xml:space="preserve">).</w:t>
      </w:r>
    </w:p>
    <w:p>
      <w:pPr>
        <w:pStyle w:val="ListParagraph"/>
        <w:numPr>
          <w:ilvl w:val="0"/>
          <w:numId w:val="2"/>
        </w:numPr>
        <w:spacing w:after="60"/>
      </w:pPr>
      <w:r>
        <w:t xml:space="preserve">Evidencia: datos de las corridas, experimentos y guiones en el repositorio público de la tesis (https://github.com/CarlosSotoGarcia/jcsoto-tech-lead, carpeta </w:t>
      </w:r>
      <w:r>
        <w:rPr>
          <w:rFonts w:ascii="Consolas" w:cs="Consolas" w:eastAsia="Consolas" w:hAnsi="Consolas"/>
          <w:sz w:val="18"/>
          <w:szCs w:val="18"/>
        </w:rPr>
        <w:t xml:space="preserve">itz/tesis/evidencia/</w:t>
      </w:r>
      <w:r>
        <w:t xml:space="preserve">).</w:t>
      </w:r>
    </w:p>
    <w:p>
      <w:pPr>
        <w:pStyle w:val="Heading1"/>
        <w:spacing w:after="120" w:before="240"/>
      </w:pPr>
      <w:r>
        <w:t xml:space="preserve">2. Resultados principales</w:t>
      </w:r>
    </w:p>
    <w:p>
      <w:pPr>
        <w:pStyle w:val="ListParagraph"/>
        <w:numPr>
          <w:ilvl w:val="0"/>
          <w:numId w:val="2"/>
        </w:numPr>
        <w:spacing w:after="60"/>
      </w:pPr>
      <w:r>
        <w:t xml:space="preserve">El flujo completó el ciclo de punta a punta en dos proyectos de dominios y tecnologías distintos (inventarios con Java y Angular; agenda de un taller con Node y React): 29 paquetes de código fusionados, las dos aplicaciones desplegadas en Google Cloud y 145 casos de prueba ejecutados (104 aprobados, 11 fallidos, 30 bloqueados).</w:t>
      </w:r>
    </w:p>
    <w:p>
      <w:pPr>
        <w:pStyle w:val="ListParagraph"/>
        <w:numPr>
          <w:ilvl w:val="0"/>
          <w:numId w:val="2"/>
        </w:numPr>
        <w:spacing w:after="60"/>
      </w:pPr>
      <w:r>
        <w:t xml:space="preserve">PI1: los 110 criterios de aceptación de las seis HUs quedaron cubiertos por al menos un caso de prueba. El 70 % de esos criterios los infirió el propio sistema, y falta valorar si los casos son suficientes.</w:t>
      </w:r>
    </w:p>
    <w:p>
      <w:pPr>
        <w:pStyle w:val="ListParagraph"/>
        <w:numPr>
          <w:ilvl w:val="0"/>
          <w:numId w:val="2"/>
        </w:numPr>
        <w:spacing w:after="60"/>
      </w:pPr>
      <w:r>
        <w:t xml:space="preserve">H1 (el contexto mejora la revisión): sin apoyo. En el experimento de control, con calificación automática, la proporción de observaciones relevantes fue de 32.9 % con contexto y de 30.4 % solo con el </w:t>
      </w:r>
      <w:r>
        <w:rPr>
          <w:i/>
          <w:iCs/>
        </w:rPr>
        <w:t xml:space="preserve">diff</w:t>
      </w:r>
      <w:r>
        <w:t xml:space="preserve">, sin diferencia significativa. El contexto sí cambió el tipo de hallazgo, y cerca de dos de cada tres observaciones fueron ruido o falsas en las dos condiciones.</w:t>
      </w:r>
    </w:p>
    <w:p>
      <w:pPr>
        <w:pStyle w:val="ListParagraph"/>
        <w:numPr>
          <w:ilvl w:val="0"/>
          <w:numId w:val="2"/>
        </w:numPr>
        <w:spacing w:after="60"/>
      </w:pPr>
      <w:r>
        <w:t xml:space="preserve">H2 (generalización): evidencia parcial. El segundo proyecto completó el ciclo sin cambiar las </w:t>
      </w:r>
      <w:r>
        <w:rPr>
          <w:i/>
          <w:iCs/>
        </w:rPr>
        <w:t xml:space="preserve">skills</w:t>
      </w:r>
      <w:r>
        <w:t xml:space="preserve">, pero exigió corregir supuestos de la plataforma.</w:t>
      </w:r>
    </w:p>
    <w:p>
      <w:pPr>
        <w:pStyle w:val="ListParagraph"/>
        <w:numPr>
          <w:ilvl w:val="0"/>
          <w:numId w:val="2"/>
        </w:numPr>
        <w:spacing w:after="60"/>
      </w:pPr>
      <w:r>
        <w:t xml:space="preserve">H3 (comparación de proveedores): no se ejecutó.</w:t>
      </w:r>
    </w:p>
    <w:p>
      <w:pPr>
        <w:pStyle w:val="ListParagraph"/>
        <w:numPr>
          <w:ilvl w:val="0"/>
          <w:numId w:val="2"/>
        </w:numPr>
        <w:spacing w:after="60"/>
      </w:pPr>
      <w:r>
        <w:t xml:space="preserve">PI5: defectos que la revisión y la compilación no señalaron aparecieron en la integración continua y en las pruebas sobre la aplicación desplegada.</w:t>
      </w:r>
    </w:p>
    <w:p>
      <w:pPr>
        <w:pStyle w:val="Heading1"/>
        <w:spacing w:after="120" w:before="240"/>
      </w:pPr>
      <w:r>
        <w:t xml:space="preserve">3. Cómo leer el documento</w:t>
      </w:r>
    </w:p>
    <w:p>
      <w:pPr>
        <w:spacing w:after="120"/>
      </w:pPr>
      <w:r>
        <w:t xml:space="preserve">Lo resaltado en amarillo no es texto de la tesis: son las páginas de la guía institucional antes del índice, la guía de la sección de agradecimientos, los datos de portada y oficio por completar, y una nota de trabajo en el apartado 1.6. Las instrucciones que la plantilla traía dentro de cada sección ya se retiraron.</w:t>
      </w:r>
    </w:p>
    <w:p>
      <w:pPr>
        <w:pStyle w:val="Heading1"/>
        <w:spacing w:after="120" w:before="240"/>
      </w:pPr>
      <w:r>
        <w:t xml:space="preserve">4. Decisiones que se necesitan del director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100"/>
        <w:gridCol w:w="2660"/>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Decisión</w:t>
            </w:r>
          </w:p>
        </w:tc>
        <w:tc>
          <w:tcPr>
            <w:tcW w:type="dxa" w:w="3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Opciones</w:t>
            </w:r>
          </w:p>
        </w:tc>
        <w:tc>
          <w:tcPr>
            <w:tcW w:type="dxa" w:w="26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Recomendación</w:t>
            </w:r>
          </w:p>
        </w:tc>
      </w:tr>
      <w:tr>
        <w:trPr>
          <w:tblHeader w:val="off"/>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Alcance de la validación. El diseño prevé cuatro escenarios con API (dos proyectos por dos proveedores, E1 a E4); no se ejecutaron por falta de saldo en la API de Anthropic (unos 100 USD) y por la facturación bloqueada de Gemini.</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Cerrar con los dos pilotos y el experimento de control, registrar la reducción de alcance y ajustar el capítulo 4. b) Ejecutar E1 a E4.</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H3 quedaría como trabajo futuro.</w:t>
            </w:r>
          </w:p>
        </w:tc>
      </w:tr>
      <w:tr>
        <w:trPr>
          <w:tblHeader w:val="off"/>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Evaluación de H1. La relevancia de las 177 observaciones la calificó un modelo (distinto del revisor, a ciegas), no una persona como pedía el diseño.</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Presentar el resultado como evaluación automática preliminar, como está hoy. b) Que una persona califique la hoja ya preparada (7 a 8 horas, en seis sesiones); conviene que la haga el director u otra persona, porque el autor ya conoce el resultado automático.</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 si hay tiempo, porque es el instrumento que decide la hipótesis central.</w:t>
            </w:r>
          </w:p>
        </w:tc>
      </w:tr>
      <w:tr>
        <w:trPr>
          <w:tblHeader w:val="off"/>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Análisis estadístico de H1: nivel de significancia de 0.05 con prueba bilateral y correlación rango-biserial como tamaño del efecto, fijados antes de conocer los resultados.</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Confirmar o ajustar.</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Confirmar.</w:t>
            </w:r>
          </w:p>
        </w:tc>
      </w:tr>
      <w:tr>
        <w:trPr>
          <w:tblHeader w:val="off"/>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Preguntas de investigación e hipótesis (apartados 1.2 y 1.6). El 1.6 todavía dice que están sujetas a su validación.</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Validarlas para quitar esa nota, o pedir cambios.</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Validar.</w:t>
            </w:r>
          </w:p>
        </w:tc>
      </w:tr>
      <w:tr>
        <w:trPr>
          <w:tblHeader w:val="off"/>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Declaración del uso de IA en la redacción de la tesis.</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Nota metodológica en 4.1, apartado en la introducción o anexo.</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Una nota breve en 4.1.</w:t>
            </w:r>
          </w:p>
        </w:tc>
      </w:tr>
      <w:tr>
        <w:trPr>
          <w:tblHeader w:val="off"/>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Voz de la tesis. Hoy usa sobre todo construcciones impersonales y «la persona investigadora».</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Mantenerla, o pasar a primera persona del plural.</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Mantenerla.</w:t>
            </w:r>
          </w:p>
        </w:tc>
      </w:tr>
      <w:tr>
        <w:trPr>
          <w:tblHeader w:val="off"/>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Páginas de la guía institucional que siguen en amarillo antes del índice (concepto de tesis, competencias, formato del informe). Las instrucciones dentro de cada sección ya se retiraron.</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Quitarlas en la versión de entrega o conservarlas.</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Quitarlas.</w:t>
            </w:r>
          </w:p>
        </w:tc>
      </w:tr>
      <w:tr>
        <w:trPr>
          <w:tblHeader w:val="off"/>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Rúbricas definidas y no aplicadas (suficiencia de los casos de prueba, calidad de un paquete, calidad de la arquitectura; Anexo E).</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Aplicarlas antes de entregar, o dejarlas como trabajo futuro.</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Dejarlas como trabajo futuro, salvo la de suficiencia si se quiere cerrar PI1.</w:t>
            </w:r>
          </w:p>
        </w:tc>
      </w:tr>
      <w:tr>
        <w:trPr>
          <w:tblHeader w:val="off"/>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Acceso al código de Loom. El repositorio de la plataforma es privado y los anexos lo citan.</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Hacerlo público o dar acceso a quienes revisen la tesis.</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Dar acceso a quienes revisen.</w:t>
            </w:r>
          </w:p>
        </w:tc>
      </w:tr>
      <w:tr>
        <w:trPr>
          <w:tblHeader w:val="off"/>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Cómputo de cuartillas: si el mínimo de 80 incluye anexos y referencias.</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Confirmar el criterio.</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 cumple en los dos casos (86 páginas sin ellos); basta confirmarlo.</w:t>
            </w:r>
          </w:p>
        </w:tc>
      </w:tr>
    </w:tbl>
    <w:p/>
    <w:p>
      <w:pPr>
        <w:pStyle w:val="Heading1"/>
        <w:spacing w:after="120" w:before="240"/>
      </w:pPr>
      <w:r>
        <w:t xml:space="preserve">5. Datos que debe completar el autor</w:t>
      </w:r>
    </w:p>
    <w:p>
      <w:pPr>
        <w:pStyle w:val="ListParagraph"/>
        <w:numPr>
          <w:ilvl w:val="0"/>
          <w:numId w:val="2"/>
        </w:numPr>
        <w:spacing w:after="60"/>
      </w:pPr>
      <w:r>
        <w:t xml:space="preserve">Título definitivo de la tesis, nombre completo, nombre del director o directores y fecha (portada y oficio).</w:t>
      </w:r>
    </w:p>
    <w:p>
      <w:pPr>
        <w:pStyle w:val="ListParagraph"/>
        <w:numPr>
          <w:ilvl w:val="0"/>
          <w:numId w:val="2"/>
        </w:numPr>
        <w:spacing w:after="60"/>
      </w:pPr>
      <w:r>
        <w:t xml:space="preserve">Agradecimientos.</w:t>
      </w:r>
    </w:p>
    <w:p>
      <w:pPr>
        <w:pStyle w:val="Heading1"/>
        <w:spacing w:after="120" w:before="240"/>
      </w:pPr>
      <w:r>
        <w:t xml:space="preserve">6. Trabajo opcional</w:t>
      </w:r>
    </w:p>
    <w:p>
      <w:pPr>
        <w:spacing w:after="120"/>
      </w:pPr>
      <w:r>
        <w:t xml:space="preserve">Si el director lo considera necesario:</w:t>
      </w:r>
    </w:p>
    <w:p>
      <w:pPr>
        <w:pStyle w:val="ListParagraph"/>
        <w:numPr>
          <w:ilvl w:val="0"/>
          <w:numId w:val="2"/>
        </w:numPr>
        <w:spacing w:after="60"/>
      </w:pPr>
      <w:r>
        <w:t xml:space="preserve">Ampliar el capítulo 2 (hoy unas 3,100 palabras; el plan preveía unas 5,000).</w:t>
      </w:r>
    </w:p>
    <w:p>
      <w:pPr>
        <w:pStyle w:val="ListParagraph"/>
        <w:numPr>
          <w:ilvl w:val="0"/>
          <w:numId w:val="2"/>
        </w:numPr>
        <w:spacing w:after="60"/>
      </w:pPr>
      <w:r>
        <w:t xml:space="preserve">Repetir el experimento de control sobre una muestra para medir la variabilidad del modelo, y sumar una segunda persona evaluadora.</w:t>
      </w:r>
    </w:p>
    <w:p>
      <w:pPr>
        <w:pStyle w:val="ListParagraph"/>
        <w:numPr>
          <w:ilvl w:val="0"/>
          <w:numId w:val="2"/>
        </w:numPr>
        <w:spacing w:after="60"/>
      </w:pPr>
      <w:r>
        <w:t xml:space="preserve">Medir cuántas observaciones de la ejecución descartada del experimento repetían las del piloto.</w:t>
      </w:r>
    </w:p>
    <w:p>
      <w:pPr>
        <w:pStyle w:val="ListParagraph"/>
        <w:numPr>
          <w:ilvl w:val="0"/>
          <w:numId w:val="2"/>
        </w:numPr>
        <w:spacing w:after="60"/>
      </w:pPr>
      <w:r>
        <w:t xml:space="preserve">Que la plataforma valide en código que cada criterio de aceptación tenga al menos un caso de prueba.</w:t>
      </w:r>
    </w:p>
    <w:p>
      <w:pPr>
        <w:spacing w:after="120"/>
      </w:pPr>
      <w:r>
        <w:t xml:space="preserve">El detalle de cada punto, con su origen, está en </w:t>
      </w:r>
      <w:r>
        <w:rPr>
          <w:rFonts w:ascii="Consolas" w:cs="Consolas" w:eastAsia="Consolas" w:hAnsi="Consolas"/>
          <w:sz w:val="18"/>
          <w:szCs w:val="18"/>
        </w:rPr>
        <w:t xml:space="preserve">itz/tesis/03-pendientes-de-la-tesis.md</w:t>
      </w:r>
      <w:r>
        <w:t xml:space="preserve">.</w:t>
      </w:r>
    </w:p>
    <w:p>
      <w:pPr>
        <w:pStyle w:val="Heading1"/>
        <w:spacing w:after="120" w:before="240"/>
      </w:pPr>
      <w:r>
        <w:t xml:space="preserve">7. Historial de cambios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Versión</w:t>
            </w:r>
          </w:p>
        </w:tc>
        <w:tc>
          <w:tcPr>
            <w:tcW w:type="dxa" w:w="31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Fecha</w:t>
            </w:r>
          </w:p>
        </w:tc>
        <w:tc>
          <w:tcPr>
            <w:tcW w:type="dxa" w:w="31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Cambios</w:t>
            </w:r>
          </w:p>
        </w:tc>
      </w:tr>
      <w:tr>
        <w:trPr>
          <w:tblHeader w:val="off"/>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 de octubre de 2026</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Primera versión: estado del documento, resultados principales y diez decisiones.</w:t>
            </w:r>
          </w:p>
        </w:tc>
      </w:tr>
      <w:tr>
        <w:trPr>
          <w:tblHeader w:val="off"/>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 de octubre de 2026</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La extensión se mide con la paginación de Word (la versión 1 la estimaba por palabras: 81 cuartillas sin anexos ni referencias y 162 con ellos). Se retiraron de la tesis las instrucciones de cada sección, por lo que el amarillo ya no incluye los 85 párrafos de instrucciones que mencionaba la versión 1, y la decisión 7 queda acotada a las páginas de la guía. Se agregan los índices de figuras, gráficas y tablas y ocho diagramas nuevos.</w:t>
            </w:r>
          </w:p>
        </w:tc>
      </w:tr>
    </w:tbl>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Arial" w:cs="Arial" w:eastAsia="Arial" w:hAnsi="Arial"/>
      <w:b/>
      <w:bCs/>
      <w:color w:val="1F3864"/>
      <w:sz w:val="34"/>
      <w:szCs w:val="34"/>
    </w:rPr>
  </w:style>
  <w:style w:type="paragraph" w:styleId="Heading1">
    <w:name w:val="Heading 1"/>
    <w:basedOn w:val="Normal"/>
    <w:next w:val="Normal"/>
    <w:qFormat/>
    <w:pPr>
      <w:outlineLvl w:val="0"/>
    </w:pPr>
    <w:rPr>
      <w:rFonts w:ascii="Arial" w:cs="Arial" w:eastAsia="Arial" w:hAnsi="Arial"/>
      <w:b/>
      <w:bCs/>
      <w:color w:val="1F3864"/>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Tesis Loom: estado y decisiones pendientes</dc:title>
  <dc:creator>Juan Carlos Soto García</dc:creator>
  <cp:lastModifiedBy>Un-named</cp:lastModifiedBy>
  <cp:revision>1</cp:revision>
  <dcterms:created xsi:type="dcterms:W3CDTF">2026-10-04T01:32:51.263Z</dcterms:created>
  <dcterms:modified xsi:type="dcterms:W3CDTF">2026-10-04T01:32:51.264Z</dcterms:modified>
</cp:coreProperties>
</file>

<file path=docProps/custom.xml><?xml version="1.0" encoding="utf-8"?>
<Properties xmlns="http://schemas.openxmlformats.org/officeDocument/2006/custom-properties" xmlns:vt="http://schemas.openxmlformats.org/officeDocument/2006/docPropsVTypes"/>
</file>