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highlight w:val="yellow"/>
            </w:rPr>
            <w:t>Qué escribir (1 a 2 cuartillas, sin abreviaturas ni referencias, y se escribe AL FINAL):</w:t>
          </w:r>
        </w:p>
        <w:p w14:paraId="23C5CA7C" w14:textId="77777777" w:rsidR="00670110" w:rsidRDefault="00EA4012">
          <w:r>
            <w:rPr>
              <w:rStyle w:val="PlaceholderText"/>
              <w:highlight w:val="yellow"/>
            </w:rPr>
            <w:t xml:space="preserve">• </w:t>
          </w:r>
          <w:r>
            <w:rPr>
              <w:rStyle w:val="PlaceholderText"/>
              <w:b/>
              <w:highlight w:val="yellow"/>
            </w:rPr>
            <w:t>Objetivo y alcance:</w:t>
          </w:r>
          <w:r>
            <w:rPr>
              <w:rStyle w:val="PlaceholderText"/>
              <w:highlight w:val="yellow"/>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highlight w:val="yellow"/>
            </w:rPr>
            <w:t xml:space="preserve">• </w:t>
          </w:r>
          <w:r>
            <w:rPr>
              <w:rStyle w:val="PlaceholderText"/>
              <w:b/>
              <w:highlight w:val="yellow"/>
            </w:rPr>
            <w:t>Materiales y métodos:</w:t>
          </w:r>
          <w:r>
            <w:rPr>
              <w:rStyle w:val="PlaceholderText"/>
              <w:highlight w:val="yellow"/>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highlight w:val="yellow"/>
            </w:rPr>
            <w:t xml:space="preserve">• </w:t>
          </w:r>
          <w:r>
            <w:rPr>
              <w:rStyle w:val="PlaceholderText"/>
              <w:b/>
              <w:highlight w:val="yellow"/>
            </w:rPr>
            <w:t>Resultados más importantes:</w:t>
          </w:r>
          <w:r>
            <w:rPr>
              <w:rStyle w:val="PlaceholderText"/>
              <w:highlight w:val="yellow"/>
            </w:rPr>
            <w:t xml:space="preserve"> solo cifras que aparezcan en el capítulo 5. Todavía no existen; se llenan cuando se corran los escenarios E1–E4.</w:t>
          </w:r>
        </w:p>
        <w:p w14:paraId="2A965E3C" w14:textId="77777777" w:rsidR="00670110" w:rsidRDefault="00EA4012">
          <w:r>
            <w:rPr>
              <w:rStyle w:val="PlaceholderText"/>
              <w:highlight w:val="yellow"/>
            </w:rPr>
            <w:t xml:space="preserve">• </w:t>
          </w:r>
          <w:r>
            <w:rPr>
              <w:rStyle w:val="PlaceholderText"/>
              <w:b/>
              <w:highlight w:val="yellow"/>
            </w:rPr>
            <w:t>Conclusiones:</w:t>
          </w:r>
          <w:r>
            <w:rPr>
              <w:rStyle w:val="PlaceholderText"/>
              <w:highlight w:val="yellow"/>
            </w:rPr>
            <w:t xml:space="preserve"> si se sostienen las hipótesis H1 a H3, con sus limitaciones. No incluyas nada que no esté también en el cuerpo del trabajo.</w:t>
          </w:r>
        </w:p>
        <w:p w14:paraId="65AA0008" w14:textId="77777777" w:rsidR="00670110" w:rsidRDefault="00EA4012">
          <w:r>
            <w:rPr>
              <w:rStyle w:val="PlaceholderText"/>
              <w:b/>
              <w:highlight w:val="yellow"/>
            </w:rPr>
            <w:t>Cierra con</w:t>
          </w:r>
          <w:r>
            <w:rPr>
              <w:rStyle w:val="PlaceholderText"/>
              <w:highlight w:val="yellow"/>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highlight w:val="yellow"/>
            </w:rPr>
            <w:t>Qué escribir:</w:t>
          </w:r>
          <w:r>
            <w:rPr>
              <w:rStyle w:val="PlaceholderText"/>
              <w:highlight w:val="yellow"/>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ochenta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[60],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Hay un resultado que pesa más que la comparación. 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 Revisar con contexto no sustituyó a revisar sin él; las dos revisiones se complementaron.</w:t>
          </w:r>
        </w:p>
        <w:p>
          <w:r>
            <w:t xml:space="preserve">El experimento tiene límites propios. El mayor es el calificador: la relevancia la juzgó un modelo de la misma familia que el revisor, y no una persona. El apartado 2.9 describe los sesgos de ese tipo de juez,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2014, doi: 10.2466/11.IT.3.1.</w:t>
          </w:r>
        </w:p>
        <w:p>
          <w:r>
            <w:t xml:space="preserve">[60]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del experimento de control del apartado 4.1.7. La aplicó el modelo de la evaluación automática y es la misma que usará la persona, que recibe además una guía con el procedimiento, las reglas del cegado y un plan de calificación por sesiones.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