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Tesis «Loom»: estado y decisiones pendientes para revisión con el director</w:t>
      </w:r>
    </w:p>
    <w:p>
      <w:pPr>
        <w:spacing w:after="120"/>
      </w:pPr>
      <w:r>
        <w:t xml:space="preserve">Maestría en Sistemas Computacionales, Instituto Tecnológico de Zacatecas. Documento que acompaña a </w:t>
      </w:r>
      <w:r>
        <w:rPr>
          <w:rFonts w:ascii="Consolas" w:cs="Consolas" w:eastAsia="Consolas" w:hAnsi="Consolas"/>
          <w:sz w:val="18"/>
          <w:szCs w:val="18"/>
        </w:rPr>
        <w:t xml:space="preserve">Loom - Tesis v04.docx</w:t>
      </w:r>
      <w:r>
        <w:t xml:space="preserve">. Corte: 3 de octubre de 2026.</w:t>
      </w:r>
    </w:p>
    <w:p>
      <w:pPr>
        <w:pStyle w:val="Heading1"/>
        <w:spacing w:after="120" w:before="240"/>
      </w:pPr>
      <w:r>
        <w:t xml:space="preserve">1. Estado del documento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Están escritos todos los apartados de la guía institucional: introducción, capítulos 1 a 6, resumen, </w:t>
      </w:r>
      <w:r>
        <w:rPr>
          <w:i/>
          <w:iCs/>
        </w:rPr>
        <w:t xml:space="preserve">abstract</w:t>
      </w:r>
      <w:r>
        <w:t xml:space="preserve">, referencias y nueve anexos (A a I).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Extensión: unas 81 cuartillas sin anexos ni referencias y unas 162 con ellos. La guía pide 80 como mínimo.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Referencias: 61, en formato IEEE, verificadas una por una contra su fuente.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Cifras: 87 de los capítulos 4 a 6 se recalculan desde la evidencia versionada y todas coinciden (</w:t>
      </w:r>
      <w:r>
        <w:rPr>
          <w:rFonts w:ascii="Consolas" w:cs="Consolas" w:eastAsia="Consolas" w:hAnsi="Consolas"/>
          <w:sz w:val="18"/>
          <w:szCs w:val="18"/>
        </w:rPr>
        <w:t xml:space="preserve">trazabilidad-de-cifras.md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Evidencia: datos de las corridas, experimentos y guiones en el repositorio público de la tesis (https://github.com/CarlosSotoGarcia/jcsoto-tech-lead, carpeta </w:t>
      </w:r>
      <w:r>
        <w:rPr>
          <w:rFonts w:ascii="Consolas" w:cs="Consolas" w:eastAsia="Consolas" w:hAnsi="Consolas"/>
          <w:sz w:val="18"/>
          <w:szCs w:val="18"/>
        </w:rPr>
        <w:t xml:space="preserve">itz/tesis/evidencia/</w:t>
      </w:r>
      <w:r>
        <w:t xml:space="preserve">).</w:t>
      </w:r>
    </w:p>
    <w:p>
      <w:pPr>
        <w:pStyle w:val="Heading1"/>
        <w:spacing w:after="120" w:before="240"/>
      </w:pPr>
      <w:r>
        <w:t xml:space="preserve">2. Resultados principales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flujo completó el ciclo de punta a punta en dos proyectos de dominios y tecnologías distintos (inventarios con Java y Angular; agenda de un taller con Node y React): 29 paquetes de código fusionados, las dos aplicaciones desplegadas en Google Cloud y 145 casos de prueba ejecutados (104 aprobados, 11 fallidos, 30 bloqueados).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PI1: los 110 criterios de aceptación de las seis HUs quedaron cubiertos por al menos un caso de prueba. El 70 % de esos criterios los infirió el propio sistema, y falta valorar si los casos son suficientes.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H1 (el contexto mejora la revisión): sin apoyo. En el experimento de control, con calificación automática, la proporción de observaciones relevantes fue de 32.9 % con contexto y de 30.4 % solo con el </w:t>
      </w:r>
      <w:r>
        <w:rPr>
          <w:i/>
          <w:iCs/>
        </w:rPr>
        <w:t xml:space="preserve">diff</w:t>
      </w:r>
      <w:r>
        <w:t xml:space="preserve">, sin diferencia significativa. El contexto sí cambió el tipo de hallazgo, y cerca de dos de cada tres observaciones fueron ruido o falsas en las dos condiciones.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H2 (generalización): evidencia parcial. El segundo proyecto completó el ciclo sin cambiar las </w:t>
      </w:r>
      <w:r>
        <w:rPr>
          <w:i/>
          <w:iCs/>
        </w:rPr>
        <w:t xml:space="preserve">skills</w:t>
      </w:r>
      <w:r>
        <w:t xml:space="preserve">, pero exigió corregir supuestos de la plataforma.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H3 (comparación de proveedores): no se ejecutó.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PI5: defectos que la revisión y la compilación no señalaron aparecieron en la integración continua y en las pruebas sobre la aplicación desplegada.</w:t>
      </w:r>
    </w:p>
    <w:p>
      <w:pPr>
        <w:pStyle w:val="Heading1"/>
        <w:spacing w:after="120" w:before="240"/>
      </w:pPr>
      <w:r>
        <w:t xml:space="preserve">3. Cómo leer el documento</w:t>
      </w:r>
    </w:p>
    <w:p>
      <w:pPr>
        <w:spacing w:after="120"/>
      </w:pPr>
      <w:r>
        <w:t xml:space="preserve">Lo resaltado en amarillo no es texto de la tesis: son las instrucciones de la plantilla institucional (85 párrafos), la guía de la sección de agradecimientos, los datos de portada y oficio por completar, y una nota de trabajo en el apartado 1.6.</w:t>
      </w:r>
    </w:p>
    <w:p>
      <w:pPr>
        <w:pStyle w:val="Heading1"/>
        <w:spacing w:after="120" w:before="240"/>
      </w:pPr>
      <w:r>
        <w:t xml:space="preserve">4. Decisiones que se necesitan del director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000"/>
        <w:gridCol w:w="3100"/>
        <w:gridCol w:w="266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Decisión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Opciones</w:t>
            </w:r>
          </w:p>
        </w:tc>
        <w:tc>
          <w:tcPr>
            <w:tcW w:type="dxa" w:w="2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Recomendación</w:t>
            </w:r>
          </w:p>
        </w:tc>
      </w:tr>
      <w:tr>
        <w:trPr>
          <w:tblHeader w:val="off"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Alcance de la validación. El diseño prevé cuatro escenarios con API (dos proyectos por dos proveedores, E1 a E4); no se ejecutaron por falta de saldo en la API de Anthropic (unos 100 USD) y por la facturación bloqueada de Gemini.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a) Cerrar con los dos pilotos y el experimento de control, registrar la reducción de alcance y ajustar el capítulo 4. b) Ejecutar E1 a E4.</w:t>
            </w:r>
          </w:p>
        </w:tc>
        <w:tc>
          <w:tcPr>
            <w:tcW w:type="dxa" w:w="2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a). H3 quedaría como trabajo futuro.</w:t>
            </w:r>
          </w:p>
        </w:tc>
      </w:tr>
      <w:tr>
        <w:trPr>
          <w:tblHeader w:val="off"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Evaluación de H1. La relevancia de las 177 observaciones la calificó un modelo (distinto del revisor, a ciegas), no una persona como pedía el diseño.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a) Presentar el resultado como evaluación automática preliminar, como está hoy. b) Que una persona califique la hoja ya preparada (7 a 8 horas, en seis sesiones); conviene que la haga el director u otra persona, porque el autor ya conoce el resultado automático.</w:t>
            </w:r>
          </w:p>
        </w:tc>
        <w:tc>
          <w:tcPr>
            <w:tcW w:type="dxa" w:w="2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b) si hay tiempo, porque es el instrumento que decide la hipótesis central.</w:t>
            </w:r>
          </w:p>
        </w:tc>
      </w:tr>
      <w:tr>
        <w:trPr>
          <w:tblHeader w:val="off"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Análisis estadístico de H1: nivel de significancia de 0.05 con prueba bilateral y correlación rango-biserial como tamaño del efecto, fijados antes de conocer los resultados.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Confirmar o ajustar.</w:t>
            </w:r>
          </w:p>
        </w:tc>
        <w:tc>
          <w:tcPr>
            <w:tcW w:type="dxa" w:w="2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Confirmar.</w:t>
            </w:r>
          </w:p>
        </w:tc>
      </w:tr>
      <w:tr>
        <w:trPr>
          <w:tblHeader w:val="off"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Preguntas de investigación e hipótesis (apartados 1.2 y 1.6). El 1.6 todavía dice que están sujetas a su validación.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Validarlas para quitar esa nota, o pedir cambios.</w:t>
            </w:r>
          </w:p>
        </w:tc>
        <w:tc>
          <w:tcPr>
            <w:tcW w:type="dxa" w:w="2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Validar.</w:t>
            </w:r>
          </w:p>
        </w:tc>
      </w:tr>
      <w:tr>
        <w:trPr>
          <w:tblHeader w:val="off"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Declaración del uso de IA en la redacción de la tesis.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Nota metodológica en 4.1, apartado en la introducción o anexo.</w:t>
            </w:r>
          </w:p>
        </w:tc>
        <w:tc>
          <w:tcPr>
            <w:tcW w:type="dxa" w:w="2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Una nota breve en 4.1.</w:t>
            </w:r>
          </w:p>
        </w:tc>
      </w:tr>
      <w:tr>
        <w:trPr>
          <w:tblHeader w:val="off"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Voz de la tesis. Hoy usa sobre todo construcciones impersonales y «la persona investigadora».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Mantenerla, o pasar a primera persona del plural.</w:t>
            </w:r>
          </w:p>
        </w:tc>
        <w:tc>
          <w:tcPr>
            <w:tcW w:type="dxa" w:w="2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Mantenerla.</w:t>
            </w:r>
          </w:p>
        </w:tc>
      </w:tr>
      <w:tr>
        <w:trPr>
          <w:tblHeader w:val="off"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Instrucciones de la plantilla institucional (en amarillo).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Quitarlas en la versión de entrega o conservarlas.</w:t>
            </w:r>
          </w:p>
        </w:tc>
        <w:tc>
          <w:tcPr>
            <w:tcW w:type="dxa" w:w="2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Quitarlas.</w:t>
            </w:r>
          </w:p>
        </w:tc>
      </w:tr>
      <w:tr>
        <w:trPr>
          <w:tblHeader w:val="off"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Rúbricas definidas y no aplicadas (suficiencia de los casos de prueba, calidad de un paquete, calidad de la arquitectura; Anexo E).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Aplicarlas antes de entregar, o dejarlas como trabajo futuro.</w:t>
            </w:r>
          </w:p>
        </w:tc>
        <w:tc>
          <w:tcPr>
            <w:tcW w:type="dxa" w:w="2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Dejarlas como trabajo futuro, salvo la de suficiencia si se quiere cerrar PI1.</w:t>
            </w:r>
          </w:p>
        </w:tc>
      </w:tr>
      <w:tr>
        <w:trPr>
          <w:tblHeader w:val="off"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Acceso al código de Loom. El repositorio de la plataforma es privado y los anexos lo citan.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Hacerlo público o dar acceso a quienes revisen la tesis.</w:t>
            </w:r>
          </w:p>
        </w:tc>
        <w:tc>
          <w:tcPr>
            <w:tcW w:type="dxa" w:w="2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Dar acceso a quienes revisen.</w:t>
            </w:r>
          </w:p>
        </w:tc>
      </w:tr>
      <w:tr>
        <w:trPr>
          <w:tblHeader w:val="off"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Cómputo de cuartillas: si el mínimo de 80 incluye anexos y referencias.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 cumple en los dos casos; basta confirmarlo.</w:t>
            </w:r>
          </w:p>
        </w:tc>
      </w:tr>
    </w:tbl>
    <w:p/>
    <w:p>
      <w:pPr>
        <w:pStyle w:val="Heading1"/>
        <w:spacing w:after="120" w:before="240"/>
      </w:pPr>
      <w:r>
        <w:t xml:space="preserve">5. Datos que debe completar el autor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Título definitivo de la tesis, nombre completo, nombre del director o directores y fecha (portada y oficio).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Agradecimientos.</w:t>
      </w:r>
    </w:p>
    <w:p>
      <w:pPr>
        <w:pStyle w:val="Heading1"/>
        <w:spacing w:after="120" w:before="240"/>
      </w:pPr>
      <w:r>
        <w:t xml:space="preserve">6. Trabajo opcional</w:t>
      </w:r>
    </w:p>
    <w:p>
      <w:pPr>
        <w:spacing w:after="120"/>
      </w:pPr>
      <w:r>
        <w:t xml:space="preserve">Si el director lo considera necesario: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Ampliar el capítulo 2 (hoy unas 3,100 palabras; el plan preveía unas 5,000).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Repetir el experimento de control sobre una muestra para medir la variabilidad del modelo, y sumar una segunda persona evaluadora.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Medir cuántas observaciones de la ejecución descartada del experimento repetían las del piloto.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Que la plataforma valide en código que cada criterio de aceptación tenga al menos un caso de prueba.</w:t>
      </w:r>
    </w:p>
    <w:p>
      <w:pPr>
        <w:spacing w:after="120"/>
      </w:pPr>
      <w:r>
        <w:t xml:space="preserve">El detalle de cada punto, con su origen, está en </w:t>
      </w:r>
      <w:r>
        <w:rPr>
          <w:rFonts w:ascii="Consolas" w:cs="Consolas" w:eastAsia="Consolas" w:hAnsi="Consolas"/>
          <w:sz w:val="18"/>
          <w:szCs w:val="18"/>
        </w:rPr>
        <w:t xml:space="preserve">itz/tesis/03-pendientes-de-la-tesis.md</w:t>
      </w:r>
      <w:r>
        <w:t xml:space="preserve">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Arial" w:cs="Arial" w:eastAsia="Arial" w:hAnsi="Arial"/>
      <w:b/>
      <w:bCs/>
      <w:color w:val="1F3864"/>
      <w:sz w:val="34"/>
      <w:szCs w:val="34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1F3864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Tesis Loom: estado y decisiones pendientes</dc:title>
  <dc:creator>Juan Carlos Soto García</dc:creator>
  <cp:lastModifiedBy>Un-named</cp:lastModifiedBy>
  <cp:revision>1</cp:revision>
  <dcterms:created xsi:type="dcterms:W3CDTF">2026-10-03T20:10:07.740Z</dcterms:created>
  <dcterms:modified xsi:type="dcterms:W3CDTF">2026-10-03T20:10:07.741Z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