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457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7"/>
        <w:gridCol w:w="4677"/>
        <w:gridCol w:w="2607"/>
        <w:gridCol w:w="4679"/>
      </w:tblGrid>
      <w:tr w14:paraId="5E2249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2607" w:type="dxa"/>
            <w:shd w:val="clear" w:color="auto" w:fill="F2F2F2"/>
            <w:vAlign w:val="center"/>
          </w:tcPr>
          <w:p w14:paraId="57767E91">
            <w:pPr>
              <w:spacing w:before="0" w:after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Proyecto</w:t>
            </w:r>
          </w:p>
        </w:tc>
        <w:tc>
          <w:tcPr>
            <w:tcW w:w="4677" w:type="dxa"/>
            <w:vAlign w:val="center"/>
          </w:tcPr>
          <w:p w14:paraId="22FE33AA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TuSuper en línea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6035C099">
            <w:pPr>
              <w:spacing w:before="0" w:after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Código del proyecto</w:t>
            </w:r>
          </w:p>
        </w:tc>
        <w:tc>
          <w:tcPr>
            <w:tcW w:w="4679" w:type="dxa"/>
            <w:vAlign w:val="center"/>
          </w:tcPr>
          <w:p w14:paraId="232855C4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TSL-2627</w:t>
            </w:r>
          </w:p>
        </w:tc>
      </w:tr>
      <w:tr w14:paraId="7A5D27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2607" w:type="dxa"/>
            <w:shd w:val="clear" w:color="auto" w:fill="F2F2F2"/>
            <w:vAlign w:val="center"/>
          </w:tcPr>
          <w:p w14:paraId="4FE1D9ED">
            <w:pPr>
              <w:spacing w:before="0" w:after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Grupo</w:t>
            </w:r>
          </w:p>
        </w:tc>
        <w:tc>
          <w:tcPr>
            <w:tcW w:w="4677" w:type="dxa"/>
            <w:vAlign w:val="center"/>
          </w:tcPr>
          <w:p w14:paraId="44A2F75F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PGPI-208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32A0DDC6">
            <w:pPr>
              <w:spacing w:before="0" w:after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Documento y versión</w:t>
            </w:r>
          </w:p>
        </w:tc>
        <w:tc>
          <w:tcPr>
            <w:tcW w:w="4679" w:type="dxa"/>
            <w:vAlign w:val="center"/>
          </w:tcPr>
          <w:p w14:paraId="766D6224">
            <w:pPr>
              <w:spacing w:after="0" w:line="240" w:lineRule="auto"/>
            </w:pPr>
            <w:r>
              <w:rPr>
                <w:sz w:val="18"/>
              </w:rPr>
              <w:t>EDT · v1.4</w:t>
            </w:r>
          </w:p>
        </w:tc>
      </w:tr>
      <w:tr w14:paraId="651120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2607" w:type="dxa"/>
            <w:shd w:val="clear" w:color="auto" w:fill="F2F2F2"/>
            <w:vAlign w:val="center"/>
          </w:tcPr>
          <w:p w14:paraId="76F4482C">
            <w:pPr>
              <w:spacing w:before="0" w:after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Línea base a la que pertenece</w:t>
            </w:r>
          </w:p>
        </w:tc>
        <w:tc>
          <w:tcPr>
            <w:tcW w:w="4677" w:type="dxa"/>
            <w:vAlign w:val="center"/>
          </w:tcPr>
          <w:p w14:paraId="0551F72E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LB-1.0 (propuesta)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0CAB09BD">
            <w:pPr>
              <w:spacing w:before="0" w:after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Fecha de elaboración</w:t>
            </w:r>
          </w:p>
        </w:tc>
        <w:tc>
          <w:tcPr>
            <w:tcW w:w="4679" w:type="dxa"/>
            <w:vAlign w:val="center"/>
          </w:tcPr>
          <w:p w14:paraId="1B8BFDA8">
            <w:pPr>
              <w:spacing w:after="0" w:line="240" w:lineRule="auto"/>
            </w:pPr>
            <w:r>
              <w:rPr>
                <w:sz w:val="18"/>
              </w:rPr>
              <w:t>23/10/2026</w:t>
            </w:r>
          </w:p>
        </w:tc>
      </w:tr>
      <w:tr w14:paraId="32F090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2607" w:type="dxa"/>
            <w:shd w:val="clear" w:color="auto" w:fill="F2F2F2"/>
            <w:vAlign w:val="center"/>
          </w:tcPr>
          <w:p w14:paraId="2162706C">
            <w:pPr>
              <w:spacing w:before="0" w:after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Elaborado por</w:t>
            </w:r>
          </w:p>
        </w:tc>
        <w:tc>
          <w:tcPr>
            <w:tcW w:w="4677" w:type="dxa"/>
            <w:vAlign w:val="center"/>
          </w:tcPr>
          <w:p w14:paraId="2CA1F325">
            <w:pPr>
              <w:spacing w:after="0" w:line="240" w:lineRule="auto"/>
            </w:pPr>
            <w:r>
              <w:rPr>
                <w:rFonts w:hint="default" w:ascii="Arial" w:hAnsi="Arial"/>
                <w:sz w:val="18"/>
                <w:lang w:val="es-ES"/>
              </w:rPr>
              <w:t>Emilio Metro Álvarez</w:t>
            </w:r>
            <w:bookmarkStart w:id="0" w:name="_GoBack"/>
            <w:bookmarkEnd w:id="0"/>
            <w:r>
              <w:rPr>
                <w:rFonts w:ascii="Arial" w:hAnsi="Arial"/>
                <w:sz w:val="18"/>
              </w:rPr>
              <w:t xml:space="preserve"> · equipo de proyecto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09E5C4B1">
            <w:pPr>
              <w:spacing w:before="0" w:after="0" w:line="240" w:lineRule="auto"/>
              <w:rPr>
                <w:sz w:val="19"/>
                <w:szCs w:val="19"/>
              </w:rPr>
            </w:pPr>
            <w:r>
              <w:rPr>
                <w:b/>
                <w:i w:val="0"/>
                <w:smallCaps/>
                <w:color w:val="1F4E5A"/>
                <w:spacing w:val="6"/>
                <w:sz w:val="18"/>
                <w:szCs w:val="18"/>
              </w:rPr>
              <w:t>Aprobado por</w:t>
            </w:r>
          </w:p>
        </w:tc>
        <w:tc>
          <w:tcPr>
            <w:tcW w:w="4679" w:type="dxa"/>
            <w:vAlign w:val="center"/>
          </w:tcPr>
          <w:p w14:paraId="1093F006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Patrocinador del proyecto (pendiente)</w:t>
            </w:r>
          </w:p>
        </w:tc>
      </w:tr>
    </w:tbl>
    <w:p w14:paraId="25FA5698">
      <w:pPr>
        <w:keepNext/>
        <w:shd w:val="clear" w:color="auto" w:fill="DCE6E8"/>
        <w:spacing w:after="0"/>
        <w:outlineLvl w:val="1"/>
        <w:rPr>
          <w:b/>
          <w:color w:val="1F4E5A"/>
          <w:sz w:val="21"/>
          <w:szCs w:val="21"/>
        </w:rPr>
      </w:pPr>
      <w:r>
        <w:rPr>
          <w:b/>
          <w:color w:val="1F4E5A"/>
          <w:sz w:val="21"/>
          <w:szCs w:val="21"/>
        </w:rPr>
        <w:t>HISTÓRICO DE MODIFICACIONES DEL DOCUMENTO</w:t>
      </w:r>
    </w:p>
    <w:tbl>
      <w:tblPr>
        <w:tblStyle w:val="8"/>
        <w:tblW w:w="1457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587"/>
        <w:gridCol w:w="3118"/>
        <w:gridCol w:w="8618"/>
      </w:tblGrid>
      <w:tr w14:paraId="7331CC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47" w:type="dxa"/>
            <w:shd w:val="clear" w:color="auto" w:fill="DCE6E8"/>
          </w:tcPr>
          <w:p w14:paraId="18A9F92D">
            <w:pPr>
              <w:spacing w:before="0" w:after="0" w:line="240" w:lineRule="auto"/>
              <w:rPr>
                <w:sz w:val="19"/>
                <w:szCs w:val="19"/>
              </w:rPr>
            </w:pPr>
            <w:r>
              <w:rPr>
                <w:rFonts w:ascii="Arial" w:hAnsi="Arial"/>
                <w:b/>
                <w:i w:val="0"/>
                <w:color w:val="1F4E5A"/>
                <w:sz w:val="16"/>
                <w:szCs w:val="19"/>
              </w:rPr>
              <w:t>Versión</w:t>
            </w:r>
          </w:p>
        </w:tc>
        <w:tc>
          <w:tcPr>
            <w:tcW w:w="1587" w:type="dxa"/>
            <w:shd w:val="clear" w:color="auto" w:fill="DCE6E8"/>
          </w:tcPr>
          <w:p w14:paraId="01A1D7EC">
            <w:pPr>
              <w:spacing w:before="0" w:after="0" w:line="240" w:lineRule="auto"/>
              <w:rPr>
                <w:sz w:val="19"/>
                <w:szCs w:val="19"/>
              </w:rPr>
            </w:pPr>
            <w:r>
              <w:rPr>
                <w:rFonts w:ascii="Arial" w:hAnsi="Arial"/>
                <w:b/>
                <w:i w:val="0"/>
                <w:color w:val="1F4E5A"/>
                <w:sz w:val="16"/>
                <w:szCs w:val="19"/>
              </w:rPr>
              <w:t>Fecha</w:t>
            </w:r>
          </w:p>
        </w:tc>
        <w:tc>
          <w:tcPr>
            <w:tcW w:w="3118" w:type="dxa"/>
            <w:shd w:val="clear" w:color="auto" w:fill="DCE6E8"/>
          </w:tcPr>
          <w:p w14:paraId="69839F2E">
            <w:pPr>
              <w:spacing w:before="0" w:after="0" w:line="240" w:lineRule="auto"/>
              <w:rPr>
                <w:sz w:val="19"/>
                <w:szCs w:val="19"/>
              </w:rPr>
            </w:pPr>
            <w:r>
              <w:rPr>
                <w:rFonts w:ascii="Arial" w:hAnsi="Arial"/>
                <w:b/>
                <w:i w:val="0"/>
                <w:color w:val="1F4E5A"/>
                <w:sz w:val="16"/>
                <w:szCs w:val="19"/>
              </w:rPr>
              <w:t>Realizada por</w:t>
            </w:r>
          </w:p>
        </w:tc>
        <w:tc>
          <w:tcPr>
            <w:tcW w:w="8618" w:type="dxa"/>
            <w:shd w:val="clear" w:color="auto" w:fill="DCE6E8"/>
          </w:tcPr>
          <w:p w14:paraId="66A15E39">
            <w:pPr>
              <w:spacing w:before="0" w:after="0" w:line="240" w:lineRule="auto"/>
              <w:rPr>
                <w:sz w:val="19"/>
                <w:szCs w:val="19"/>
              </w:rPr>
            </w:pPr>
            <w:r>
              <w:rPr>
                <w:rFonts w:ascii="Arial" w:hAnsi="Arial"/>
                <w:b/>
                <w:i w:val="0"/>
                <w:color w:val="1F4E5A"/>
                <w:sz w:val="16"/>
                <w:szCs w:val="19"/>
              </w:rPr>
              <w:t>Breve descripción de los cambios</w:t>
            </w:r>
          </w:p>
        </w:tc>
      </w:tr>
      <w:tr w14:paraId="6CC5BD5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1247" w:type="dxa"/>
          </w:tcPr>
          <w:p w14:paraId="14853E2F">
            <w:pPr>
              <w:spacing w:after="0" w:line="240" w:lineRule="auto"/>
              <w:rPr>
                <w:rFonts w:hint="default" w:asciiTheme="minorAscii" w:hAnsiTheme="minorAscii"/>
                <w:sz w:val="18"/>
                <w:szCs w:val="18"/>
              </w:rPr>
            </w:pPr>
            <w:r>
              <w:rPr>
                <w:rFonts w:hint="default" w:asciiTheme="minorAscii" w:hAnsiTheme="minorAscii"/>
                <w:sz w:val="18"/>
                <w:szCs w:val="18"/>
              </w:rPr>
              <w:t>v1.0</w:t>
            </w:r>
          </w:p>
        </w:tc>
        <w:tc>
          <w:tcPr>
            <w:tcW w:w="1587" w:type="dxa"/>
          </w:tcPr>
          <w:p w14:paraId="5A1693B0">
            <w:pPr>
              <w:spacing w:after="0" w:line="240" w:lineRule="auto"/>
              <w:rPr>
                <w:rFonts w:hint="default" w:asciiTheme="minorAscii" w:hAnsiTheme="minorAscii"/>
                <w:sz w:val="18"/>
                <w:szCs w:val="18"/>
              </w:rPr>
            </w:pPr>
            <w:r>
              <w:rPr>
                <w:rFonts w:hint="default" w:asciiTheme="minorAscii" w:hAnsiTheme="minorAscii"/>
                <w:sz w:val="18"/>
                <w:szCs w:val="18"/>
              </w:rPr>
              <w:t>—</w:t>
            </w:r>
          </w:p>
        </w:tc>
        <w:tc>
          <w:tcPr>
            <w:tcW w:w="3118" w:type="dxa"/>
          </w:tcPr>
          <w:p w14:paraId="62D72E9D">
            <w:pPr>
              <w:spacing w:after="0" w:line="240" w:lineRule="auto"/>
              <w:rPr>
                <w:rFonts w:hint="default" w:asciiTheme="minorAscii" w:hAnsiTheme="minorAscii"/>
                <w:sz w:val="18"/>
                <w:szCs w:val="18"/>
              </w:rPr>
            </w:pPr>
            <w:r>
              <w:rPr>
                <w:rFonts w:hint="default" w:asciiTheme="minorAscii" w:hAnsiTheme="minorAscii"/>
                <w:sz w:val="18"/>
                <w:szCs w:val="18"/>
              </w:rPr>
              <w:t>—</w:t>
            </w:r>
          </w:p>
        </w:tc>
        <w:tc>
          <w:tcPr>
            <w:tcW w:w="8618" w:type="dxa"/>
          </w:tcPr>
          <w:p w14:paraId="69B69D23">
            <w:pPr>
              <w:spacing w:after="0" w:line="240" w:lineRule="auto"/>
              <w:rPr>
                <w:rFonts w:hint="default" w:asciiTheme="minorAscii" w:hAnsiTheme="minorAscii"/>
                <w:sz w:val="18"/>
                <w:szCs w:val="18"/>
              </w:rPr>
            </w:pPr>
            <w:r>
              <w:rPr>
                <w:rFonts w:hint="default" w:asciiTheme="minorAscii" w:hAnsiTheme="minorAscii"/>
                <w:sz w:val="18"/>
                <w:szCs w:val="18"/>
              </w:rPr>
              <w:t>Versión anterior: fecha y autor pendientes de completar</w:t>
            </w:r>
          </w:p>
        </w:tc>
      </w:tr>
      <w:tr w14:paraId="01DD9A9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1247" w:type="dxa"/>
          </w:tcPr>
          <w:p w14:paraId="2D9150DE">
            <w:pPr>
              <w:spacing w:after="0" w:line="240" w:lineRule="auto"/>
              <w:rPr>
                <w:rFonts w:hint="default" w:asciiTheme="minorAscii" w:hAnsiTheme="minorAscii"/>
                <w:sz w:val="18"/>
                <w:szCs w:val="18"/>
              </w:rPr>
            </w:pPr>
            <w:r>
              <w:rPr>
                <w:rFonts w:hint="default" w:asciiTheme="minorAscii" w:hAnsiTheme="minorAscii"/>
                <w:sz w:val="18"/>
                <w:szCs w:val="18"/>
              </w:rPr>
              <w:t>v1.1</w:t>
            </w:r>
          </w:p>
        </w:tc>
        <w:tc>
          <w:tcPr>
            <w:tcW w:w="1587" w:type="dxa"/>
          </w:tcPr>
          <w:p w14:paraId="0092EE62">
            <w:pPr>
              <w:spacing w:after="0" w:line="240" w:lineRule="auto"/>
              <w:rPr>
                <w:rFonts w:hint="default" w:asciiTheme="minorAscii" w:hAnsiTheme="minorAscii"/>
                <w:sz w:val="18"/>
                <w:szCs w:val="18"/>
              </w:rPr>
            </w:pPr>
            <w:r>
              <w:rPr>
                <w:rFonts w:hint="default" w:asciiTheme="minorAscii" w:hAnsiTheme="minorAscii"/>
                <w:sz w:val="18"/>
                <w:szCs w:val="18"/>
              </w:rPr>
              <w:t>—</w:t>
            </w:r>
          </w:p>
        </w:tc>
        <w:tc>
          <w:tcPr>
            <w:tcW w:w="3118" w:type="dxa"/>
          </w:tcPr>
          <w:p w14:paraId="75799350">
            <w:pPr>
              <w:spacing w:after="0" w:line="240" w:lineRule="auto"/>
              <w:rPr>
                <w:rFonts w:hint="default" w:asciiTheme="minorAscii" w:hAnsiTheme="minorAscii"/>
                <w:sz w:val="18"/>
                <w:szCs w:val="18"/>
              </w:rPr>
            </w:pPr>
            <w:r>
              <w:rPr>
                <w:rFonts w:hint="default" w:asciiTheme="minorAscii" w:hAnsiTheme="minorAscii"/>
                <w:sz w:val="18"/>
                <w:szCs w:val="18"/>
              </w:rPr>
              <w:t>—</w:t>
            </w:r>
          </w:p>
        </w:tc>
        <w:tc>
          <w:tcPr>
            <w:tcW w:w="8618" w:type="dxa"/>
          </w:tcPr>
          <w:p w14:paraId="087C1561">
            <w:pPr>
              <w:spacing w:after="0" w:line="240" w:lineRule="auto"/>
              <w:rPr>
                <w:rFonts w:hint="default" w:asciiTheme="minorAscii" w:hAnsiTheme="minorAscii"/>
                <w:sz w:val="18"/>
                <w:szCs w:val="18"/>
              </w:rPr>
            </w:pPr>
            <w:r>
              <w:rPr>
                <w:rFonts w:hint="default" w:asciiTheme="minorAscii" w:hAnsiTheme="minorAscii"/>
                <w:sz w:val="18"/>
                <w:szCs w:val="18"/>
              </w:rPr>
              <w:t>Revisión anterior: datos de histórico pendientes de completar</w:t>
            </w:r>
          </w:p>
        </w:tc>
      </w:tr>
      <w:tr w14:paraId="123ACA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1247" w:type="dxa"/>
          </w:tcPr>
          <w:p w14:paraId="46B336AC">
            <w:pPr>
              <w:spacing w:after="0" w:line="240" w:lineRule="auto"/>
              <w:rPr>
                <w:rFonts w:hint="default" w:asciiTheme="minorAscii" w:hAnsiTheme="minorAscii"/>
                <w:sz w:val="18"/>
                <w:szCs w:val="18"/>
              </w:rPr>
            </w:pPr>
            <w:r>
              <w:rPr>
                <w:rFonts w:hint="default" w:asciiTheme="minorAscii" w:hAnsiTheme="minorAscii"/>
                <w:sz w:val="18"/>
                <w:szCs w:val="18"/>
              </w:rPr>
              <w:t>v1.2</w:t>
            </w:r>
          </w:p>
        </w:tc>
        <w:tc>
          <w:tcPr>
            <w:tcW w:w="1587" w:type="dxa"/>
          </w:tcPr>
          <w:p w14:paraId="35353224">
            <w:pPr>
              <w:spacing w:after="0" w:line="240" w:lineRule="auto"/>
              <w:rPr>
                <w:rFonts w:hint="default" w:asciiTheme="minorAscii" w:hAnsiTheme="minorAscii"/>
                <w:sz w:val="18"/>
                <w:szCs w:val="18"/>
              </w:rPr>
            </w:pPr>
            <w:r>
              <w:rPr>
                <w:rFonts w:hint="default" w:asciiTheme="minorAscii" w:hAnsiTheme="minorAscii"/>
                <w:sz w:val="18"/>
                <w:szCs w:val="18"/>
              </w:rPr>
              <w:t>18/10/2026</w:t>
            </w:r>
          </w:p>
        </w:tc>
        <w:tc>
          <w:tcPr>
            <w:tcW w:w="3118" w:type="dxa"/>
          </w:tcPr>
          <w:p w14:paraId="65E11B9B">
            <w:pPr>
              <w:spacing w:after="0" w:line="240" w:lineRule="auto"/>
              <w:rPr>
                <w:rFonts w:hint="default" w:asciiTheme="minorAscii" w:hAnsiTheme="minorAscii"/>
                <w:sz w:val="18"/>
                <w:szCs w:val="18"/>
              </w:rPr>
            </w:pPr>
            <w:r>
              <w:rPr>
                <w:rFonts w:hint="default" w:asciiTheme="minorAscii" w:hAnsiTheme="minorAscii"/>
                <w:sz w:val="18"/>
                <w:szCs w:val="18"/>
              </w:rPr>
              <w:t>Francisco Pérez</w:t>
            </w:r>
          </w:p>
        </w:tc>
        <w:tc>
          <w:tcPr>
            <w:tcW w:w="8618" w:type="dxa"/>
          </w:tcPr>
          <w:p w14:paraId="347820BA">
            <w:pPr>
              <w:spacing w:after="0" w:line="240" w:lineRule="auto"/>
              <w:rPr>
                <w:rFonts w:hint="default" w:asciiTheme="minorAscii" w:hAnsiTheme="minorAscii"/>
                <w:sz w:val="18"/>
                <w:szCs w:val="18"/>
              </w:rPr>
            </w:pPr>
            <w:r>
              <w:rPr>
                <w:rFonts w:hint="default" w:asciiTheme="minorAscii" w:hAnsiTheme="minorAscii"/>
                <w:sz w:val="18"/>
                <w:szCs w:val="18"/>
              </w:rPr>
              <w:t>EDT corregida y representada en árbol; revisión para línea base</w:t>
            </w:r>
          </w:p>
        </w:tc>
      </w:tr>
      <w:tr w14:paraId="532D14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Align w:val="center"/>
          </w:tcPr>
          <w:p w14:paraId="4D2D06A3">
            <w:pPr>
              <w:spacing w:after="0" w:line="240" w:lineRule="auto"/>
              <w:rPr>
                <w:rFonts w:hint="default" w:asciiTheme="minorAscii" w:hAnsiTheme="minorAscii"/>
                <w:sz w:val="18"/>
                <w:szCs w:val="18"/>
              </w:rPr>
            </w:pPr>
            <w:r>
              <w:rPr>
                <w:rFonts w:hint="default" w:asciiTheme="minorAscii" w:hAnsiTheme="minorAscii"/>
                <w:sz w:val="18"/>
                <w:szCs w:val="18"/>
              </w:rPr>
              <w:t>v1.3</w:t>
            </w:r>
          </w:p>
        </w:tc>
        <w:tc>
          <w:tcPr>
            <w:tcW w:w="1587" w:type="dxa"/>
            <w:vAlign w:val="center"/>
          </w:tcPr>
          <w:p w14:paraId="3644AA4D">
            <w:pPr>
              <w:spacing w:after="0" w:line="240" w:lineRule="auto"/>
              <w:rPr>
                <w:rFonts w:hint="default" w:asciiTheme="minorAscii" w:hAnsiTheme="minorAscii"/>
                <w:sz w:val="18"/>
                <w:szCs w:val="18"/>
              </w:rPr>
            </w:pPr>
            <w:r>
              <w:rPr>
                <w:rFonts w:hint="default" w:asciiTheme="minorAscii" w:hAnsiTheme="minorAscii"/>
                <w:sz w:val="18"/>
                <w:szCs w:val="18"/>
              </w:rPr>
              <w:t>19/10/2026</w:t>
            </w:r>
          </w:p>
        </w:tc>
        <w:tc>
          <w:tcPr>
            <w:tcW w:w="3118" w:type="dxa"/>
            <w:vAlign w:val="center"/>
          </w:tcPr>
          <w:p w14:paraId="2D6DA16F">
            <w:pPr>
              <w:spacing w:after="0" w:line="240" w:lineRule="auto"/>
              <w:rPr>
                <w:rFonts w:hint="default" w:asciiTheme="minorAscii" w:hAnsiTheme="minorAscii"/>
                <w:sz w:val="18"/>
                <w:szCs w:val="18"/>
              </w:rPr>
            </w:pPr>
            <w:r>
              <w:rPr>
                <w:rFonts w:hint="default" w:asciiTheme="minorAscii" w:hAnsiTheme="minorAscii"/>
                <w:sz w:val="18"/>
                <w:szCs w:val="18"/>
              </w:rPr>
              <w:t>Revisión documental</w:t>
            </w:r>
          </w:p>
        </w:tc>
        <w:tc>
          <w:tcPr>
            <w:tcW w:w="8618" w:type="dxa"/>
            <w:vAlign w:val="center"/>
          </w:tcPr>
          <w:p w14:paraId="1916F005">
            <w:pPr>
              <w:spacing w:after="0" w:line="240" w:lineRule="auto"/>
              <w:rPr>
                <w:rFonts w:hint="default" w:asciiTheme="minorAscii" w:hAnsiTheme="minorAscii"/>
                <w:sz w:val="18"/>
                <w:szCs w:val="18"/>
              </w:rPr>
            </w:pPr>
            <w:r>
              <w:rPr>
                <w:rFonts w:hint="default" w:asciiTheme="minorAscii" w:hAnsiTheme="minorAscii"/>
                <w:sz w:val="18"/>
                <w:szCs w:val="18"/>
              </w:rPr>
              <w:t>Se detallan tres actividades por adquisición y las reservas de cronograma; revisión TC-OP-ALC.</w:t>
            </w:r>
          </w:p>
        </w:tc>
      </w:tr>
      <w:tr w14:paraId="129709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755AB2AD">
            <w:pPr>
              <w:spacing w:after="0" w:line="240" w:lineRule="auto"/>
              <w:rPr>
                <w:rFonts w:hint="default" w:asciiTheme="minorAscii" w:hAnsiTheme="minorAscii"/>
                <w:sz w:val="18"/>
                <w:szCs w:val="18"/>
              </w:rPr>
            </w:pPr>
            <w:r>
              <w:rPr>
                <w:rFonts w:hint="default" w:asciiTheme="minorAscii" w:hAnsiTheme="minorAscii"/>
                <w:sz w:val="18"/>
                <w:szCs w:val="18"/>
              </w:rPr>
              <w:t>v1.4</w:t>
            </w:r>
          </w:p>
        </w:tc>
        <w:tc>
          <w:tcPr>
            <w:tcW w:w="1587" w:type="dxa"/>
          </w:tcPr>
          <w:p w14:paraId="4D37D67E">
            <w:pPr>
              <w:spacing w:after="0" w:line="240" w:lineRule="auto"/>
              <w:rPr>
                <w:rFonts w:hint="default" w:asciiTheme="minorAscii" w:hAnsiTheme="minorAscii"/>
                <w:sz w:val="18"/>
                <w:szCs w:val="18"/>
              </w:rPr>
            </w:pPr>
            <w:r>
              <w:rPr>
                <w:rFonts w:hint="default" w:asciiTheme="minorAscii" w:hAnsiTheme="minorAscii"/>
                <w:sz w:val="18"/>
                <w:szCs w:val="18"/>
              </w:rPr>
              <w:t>23/10/2026</w:t>
            </w:r>
          </w:p>
        </w:tc>
        <w:tc>
          <w:tcPr>
            <w:tcW w:w="3118" w:type="dxa"/>
          </w:tcPr>
          <w:p w14:paraId="5E83713A">
            <w:pPr>
              <w:spacing w:after="0" w:line="240" w:lineRule="auto"/>
              <w:rPr>
                <w:rFonts w:hint="default" w:asciiTheme="minorAscii" w:hAnsiTheme="minorAscii"/>
                <w:sz w:val="18"/>
                <w:szCs w:val="18"/>
                <w:lang w:val="es-ES"/>
              </w:rPr>
            </w:pPr>
            <w:r>
              <w:rPr>
                <w:rFonts w:hint="default" w:asciiTheme="minorAscii" w:hAnsiTheme="minorAscii"/>
                <w:sz w:val="18"/>
                <w:szCs w:val="18"/>
                <w:lang w:val="es-ES"/>
              </w:rPr>
              <w:t>EMA</w:t>
            </w:r>
          </w:p>
        </w:tc>
        <w:tc>
          <w:tcPr>
            <w:tcW w:w="8618" w:type="dxa"/>
          </w:tcPr>
          <w:p w14:paraId="2EAAF13D">
            <w:pPr>
              <w:spacing w:after="0" w:line="240" w:lineRule="auto"/>
              <w:rPr>
                <w:rFonts w:hint="default" w:asciiTheme="minorAscii" w:hAnsiTheme="minorAscii"/>
                <w:sz w:val="18"/>
                <w:szCs w:val="18"/>
              </w:rPr>
            </w:pPr>
            <w:r>
              <w:rPr>
                <w:rFonts w:hint="default" w:asciiTheme="minorAscii" w:hAnsiTheme="minorAscii"/>
                <w:sz w:val="18"/>
                <w:szCs w:val="18"/>
              </w:rPr>
              <w:t>Simplificación de paquetes, RF-02.6 en Sprint 5, EP-07 adelantado y actualización de reservas y adquisiciones.</w:t>
            </w:r>
          </w:p>
        </w:tc>
      </w:tr>
    </w:tbl>
    <w:p w14:paraId="664A65E4">
      <w:pPr>
        <w:spacing w:before="440"/>
      </w:pPr>
      <w:r>
        <w:rPr>
          <w:b/>
          <w:color w:val="205360"/>
          <w:sz w:val="26"/>
        </w:rPr>
        <w:t>ESTRUCTURA GRÁFICA DE DESGLOSE DEL TRABAJO</w:t>
      </w:r>
    </w:p>
    <w:p w14:paraId="03C72A50">
      <w:pPr>
        <w:spacing w:after="260"/>
      </w:pPr>
      <w:r>
        <w:t>Los árboles representan las cuentas y paquetes de trabajo de la EDT. Las actividades de adquisiciones y reservas de cronograma se muestran separadas y no constituyen paquetes adicionales.</w:t>
      </w:r>
    </w:p>
    <w:p w14:paraId="24001EB4">
      <w:pPr>
        <w:spacing w:after="240"/>
      </w:pPr>
      <w:r>
        <w:t>Criterios de revisión: TC-OP-ALC (apartado 3), NOR-21, NOR-01, TSL-2627-REQ-01, TSL-2627-PAT-CRI-01 y TSL-2627-EXP-ARQ-01.</w:t>
      </w:r>
    </w:p>
    <w:p w14:paraId="0BA9940C">
      <w:r>
        <w:t>Estado: propuesta revisada de línea base LB-1.0. Las estimaciones, responsables, cronograma y aprobación del patrocinador continúan pendientes de validación.</w:t>
      </w:r>
    </w:p>
    <w:p w14:paraId="4015E7A2">
      <w:r>
        <w:br w:type="page"/>
      </w:r>
    </w:p>
    <w:p w14:paraId="515E2EDC">
      <w:pPr>
        <w:spacing w:before="160" w:after="240"/>
        <w:jc w:val="left"/>
      </w:pPr>
      <w:r>
        <w:t>Vista general de la EDT</w:t>
      </w:r>
    </w:p>
    <w:p w14:paraId="37786C43">
      <w:pPr>
        <w:spacing w:before="0" w:after="0"/>
        <w:jc w:val="center"/>
      </w:pPr>
      <w:r>
        <w:drawing>
          <wp:inline distT="0" distB="0" distL="114300" distR="114300">
            <wp:extent cx="9098280" cy="514794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4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6620">
      <w:r>
        <w:br w:type="page"/>
      </w:r>
    </w:p>
    <w:p w14:paraId="26DD2CC0">
      <w:pPr>
        <w:spacing w:before="160" w:after="240"/>
        <w:jc w:val="left"/>
      </w:pPr>
      <w:r>
        <w:t>1.1 · Dirección del proyecto</w:t>
      </w:r>
    </w:p>
    <w:p w14:paraId="7A023E62">
      <w:pPr>
        <w:spacing w:before="0" w:after="0"/>
        <w:jc w:val="center"/>
      </w:pPr>
      <w:r>
        <w:drawing>
          <wp:inline distT="0" distB="0" distL="114300" distR="114300">
            <wp:extent cx="9098280" cy="514794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4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98BB">
      <w:r>
        <w:br w:type="page"/>
      </w:r>
    </w:p>
    <w:p w14:paraId="0BF982A6">
      <w:pPr>
        <w:spacing w:before="160" w:after="240"/>
        <w:jc w:val="left"/>
      </w:pPr>
      <w:r>
        <w:t>1.2 · Plataforma | Planificación y Sprint 1</w:t>
      </w:r>
    </w:p>
    <w:p w14:paraId="0CEB81AA">
      <w:pPr>
        <w:spacing w:before="0" w:after="0"/>
        <w:jc w:val="center"/>
      </w:pPr>
      <w:r>
        <w:drawing>
          <wp:inline distT="0" distB="0" distL="114300" distR="114300">
            <wp:extent cx="9098280" cy="514794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4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898C">
      <w:r>
        <w:br w:type="page"/>
      </w:r>
    </w:p>
    <w:p w14:paraId="6D104992">
      <w:pPr>
        <w:spacing w:before="160" w:after="240"/>
        <w:jc w:val="left"/>
      </w:pPr>
      <w:r>
        <w:t>1.2 · Plataforma | Sprint 3</w:t>
      </w:r>
    </w:p>
    <w:p w14:paraId="3E59899B">
      <w:pPr>
        <w:spacing w:before="0" w:after="0"/>
        <w:jc w:val="center"/>
      </w:pPr>
      <w:r>
        <w:drawing>
          <wp:inline distT="0" distB="0" distL="114300" distR="114300">
            <wp:extent cx="9098280" cy="514794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4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C299">
      <w:r>
        <w:br w:type="page"/>
      </w:r>
    </w:p>
    <w:p w14:paraId="7C18F288">
      <w:pPr>
        <w:spacing w:before="160" w:after="240"/>
        <w:jc w:val="left"/>
      </w:pPr>
      <w:r>
        <w:t>1.2 · Plataforma | Sprint 4</w:t>
      </w:r>
    </w:p>
    <w:p w14:paraId="041B9397">
      <w:pPr>
        <w:spacing w:before="0" w:after="0"/>
        <w:jc w:val="center"/>
      </w:pPr>
      <w:r>
        <w:drawing>
          <wp:inline distT="0" distB="0" distL="114300" distR="114300">
            <wp:extent cx="9098280" cy="514794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4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215C">
      <w:r>
        <w:br w:type="page"/>
      </w:r>
    </w:p>
    <w:p w14:paraId="671ED785">
      <w:pPr>
        <w:spacing w:before="160" w:after="240"/>
        <w:jc w:val="left"/>
      </w:pPr>
      <w:r>
        <w:t>1.2 · Plataforma | Sprint 5</w:t>
      </w:r>
    </w:p>
    <w:p w14:paraId="7E9AAA9B">
      <w:pPr>
        <w:spacing w:before="0" w:after="0"/>
        <w:jc w:val="center"/>
      </w:pPr>
      <w:r>
        <w:drawing>
          <wp:inline distT="0" distB="0" distL="114300" distR="114300">
            <wp:extent cx="9098280" cy="514794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4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E561">
      <w:r>
        <w:br w:type="page"/>
      </w:r>
    </w:p>
    <w:p w14:paraId="489BA6D9">
      <w:pPr>
        <w:spacing w:before="160" w:after="240"/>
        <w:jc w:val="left"/>
      </w:pPr>
      <w:r>
        <w:t>1.2 · Plataforma | Sprint 6</w:t>
      </w:r>
    </w:p>
    <w:p w14:paraId="06779C75">
      <w:pPr>
        <w:spacing w:before="0" w:after="0"/>
        <w:jc w:val="center"/>
      </w:pPr>
      <w:r>
        <w:drawing>
          <wp:inline distT="0" distB="0" distL="114300" distR="114300">
            <wp:extent cx="9098280" cy="514794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4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310F">
      <w:r>
        <w:br w:type="page"/>
      </w:r>
    </w:p>
    <w:p w14:paraId="3A6E43CF">
      <w:pPr>
        <w:spacing w:before="160" w:after="240"/>
        <w:jc w:val="left"/>
      </w:pPr>
      <w:r>
        <w:t>1.2 · Plataforma | Sprint 7</w:t>
      </w:r>
    </w:p>
    <w:p w14:paraId="008A453F">
      <w:pPr>
        <w:spacing w:before="0" w:after="0"/>
        <w:jc w:val="center"/>
      </w:pPr>
      <w:r>
        <w:drawing>
          <wp:inline distT="0" distB="0" distL="114300" distR="114300">
            <wp:extent cx="9098280" cy="514794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4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2958">
      <w:r>
        <w:br w:type="page"/>
      </w:r>
    </w:p>
    <w:p w14:paraId="7E5B7F39">
      <w:pPr>
        <w:spacing w:before="160" w:after="240"/>
        <w:jc w:val="left"/>
      </w:pPr>
      <w:r>
        <w:t>1.3 · Integración con ERP | Sprints 1 y 2</w:t>
      </w:r>
    </w:p>
    <w:p w14:paraId="15C7B95B">
      <w:pPr>
        <w:spacing w:before="0" w:after="0"/>
        <w:jc w:val="center"/>
      </w:pPr>
      <w:r>
        <w:drawing>
          <wp:inline distT="0" distB="0" distL="114300" distR="114300">
            <wp:extent cx="9098280" cy="514794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4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D66F">
      <w:r>
        <w:br w:type="page"/>
      </w:r>
    </w:p>
    <w:p w14:paraId="53EA6A68">
      <w:pPr>
        <w:spacing w:before="160" w:after="240"/>
        <w:jc w:val="left"/>
      </w:pPr>
      <w:r>
        <w:t>1.4 · Puesta en producción | Sprints 4 y 6</w:t>
      </w:r>
    </w:p>
    <w:p w14:paraId="619C511D">
      <w:pPr>
        <w:spacing w:before="0" w:after="0"/>
        <w:jc w:val="center"/>
      </w:pPr>
      <w:r>
        <w:drawing>
          <wp:inline distT="0" distB="0" distL="114300" distR="114300">
            <wp:extent cx="9098280" cy="514794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4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1455">
      <w:r>
        <w:br w:type="page"/>
      </w:r>
    </w:p>
    <w:p w14:paraId="40914916">
      <w:pPr>
        <w:spacing w:before="160" w:after="240"/>
        <w:jc w:val="left"/>
      </w:pPr>
      <w:r>
        <w:t>1.4 · Puesta en producción | Sprints 7 y 8</w:t>
      </w:r>
    </w:p>
    <w:p w14:paraId="7C31DE06">
      <w:pPr>
        <w:spacing w:before="0" w:after="0"/>
        <w:jc w:val="center"/>
      </w:pPr>
      <w:r>
        <w:drawing>
          <wp:inline distT="0" distB="0" distL="114300" distR="114300">
            <wp:extent cx="9098280" cy="514794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4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0E99">
      <w:r>
        <w:br w:type="page"/>
      </w:r>
    </w:p>
    <w:p w14:paraId="722ADEEC">
      <w:pPr>
        <w:spacing w:before="160" w:after="240"/>
        <w:jc w:val="left"/>
      </w:pPr>
      <w:r>
        <w:t>1.5 y 1.6 · Documentación y adquisiciones</w:t>
      </w:r>
    </w:p>
    <w:p w14:paraId="529CCE68">
      <w:pPr>
        <w:spacing w:before="0" w:after="0"/>
        <w:jc w:val="center"/>
      </w:pPr>
      <w:r>
        <w:drawing>
          <wp:inline distT="0" distB="0" distL="114300" distR="114300">
            <wp:extent cx="9098280" cy="5147945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4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E729">
      <w:r>
        <w:br w:type="page"/>
      </w:r>
    </w:p>
    <w:p w14:paraId="354974A3">
      <w:pPr>
        <w:spacing w:before="160"/>
      </w:pPr>
      <w:r>
        <w:t>1.6 · Adquisiciones | Actividades de NOR-21</w:t>
      </w:r>
    </w:p>
    <w:p w14:paraId="1C8AC697">
      <w:pPr>
        <w:jc w:val="center"/>
      </w:pPr>
      <w:r>
        <w:drawing>
          <wp:inline distT="0" distB="0" distL="114300" distR="114300">
            <wp:extent cx="9098280" cy="5147945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4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DEC7">
      <w:r>
        <w:br w:type="page"/>
      </w:r>
    </w:p>
    <w:p w14:paraId="5DA65FA6">
      <w:pPr>
        <w:spacing w:before="160"/>
      </w:pPr>
      <w:r>
        <w:t>Reservas de cronograma | Vinculación con los sprints</w:t>
      </w:r>
    </w:p>
    <w:p w14:paraId="48940790">
      <w:pPr>
        <w:jc w:val="center"/>
      </w:pPr>
      <w:r>
        <w:drawing>
          <wp:inline distT="0" distB="0" distL="114300" distR="114300">
            <wp:extent cx="9098280" cy="514794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4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6838" w:h="11906" w:orient="landscape"/>
      <w:pgMar w:top="1134" w:right="1134" w:bottom="1134" w:left="1134" w:header="397" w:footer="45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14570" w:type="dxa"/>
      <w:tblCaption w:val="Pie de página"/>
      <w:tblInd w:w="0" w:type="dxa"/>
      <w:tblBorders>
        <w:top w:val="single" w:color="1F4E5A" w:sz="6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467"/>
      <w:gridCol w:w="5103"/>
    </w:tblGrid>
    <w:tr w14:paraId="1AC3C532">
      <w:tblPrEx>
        <w:tblBorders>
          <w:top w:val="single" w:color="1F4E5A" w:sz="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466" w:type="dxa"/>
          <w:tcMar>
            <w:top w:w="60" w:type="dxa"/>
            <w:left w:w="0" w:type="dxa"/>
            <w:bottom w:w="0" w:type="dxa"/>
            <w:right w:w="0" w:type="dxa"/>
          </w:tcMar>
        </w:tcPr>
        <w:p w14:paraId="4106102D">
          <w:pPr>
            <w:spacing w:before="0" w:after="0" w:line="240" w:lineRule="auto"/>
            <w:ind w:left="0" w:right="0"/>
            <w:jc w:val="left"/>
          </w:pPr>
        </w:p>
      </w:tc>
      <w:tc>
        <w:tcPr>
          <w:tcW w:w="5102" w:type="dxa"/>
          <w:tcMar>
            <w:top w:w="60" w:type="dxa"/>
            <w:left w:w="0" w:type="dxa"/>
            <w:bottom w:w="0" w:type="dxa"/>
            <w:right w:w="0" w:type="dxa"/>
          </w:tcMar>
        </w:tcPr>
        <w:p w14:paraId="4F0B1D4E">
          <w:pPr>
            <w:spacing w:before="0" w:after="0" w:line="240" w:lineRule="auto"/>
            <w:ind w:left="0" w:right="0"/>
            <w:jc w:val="right"/>
          </w:pPr>
          <w:r>
            <w:rPr>
              <w:rFonts w:ascii="Calibri" w:hAnsi="Calibri" w:eastAsia="Calibri" w:cs="Calibri"/>
              <w:color w:val="595959"/>
              <w:sz w:val="16"/>
            </w:rPr>
            <w:t xml:space="preserve">EDT · Página </w: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begin"/>
          </w:r>
          <w:r>
            <w:rPr>
              <w:rFonts w:ascii="Calibri" w:hAnsi="Calibri" w:eastAsia="Calibri" w:cs="Calibri"/>
              <w:color w:val="595959"/>
              <w:sz w:val="16"/>
            </w:rPr>
            <w:instrText xml:space="preserve"> PAGE \* MERGEFORMAT </w:instrTex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separate"/>
          </w:r>
          <w:r>
            <w:rPr>
              <w:rFonts w:ascii="Calibri" w:hAnsi="Calibri" w:eastAsia="Calibri" w:cs="Calibri"/>
              <w:color w:val="595959"/>
              <w:sz w:val="16"/>
            </w:rPr>
            <w:t>1</w: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end"/>
          </w:r>
          <w:r>
            <w:rPr>
              <w:rFonts w:ascii="Calibri" w:hAnsi="Calibri" w:eastAsia="Calibri" w:cs="Calibri"/>
              <w:color w:val="595959"/>
              <w:sz w:val="16"/>
            </w:rPr>
            <w:t xml:space="preserve"> de </w: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begin"/>
          </w:r>
          <w:r>
            <w:rPr>
              <w:rFonts w:ascii="Calibri" w:hAnsi="Calibri" w:eastAsia="Calibri" w:cs="Calibri"/>
              <w:color w:val="595959"/>
              <w:sz w:val="16"/>
            </w:rPr>
            <w:instrText xml:space="preserve"> NUMPAGES \* MERGEFORMAT </w:instrTex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separate"/>
          </w:r>
          <w:r>
            <w:rPr>
              <w:rFonts w:ascii="Calibri" w:hAnsi="Calibri" w:eastAsia="Calibri" w:cs="Calibri"/>
              <w:color w:val="595959"/>
              <w:sz w:val="16"/>
            </w:rPr>
            <w:t>1</w:t>
          </w:r>
          <w:r>
            <w:rPr>
              <w:rFonts w:ascii="Calibri" w:hAnsi="Calibri" w:eastAsia="Calibri" w:cs="Calibri"/>
              <w:color w:val="595959"/>
              <w:sz w:val="16"/>
            </w:rPr>
            <w:fldChar w:fldCharType="end"/>
          </w:r>
        </w:p>
      </w:tc>
    </w:tr>
  </w:tbl>
  <w:p w14:paraId="05193906">
    <w:pPr>
      <w:spacing w:before="0" w:after="0" w:line="20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1F106">
    <w:pPr>
      <w:tabs>
        <w:tab w:val="right" w:pos="14570"/>
      </w:tabs>
      <w:spacing w:before="0" w:after="0" w:line="240" w:lineRule="auto"/>
      <w:ind w:left="0" w:right="0"/>
      <w:jc w:val="left"/>
    </w:pPr>
    <w:r>
      <w:rPr>
        <w:rFonts w:ascii="Calibri" w:hAnsi="Calibri" w:eastAsia="Calibri" w:cs="Calibri"/>
        <w:b/>
        <w:smallCaps/>
        <w:color w:val="1F4E5A"/>
        <w:spacing w:val="40"/>
        <w:sz w:val="28"/>
      </w:rPr>
      <w:t>taracea</w:t>
    </w:r>
    <w:r>
      <w:rPr>
        <w:rFonts w:ascii="Calibri" w:hAnsi="Calibri" w:eastAsia="Calibri" w:cs="Calibri"/>
        <w:sz w:val="28"/>
      </w:rPr>
      <w:tab/>
    </w:r>
    <w:r>
      <w:rPr>
        <w:rFonts w:ascii="Calibri Light" w:hAnsi="Calibri Light" w:eastAsia="Calibri Light" w:cs="Calibri Light"/>
        <w:color w:val="1F4E5A"/>
        <w:sz w:val="26"/>
      </w:rPr>
      <w:t>EDT</w:t>
    </w:r>
  </w:p>
  <w:p w14:paraId="4E81247B">
    <w:pPr>
      <w:pBdr>
        <w:bottom w:val="single" w:color="1F4E5A" w:sz="8" w:space="4"/>
      </w:pBdr>
      <w:tabs>
        <w:tab w:val="right" w:pos="14570"/>
      </w:tabs>
      <w:spacing w:before="0" w:after="0" w:line="240" w:lineRule="auto"/>
      <w:ind w:left="0" w:right="0"/>
      <w:jc w:val="left"/>
    </w:pPr>
    <w:r>
      <w:rPr>
        <w:rFonts w:ascii="Calibri" w:hAnsi="Calibri" w:eastAsia="Calibri" w:cs="Calibri"/>
        <w:color w:val="7F7F7F"/>
        <w:spacing w:val="6"/>
        <w:sz w:val="16"/>
      </w:rPr>
      <w:t>consultoría tecnológica</w:t>
    </w:r>
    <w:r>
      <w:rPr>
        <w:rFonts w:ascii="Calibri" w:hAnsi="Calibri" w:eastAsia="Calibri" w:cs="Calibri"/>
        <w:sz w:val="16"/>
      </w:rPr>
      <w:tab/>
    </w:r>
    <w:r>
      <w:rPr>
        <w:rFonts w:ascii="Calibri" w:hAnsi="Calibri" w:eastAsia="Calibri" w:cs="Calibri"/>
        <w:color w:val="595959"/>
        <w:sz w:val="17"/>
      </w:rPr>
      <w:t>Uso interno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217C94"/>
    <w:rsid w:val="000512B0"/>
    <w:rsid w:val="0005551D"/>
    <w:rsid w:val="0007124B"/>
    <w:rsid w:val="000855EE"/>
    <w:rsid w:val="000B204F"/>
    <w:rsid w:val="00105DAE"/>
    <w:rsid w:val="001106CC"/>
    <w:rsid w:val="00113CC4"/>
    <w:rsid w:val="00131E1D"/>
    <w:rsid w:val="00162139"/>
    <w:rsid w:val="002064D6"/>
    <w:rsid w:val="002101E6"/>
    <w:rsid w:val="00212F86"/>
    <w:rsid w:val="00217C94"/>
    <w:rsid w:val="0028298D"/>
    <w:rsid w:val="002B5EF1"/>
    <w:rsid w:val="002E2284"/>
    <w:rsid w:val="00310253"/>
    <w:rsid w:val="0032699F"/>
    <w:rsid w:val="003544BC"/>
    <w:rsid w:val="00355532"/>
    <w:rsid w:val="00364414"/>
    <w:rsid w:val="00387B0B"/>
    <w:rsid w:val="003D115F"/>
    <w:rsid w:val="003D218D"/>
    <w:rsid w:val="003E16E9"/>
    <w:rsid w:val="00400FB2"/>
    <w:rsid w:val="00456964"/>
    <w:rsid w:val="004D078B"/>
    <w:rsid w:val="0051331B"/>
    <w:rsid w:val="005143C0"/>
    <w:rsid w:val="0055087B"/>
    <w:rsid w:val="005C6798"/>
    <w:rsid w:val="005D6A4C"/>
    <w:rsid w:val="005E43A6"/>
    <w:rsid w:val="005F03D5"/>
    <w:rsid w:val="0063643E"/>
    <w:rsid w:val="00650FE7"/>
    <w:rsid w:val="006B191B"/>
    <w:rsid w:val="006B2A51"/>
    <w:rsid w:val="006D54FD"/>
    <w:rsid w:val="006E5851"/>
    <w:rsid w:val="00700A4E"/>
    <w:rsid w:val="00752E62"/>
    <w:rsid w:val="0079596E"/>
    <w:rsid w:val="00796E26"/>
    <w:rsid w:val="007C620A"/>
    <w:rsid w:val="00837F2F"/>
    <w:rsid w:val="00891B24"/>
    <w:rsid w:val="008958E4"/>
    <w:rsid w:val="008A4CD6"/>
    <w:rsid w:val="009042D7"/>
    <w:rsid w:val="00924DFE"/>
    <w:rsid w:val="0095401D"/>
    <w:rsid w:val="0099587A"/>
    <w:rsid w:val="009A5985"/>
    <w:rsid w:val="009B57BF"/>
    <w:rsid w:val="00A36A55"/>
    <w:rsid w:val="00A52B5D"/>
    <w:rsid w:val="00A95442"/>
    <w:rsid w:val="00AA0D2C"/>
    <w:rsid w:val="00AA2C51"/>
    <w:rsid w:val="00AD5DD1"/>
    <w:rsid w:val="00B57964"/>
    <w:rsid w:val="00B95FB6"/>
    <w:rsid w:val="00BE3CDA"/>
    <w:rsid w:val="00BF037F"/>
    <w:rsid w:val="00BF0578"/>
    <w:rsid w:val="00C108F1"/>
    <w:rsid w:val="00C91AB8"/>
    <w:rsid w:val="00CB5E4F"/>
    <w:rsid w:val="00CF78D0"/>
    <w:rsid w:val="00D22DE6"/>
    <w:rsid w:val="00D373B6"/>
    <w:rsid w:val="00D5381C"/>
    <w:rsid w:val="00DE7D9A"/>
    <w:rsid w:val="00DF09F4"/>
    <w:rsid w:val="00E03480"/>
    <w:rsid w:val="00E86174"/>
    <w:rsid w:val="00E96C2B"/>
    <w:rsid w:val="00EA25E4"/>
    <w:rsid w:val="00EA4A2A"/>
    <w:rsid w:val="00EB18C2"/>
    <w:rsid w:val="00EF1A26"/>
    <w:rsid w:val="00F76F0A"/>
    <w:rsid w:val="00F90956"/>
    <w:rsid w:val="00FA7A18"/>
    <w:rsid w:val="00FB041E"/>
    <w:rsid w:val="00FB6BF6"/>
    <w:rsid w:val="20CC50A8"/>
    <w:rsid w:val="7E34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before="0" w:after="100" w:line="259" w:lineRule="auto"/>
    </w:pPr>
    <w:rPr>
      <w:rFonts w:ascii="Calibri" w:hAnsi="Calibri" w:eastAsia="Calibri" w:cs="Calibri"/>
      <w:color w:val="1A1A1A"/>
      <w:sz w:val="21"/>
      <w:szCs w:val="21"/>
      <w:lang w:val="es-ES" w:eastAsia="es-E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16"/>
      <w:szCs w:val="16"/>
    </w:rPr>
  </w:style>
  <w:style w:type="paragraph" w:styleId="6">
    <w:name w:val="header"/>
    <w:basedOn w:val="1"/>
    <w:link w:val="9"/>
    <w:unhideWhenUsed/>
    <w:qFormat/>
    <w:uiPriority w:val="99"/>
    <w:pPr>
      <w:tabs>
        <w:tab w:val="center" w:pos="4419"/>
        <w:tab w:val="right" w:pos="8838"/>
      </w:tabs>
      <w:spacing w:after="0" w:afterAutospacing="1" w:line="240" w:lineRule="auto"/>
    </w:pPr>
    <w:rPr>
      <w:lang w:val="es-ES"/>
    </w:rPr>
  </w:style>
  <w:style w:type="paragraph" w:styleId="7">
    <w:name w:val="footer"/>
    <w:basedOn w:val="1"/>
    <w:link w:val="10"/>
    <w:unhideWhenUsed/>
    <w:qFormat/>
    <w:uiPriority w:val="99"/>
    <w:pPr>
      <w:tabs>
        <w:tab w:val="center" w:pos="4419"/>
        <w:tab w:val="right" w:pos="8838"/>
      </w:tabs>
      <w:spacing w:after="0" w:afterAutospacing="1" w:line="240" w:lineRule="auto"/>
    </w:pPr>
    <w:rPr>
      <w:lang w:val="es-ES"/>
    </w:rPr>
  </w:style>
  <w:style w:type="table" w:styleId="8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Encabezado Car"/>
    <w:basedOn w:val="2"/>
    <w:link w:val="6"/>
    <w:qFormat/>
    <w:uiPriority w:val="99"/>
  </w:style>
  <w:style w:type="character" w:customStyle="1" w:styleId="10">
    <w:name w:val="Pie de página Car"/>
    <w:basedOn w:val="2"/>
    <w:link w:val="7"/>
    <w:qFormat/>
    <w:uiPriority w:val="99"/>
  </w:style>
  <w:style w:type="character" w:customStyle="1" w:styleId="11">
    <w:name w:val="Texto de globo Car"/>
    <w:basedOn w:val="2"/>
    <w:link w:val="5"/>
    <w:semiHidden/>
    <w:qFormat/>
    <w:uiPriority w:val="99"/>
    <w:rPr>
      <w:rFonts w:ascii="Calibri" w:hAnsi="Calibri" w:eastAsia="Calibri" w:cs="Calibri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F4E5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6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Plantilla de la consultora</cp:category>
  <dcterms:created xsi:type="dcterms:W3CDTF">2026-10-23T12:41:00Z</dcterms:created>
  <dc:creator>Oficina de Proyectos · Taracea</dc:creator>
  <cp:keywords>EDT, TSL-2627, Taracea, PGPI</cp:keywords>
  <cp:lastModifiedBy>EMILIO METRO ALVAREZ</cp:lastModifiedBy>
  <dcterms:modified xsi:type="dcterms:W3CDTF">2026-10-23T18:06:26Z</dcterms:modified>
  <dc:subject>Estructura de desglose del trabajo representada en árbol</dc:subject>
  <dc:title>EDT · TuSuper en línea · v1.2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3082-12.2.0.23206</vt:lpwstr>
  </property>
  <property fmtid="{D5CDD505-2E9C-101B-9397-08002B2CF9AE}" pid="3" name="ICV">
    <vt:lpwstr>B631D224D03B4882A14EF8355BA10CBA_12</vt:lpwstr>
  </property>
</Properties>
</file>