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2551"/>
        <w:gridCol w:w="1870"/>
        <w:gridCol w:w="1984"/>
        <w:gridCol w:w="3233"/>
      </w:tblGrid>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Proyecto</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TuSuper en línea</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Código del proyecto</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TSL-2627</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Grupo</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PGPI-208</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Documento y versión</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Enunciado del alcance · v1.3</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Línea base a la que pertenece</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LB-1.0</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Fecha de elaboración</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21/10/2026</w:t>
            </w:r>
          </w:p>
        </w:tc>
      </w:tr>
      <w:tr>
        <w:trPr>
          <w:trHeight w:val="425" w:hRule="auto"/>
          <w:jc w:val="left"/>
          <w:cantSplit w:val="1"/>
        </w:trPr>
        <w:tc>
          <w:tcPr>
            <w:tcW w:w="2551"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Elaborado por</w:t>
            </w:r>
          </w:p>
        </w:tc>
        <w:tc>
          <w:tcPr>
            <w:tcW w:w="187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Daniel Salado Hidalgo</w:t>
            </w:r>
          </w:p>
        </w:tc>
        <w:tc>
          <w:tcPr>
            <w:tcW w:w="1984" w:type="dxa"/>
            <w:tcBorders>
              <w:top w:val="single" w:color="bfbfbf" w:sz="4"/>
              <w:left w:val="single" w:color="bfbfbf" w:sz="4"/>
              <w:bottom w:val="single" w:color="bfbfbf" w:sz="4"/>
              <w:right w:val="single" w:color="bfbfbf" w:sz="4"/>
            </w:tcBorders>
            <w:shd w:color="auto" w:fill="f2f2f2" w:val="clear"/>
            <w:tcMar>
              <w:left w:w="108" w:type="dxa"/>
              <w:right w:w="108" w:type="dxa"/>
            </w:tcMar>
            <w:vAlign w:val="center"/>
          </w:tcPr>
          <w:p>
            <w:pPr>
              <w:spacing w:before="0" w:after="0" w:line="240"/>
              <w:ind w:right="0" w:left="0" w:firstLine="0"/>
              <w:jc w:val="left"/>
              <w:rPr>
                <w:rFonts w:ascii="Calibri" w:hAnsi="Calibri" w:cs="Calibri" w:eastAsia="Calibri"/>
                <w:position w:val="0"/>
                <w:shd w:fill="auto" w:val="clear"/>
              </w:rPr>
            </w:pPr>
            <w:r>
              <w:rPr>
                <w:rFonts w:ascii="Calibri" w:hAnsi="Calibri" w:cs="Calibri" w:eastAsia="Calibri"/>
                <w:b/>
                <w:color w:val="1F4E5A"/>
                <w:spacing w:val="6"/>
                <w:position w:val="0"/>
                <w:sz w:val="18"/>
                <w:shd w:fill="auto" w:val="clear"/>
              </w:rPr>
              <w:t xml:space="preserve">Aprobado por</w:t>
            </w:r>
          </w:p>
        </w:tc>
        <w:tc>
          <w:tcPr>
            <w:tcW w:w="323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Patrocinador del proyecto</w:t>
            </w:r>
          </w:p>
        </w:tc>
      </w:tr>
    </w:tbl>
    <w:p>
      <w:pPr>
        <w:spacing w:before="0" w:after="0" w:line="259"/>
        <w:ind w:right="0" w:left="0" w:firstLine="0"/>
        <w:jc w:val="left"/>
        <w:rPr>
          <w:rFonts w:ascii="Calibri" w:hAnsi="Calibri" w:cs="Calibri" w:eastAsia="Calibri"/>
          <w:color w:val="1A1A1A"/>
          <w:spacing w:val="0"/>
          <w:position w:val="0"/>
          <w:sz w:val="12"/>
          <w:shd w:fill="auto" w:val="clear"/>
        </w:rPr>
      </w:pPr>
    </w:p>
    <w:p>
      <w:pPr>
        <w:keepNext w:val="true"/>
        <w:spacing w:before="0" w:after="0" w:line="259"/>
        <w:ind w:right="0" w:left="0" w:firstLine="0"/>
        <w:jc w:val="left"/>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HISTÓRICO DE MODIFICACIONES DEL DOCUMENTO</w:t>
      </w:r>
    </w:p>
    <w:tbl>
      <w:tblPr/>
      <w:tblGrid>
        <w:gridCol w:w="1247"/>
        <w:gridCol w:w="1587"/>
        <w:gridCol w:w="3118"/>
        <w:gridCol w:w="3686"/>
      </w:tblGrid>
      <w:tr>
        <w:trPr>
          <w:trHeight w:val="1" w:hRule="atLeast"/>
          <w:jc w:val="left"/>
          <w:cantSplit w:val="1"/>
        </w:trPr>
        <w:tc>
          <w:tcPr>
            <w:tcW w:w="124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Versión</w:t>
            </w:r>
          </w:p>
        </w:tc>
        <w:tc>
          <w:tcPr>
            <w:tcW w:w="158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Fecha</w:t>
            </w:r>
          </w:p>
        </w:tc>
        <w:tc>
          <w:tcPr>
            <w:tcW w:w="311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Realizada por</w:t>
            </w:r>
          </w:p>
        </w:tc>
        <w:tc>
          <w:tcPr>
            <w:tcW w:w="3686"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Breve descripción de los cambios</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v1.0</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Primera versión del documento</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v1.1</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marca el apartado de criterios de aceptación como pendiente de actualizar tras los talleres de requisitos.</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v1.2</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21/10/2026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incorporan los criterios acordados en los talleres de requisitos (TSL-2627-PAT-CRI-01 v1.0) y se resume el apartado de criterios de aceptación. Las funciones confirmadas en los talleres pasan a formar parte del alcance.</w:t>
            </w:r>
          </w:p>
        </w:tc>
      </w:tr>
      <w:tr>
        <w:trPr>
          <w:trHeight w:val="1" w:hRule="atLeast"/>
          <w:jc w:val="left"/>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v1.3</w:t>
            </w:r>
          </w:p>
        </w:tc>
        <w:tc>
          <w:tcPr>
            <w:tcW w:w="158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21/10/2026</w:t>
            </w:r>
          </w:p>
        </w:tc>
        <w:tc>
          <w:tcPr>
            <w:tcW w:w="311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DSH</w:t>
            </w:r>
          </w:p>
        </w:tc>
        <w:tc>
          <w:tcPr>
            <w:tcW w:w="368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Se adopta el documento de talleres como referencia principal del detalle funcional y de aceptación; se concretan parámetros de verificación y se mantienen los pesos de certificación.</w:t>
            </w:r>
          </w:p>
        </w:tc>
      </w:tr>
    </w:tbl>
    <w:p>
      <w:pPr>
        <w:spacing w:before="0" w:after="0" w:line="259"/>
        <w:ind w:right="0" w:left="0" w:firstLine="0"/>
        <w:jc w:val="left"/>
        <w:rPr>
          <w:rFonts w:ascii="Calibri" w:hAnsi="Calibri" w:cs="Calibri" w:eastAsia="Calibri"/>
          <w:color w:val="1A1A1A"/>
          <w:spacing w:val="0"/>
          <w:position w:val="0"/>
          <w:sz w:val="12"/>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ENUNCIADO DEL ALCANCE DEL PROYECTO</w:t>
      </w:r>
    </w:p>
    <w:tbl>
      <w:tblPr/>
      <w:tblGrid>
        <w:gridCol w:w="9638"/>
      </w:tblGrid>
      <w:tr>
        <w:trPr>
          <w:trHeight w:val="1" w:hRule="atLeast"/>
          <w:jc w:val="left"/>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color w:val="1A1A1A"/>
                <w:spacing w:val="0"/>
                <w:position w:val="0"/>
                <w:sz w:val="20"/>
                <w:shd w:fill="auto" w:val="clear"/>
              </w:rPr>
              <w:t xml:space="preserve">El proyecto TuSuper en línea (TSL-2627) entrega a TuSuper, S.A., cadena regional de 32 supermercados, una plataforma de compra en línea con interfaz web y aplicación móvil (Android e iOS), integrada con su ERP heredado, con la que abre un canal de venta antes de la campaña de Semana Santa. El comprador se registra, consulta el catálogo, llena un carrito que se conserva entre sesiones, paga con tarjeta a través de una pasarela externa, elige una franja de entrega y recibe un aviso de cada cambio de estado de su pedido. Cada pedido lo prepara y lo sirve la tienda que corresponde al comprador por su código postal, y el personal de la tienda lo gestiona desde un panel propio. La dirección de TuSuper dispone de cuatro informes básicos de ventas.</w:t>
            </w:r>
          </w:p>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20"/>
                <w:shd w:fill="auto" w:val="clear"/>
              </w:rPr>
              <w:t xml:space="preserve">Alcance del producto. </w:t>
            </w:r>
            <w:r>
              <w:rPr>
                <w:rFonts w:ascii="Calibri" w:hAnsi="Calibri" w:cs="Calibri" w:eastAsia="Calibri"/>
                <w:color w:val="1A1A1A"/>
                <w:spacing w:val="0"/>
                <w:position w:val="0"/>
                <w:sz w:val="20"/>
                <w:shd w:fill="auto" w:val="clear"/>
              </w:rPr>
              <w:t xml:space="preserve">El producto comprende los requisitos RF-01 a RF-08 del anexo I del contrato, sus calidades no funcionales y el detalle de funciones y criterios definido en los talleres TSL-2627-PAT-CRI-01 v1.0, que este enunciado incorpora como referencia principal aunque algunas funciones no se enumeren en el anexo I. Incluye confirmación del correo antes de comprar, recuperación por correo o SMS (RF-01.3), sugerencias desde la tercera letra y ordenación por precio por unidad de medida (RF-02.3 y RF-02.5), aviso si cambia el precio del carrito, reintento de pagos rechazados, anulación de pedidos desde la tienda (RF-06.3), avisos de estado en menos de cinco minutos y exportación de informes a hoja de cálculo (RF-08). Las pantallas del comprador serán accesibles por teclado y lector de pantalla. El catálogo, los precios y las existencias proceden del ERP; los pedidos y las devoluciones se vuelcan al ERP. El ERP no se modifica y se accede a él exclusivamente con un conector homologado.</w:t>
            </w:r>
          </w:p>
          <w:p>
            <w:pPr>
              <w:spacing w:before="40" w:after="100" w:line="240"/>
              <w:ind w:right="0" w:left="0" w:firstLine="0"/>
              <w:jc w:val="both"/>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20"/>
                <w:shd w:fill="auto" w:val="clear"/>
              </w:rPr>
              <w:t xml:space="preserve">Alcance del proyecto. </w:t>
            </w:r>
            <w:r>
              <w:rPr>
                <w:rFonts w:ascii="Calibri" w:hAnsi="Calibri" w:cs="Calibri" w:eastAsia="Calibri"/>
                <w:color w:val="1A1A1A"/>
                <w:spacing w:val="0"/>
                <w:position w:val="0"/>
                <w:sz w:val="20"/>
                <w:shd w:fill="auto" w:val="clear"/>
              </w:rPr>
              <w:t xml:space="preserve">Comprende la planificación y la dirección del proyecto hasta el cierre; la especificación y el diseño, la construcción e integración y la verificación de cada requisito, en sprints de dos semanas; la integración con el ERP, con la carga inicial de datos de las 32 tiendas; las pruebas de sistema, incluidas las de carga y seguridad, y el apoyo a las pruebas de aceptación de TuSuper en su entorno de verificación; un piloto en tres tiendas; la documentación de uso y la formación del personal de las tres tiendas del piloto; la puesta en producción en toda la cadena; y el traspaso del producto al servicio de mantenimiento de Taracea.</w:t>
            </w:r>
          </w:p>
          <w:p>
            <w:pPr>
              <w:spacing w:before="40" w:after="10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Fin del proyecto. </w:t>
            </w:r>
            <w:r>
              <w:rPr>
                <w:rFonts w:ascii="Calibri" w:hAnsi="Calibri" w:cs="Calibri" w:eastAsia="Calibri"/>
                <w:color w:val="1A1A1A"/>
                <w:spacing w:val="0"/>
                <w:position w:val="0"/>
                <w:sz w:val="20"/>
                <w:shd w:fill="auto" w:val="clear"/>
              </w:rPr>
              <w:t xml:space="preserve">El proyecto termina con la plataforma en explotación para toda la cadena antes del lunes 15 de marzo de 2027, con margen para estabilizarla antes de la campaña de Semana Santa, y con el personal de las tiendas del piloto formado. La entrada en explotación vale como recepción provisional (cláusula 7.4 del contrato). La garantía posterior, de seis meses, la presta el servicio de mantenimiento fuera del proyecto.</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ENTREGABLES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ENT-01 · Plataforma de compra en línea. </w:t>
            </w:r>
            <w:r>
              <w:rPr>
                <w:rFonts w:ascii="Calibri" w:hAnsi="Calibri" w:cs="Calibri" w:eastAsia="Calibri"/>
                <w:color w:val="1A1A1A"/>
                <w:spacing w:val="0"/>
                <w:position w:val="0"/>
                <w:sz w:val="20"/>
                <w:shd w:fill="auto" w:val="clear"/>
              </w:rPr>
              <w:t xml:space="preserve">Web y aplicación móvil Android/iOS con RF-01 a RF-08, incluidos todos los comportamientos definidos en los talleres TSL-2627-PAT-CRI-01, y las calidades no funcionales del contrato (anexo I, apartado 2). Abarca especificación y aceptación (EP-01), diseño de interacción (EP-02), arquitectura e integración continua (EP-03) y pruebas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ENT-02 · Integración con el ERP. </w:t>
            </w:r>
            <w:r>
              <w:rPr>
                <w:rFonts w:ascii="Calibri" w:hAnsi="Calibri" w:cs="Calibri" w:eastAsia="Calibri"/>
                <w:color w:val="1A1A1A"/>
                <w:spacing w:val="0"/>
                <w:position w:val="0"/>
                <w:sz w:val="20"/>
                <w:shd w:fill="auto" w:val="clear"/>
              </w:rPr>
              <w:t xml:space="preserve">Sincronización del catálogo, los precios y las existencias entre la plataforma y el ERP de TuSuper, y volcado de los pedidos y las devoluciones al ERP, en funcionamiento (EP-04). Incluye la carga inicial de datos de las 32 tiendas y el conector, que suministra un proveedor homologado por el fabricante del ERP (RT-03).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ENT-03 · Puesta en producción. </w:t>
            </w:r>
            <w:r>
              <w:rPr>
                <w:rFonts w:ascii="Calibri" w:hAnsi="Calibri" w:cs="Calibri" w:eastAsia="Calibri"/>
                <w:color w:val="1A1A1A"/>
                <w:spacing w:val="0"/>
                <w:position w:val="0"/>
                <w:sz w:val="20"/>
                <w:shd w:fill="auto" w:val="clear"/>
              </w:rPr>
              <w:t xml:space="preserve">Plataforma desplegada en la infraestructura de producción (EP-06) y abierta a los compradores de las 32 tiendas, después de un piloto en tres tiendas que cumple el criterio CA-03 del anexo II (seguimiento técnico en EP-05).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ENT-04 · Documentación y formación. </w:t>
            </w:r>
            <w:r>
              <w:rPr>
                <w:rFonts w:ascii="Calibri" w:hAnsi="Calibri" w:cs="Calibri" w:eastAsia="Calibri"/>
                <w:color w:val="1A1A1A"/>
                <w:spacing w:val="0"/>
                <w:position w:val="0"/>
                <w:sz w:val="20"/>
                <w:shd w:fill="auto" w:val="clear"/>
              </w:rPr>
              <w:t xml:space="preserve">Manual de uso para el personal de las tiendas y guía para los repartidores, que se entregan a TuSuper, y formación del personal de las tres tiendas del piloto (EP-07). La formación del personal de las demás tiendas la imparte TuSuper con esa documentación.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SUPUESTOS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S-08. </w:t>
            </w:r>
            <w:r>
              <w:rPr>
                <w:rFonts w:ascii="Calibri" w:hAnsi="Calibri" w:cs="Calibri" w:eastAsia="Calibri"/>
                <w:color w:val="1A1A1A"/>
                <w:spacing w:val="0"/>
                <w:position w:val="0"/>
                <w:sz w:val="20"/>
                <w:shd w:fill="auto" w:val="clear"/>
              </w:rPr>
              <w:t xml:space="preserve">El conector homologado necesario para integrar la plataforma con el ERP estará disponible en la fecha prevista para iniciar la integración (RT-03, anexo II). Si falla, se revisan el cronograma, los costes y el riesgo R-01.</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S-09. </w:t>
            </w:r>
            <w:r>
              <w:rPr>
                <w:rFonts w:ascii="Calibri" w:hAnsi="Calibri" w:cs="Calibri" w:eastAsia="Calibri"/>
                <w:color w:val="1A1A1A"/>
                <w:spacing w:val="0"/>
                <w:position w:val="0"/>
                <w:sz w:val="20"/>
                <w:shd w:fill="auto" w:val="clear"/>
              </w:rPr>
              <w:t xml:space="preserve">El ERP heredado se comportará, durante la integración, conforme a la información técnica disponible en la planificación. Debe quedar comprobado antes de cerrar la integración (riesgo R-03).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S-10. </w:t>
            </w:r>
            <w:r>
              <w:rPr>
                <w:rFonts w:ascii="Calibri" w:hAnsi="Calibri" w:cs="Calibri" w:eastAsia="Calibri"/>
                <w:color w:val="1A1A1A"/>
                <w:spacing w:val="0"/>
                <w:position w:val="0"/>
                <w:sz w:val="20"/>
                <w:shd w:fill="auto" w:val="clear"/>
              </w:rPr>
              <w:t xml:space="preserve">Las tres tiendas del piloto estarán disponibles durante dos ciclos completos de reposición después del cierre del recuento navideño, y TuSuper las designa en una reunión de cierre (cláusulas 7.2 y 10; criterio CA-03).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S-13. </w:t>
            </w:r>
            <w:r>
              <w:rPr>
                <w:rFonts w:ascii="Calibri" w:hAnsi="Calibri" w:cs="Calibri" w:eastAsia="Calibri"/>
                <w:color w:val="1A1A1A"/>
                <w:spacing w:val="0"/>
                <w:position w:val="0"/>
                <w:sz w:val="20"/>
                <w:shd w:fill="auto" w:val="clear"/>
              </w:rPr>
              <w:t xml:space="preserve">El Responsable de tiendas de TuSuper estará disponible para intervenir en las revisiones de diseño de la logística (RF-05) y del panel de pedidos (RF-06) que se acuerden durante la planificación.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spacing w:before="0" w:after="0" w:line="259"/>
        <w:ind w:right="0" w:left="0" w:firstLine="0"/>
        <w:jc w:val="both"/>
        <w:rPr>
          <w:rFonts w:ascii="Calibri" w:hAnsi="Calibri" w:cs="Calibri" w:eastAsia="Calibri"/>
          <w:b/>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EXCLUSIONES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sustitución del ERP de TuSuper y cualquier modificación de él.</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contratación y la gestión de la flota de reparto, que TuSuper subcontrata. Dentro del proyecto solo está la asignación de cada pedido a un repartidor (RF-05.4), con los datos que facilita TuSuper.</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digitalización de las tiendas físicas más allá del panel de gestión de pedidos (RF-06). Los equipos y la conexión de cada tienda los pone TuSuper (cláusula 10).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Los desarrollos de fidelización, mercadotecnia o analítica avanzada que no figuren entre los requisitos. Los informes de RF-08 son los cuatro informes básicos del anexo I.</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garantía de la plataforma tras su entrada en explotación, que presta el servicio de mantenimiento de Taracea fuera del proyecto: seis meses, con los defectos comunicados por TuSuper corregidos en los veinte días naturales siguientes (cláusula 15).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 formación del personal de las tiendas que no participan en el piloto, que imparte TuSuper con la documentación de uso.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Las tareas de TuSuper: tramitar el alta como comercio ante el proveedor de la pasarela y solicitar la auditoría de comercio, contratar el refuerzo de personal de campaña y adaptar los procedimientos de reposición de sus tiendas.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20"/>
                <w:shd w:fill="auto" w:val="clear"/>
              </w:rPr>
              <w:t xml:space="preserve">Las funcionalidades que no figuren en el anexo I ni en los criterios de los talleres incorporados expresamente en este enunciado. Las nuevas peticiones posteriores quedan fuera del alcance y sujetas al control de cambios del contrato (cláusula 13).</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RESTRICCIONES DEL PROYECTO</w:t>
      </w:r>
    </w:p>
    <w:tbl>
      <w:tblPr/>
      <w:tblGrid>
        <w:gridCol w:w="9638"/>
      </w:tblGrid>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S-01. </w:t>
            </w:r>
            <w:r>
              <w:rPr>
                <w:rFonts w:ascii="Calibri" w:hAnsi="Calibri" w:cs="Calibri" w:eastAsia="Calibri"/>
                <w:color w:val="1A1A1A"/>
                <w:spacing w:val="0"/>
                <w:position w:val="0"/>
                <w:sz w:val="20"/>
                <w:shd w:fill="auto" w:val="clear"/>
              </w:rPr>
              <w:t xml:space="preserve">La plataforma debe entrar en explotación con margen suficiente para estabilizarla antes de la campaña de Semana Santa, y antes del 15/03/2027. Esa fecha no admite desplazamiento (cláusula 3.2).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S-02. </w:t>
            </w:r>
            <w:r>
              <w:rPr>
                <w:rFonts w:ascii="Calibri" w:hAnsi="Calibri" w:cs="Calibri" w:eastAsia="Calibri"/>
                <w:color w:val="1A1A1A"/>
                <w:spacing w:val="0"/>
                <w:position w:val="0"/>
                <w:sz w:val="20"/>
                <w:shd w:fill="auto" w:val="clear"/>
              </w:rPr>
              <w:t xml:space="preserve">El contrato con TuSuper es a precio cerrado, y no se revisa salvo mediante adenda (cláusula 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S-03. </w:t>
            </w:r>
            <w:r>
              <w:rPr>
                <w:rFonts w:ascii="Calibri" w:hAnsi="Calibri" w:cs="Calibri" w:eastAsia="Calibri"/>
                <w:color w:val="1A1A1A"/>
                <w:spacing w:val="0"/>
                <w:position w:val="0"/>
                <w:sz w:val="20"/>
                <w:shd w:fill="auto" w:val="clear"/>
              </w:rPr>
              <w:t xml:space="preserve">El ERP heredado de TuSuper no puede modificarse.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S-04. </w:t>
            </w:r>
            <w:r>
              <w:rPr>
                <w:rFonts w:ascii="Calibri" w:hAnsi="Calibri" w:cs="Calibri" w:eastAsia="Calibri"/>
                <w:color w:val="1A1A1A"/>
                <w:spacing w:val="0"/>
                <w:position w:val="0"/>
                <w:sz w:val="20"/>
                <w:shd w:fill="auto" w:val="clear"/>
              </w:rPr>
              <w:t xml:space="preserve">Las solicitudes de personal para la ejecución se presentan a la Oficina de Proyectos con un mínimo de diez días naturales de antelación a cada incorporación (NOR-02).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S-05. </w:t>
            </w:r>
            <w:r>
              <w:rPr>
                <w:rFonts w:ascii="Calibri" w:hAnsi="Calibri" w:cs="Calibri" w:eastAsia="Calibri"/>
                <w:color w:val="1A1A1A"/>
                <w:spacing w:val="0"/>
                <w:position w:val="0"/>
                <w:sz w:val="20"/>
                <w:shd w:fill="auto" w:val="clear"/>
              </w:rPr>
              <w:t xml:space="preserve">Cada equipo de trabajo se constituye con entre tres y cinco miembros y nunca supera los cinco a la vez (NOR-03).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S-06. </w:t>
            </w:r>
            <w:r>
              <w:rPr>
                <w:rFonts w:ascii="Calibri" w:hAnsi="Calibri" w:cs="Calibri" w:eastAsia="Calibri"/>
                <w:color w:val="1A1A1A"/>
                <w:spacing w:val="0"/>
                <w:position w:val="0"/>
                <w:sz w:val="20"/>
                <w:shd w:fill="auto" w:val="clear"/>
              </w:rPr>
              <w:t xml:space="preserve">La consultora no trabaja del 24 de diciembre al 1 de enero, ambos incluidos, y esos días no cuentan como tiempo de trabajo del proyecto (NOR-20).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S-07. </w:t>
            </w:r>
            <w:r>
              <w:rPr>
                <w:rFonts w:ascii="Calibri" w:hAnsi="Calibri" w:cs="Calibri" w:eastAsia="Calibri"/>
                <w:color w:val="1A1A1A"/>
                <w:spacing w:val="0"/>
                <w:position w:val="0"/>
                <w:sz w:val="20"/>
                <w:shd w:fill="auto" w:val="clear"/>
              </w:rPr>
              <w:t xml:space="preserve">La ejecución se organiza en sprints consecutivos de dos semanas del proyecto, y ningún sprint cruza un hito de certificación (NOR-25).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S-11. </w:t>
            </w:r>
            <w:r>
              <w:rPr>
                <w:rFonts w:ascii="Calibri" w:hAnsi="Calibri" w:cs="Calibri" w:eastAsia="Calibri"/>
                <w:color w:val="1A1A1A"/>
                <w:spacing w:val="0"/>
                <w:position w:val="0"/>
                <w:sz w:val="20"/>
                <w:shd w:fill="auto" w:val="clear"/>
              </w:rPr>
              <w:t xml:space="preserve">Las tiendas no pueden modificar sus procedimientos de reposición hasta cerrar el recuento de Navidad, que se cierra el día del primer cierre de periodo de 2027 (TS-OPE-12). Reponen los martes.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S-12. </w:t>
            </w:r>
            <w:r>
              <w:rPr>
                <w:rFonts w:ascii="Calibri" w:hAnsi="Calibri" w:cs="Calibri" w:eastAsia="Calibri"/>
                <w:color w:val="1A1A1A"/>
                <w:spacing w:val="0"/>
                <w:position w:val="0"/>
                <w:sz w:val="20"/>
                <w:shd w:fill="auto" w:val="clear"/>
              </w:rPr>
              <w:t xml:space="preserve">TuSuper solo resuelve decisiones, criterios de aceptación, cambios, aceptaciones y la designación de las tiendas del piloto en las reuniones de cierre de sus periodos comerciales (cláusula 7.2 y TS-DED-05).</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S-14. </w:t>
            </w:r>
            <w:r>
              <w:rPr>
                <w:rFonts w:ascii="Calibri" w:hAnsi="Calibri" w:cs="Calibri" w:eastAsia="Calibri"/>
                <w:color w:val="1A1A1A"/>
                <w:spacing w:val="0"/>
                <w:position w:val="0"/>
                <w:sz w:val="20"/>
                <w:shd w:fill="auto" w:val="clear"/>
              </w:rPr>
              <w:t xml:space="preserve">Las horas extraordinarias requieren autorización de la Oficina de Proyectos, y nadie hace más horas extraordinarias a la semana que el 25 % de su dedicación; el director y el equipo de expertos de la planificación no pueden imputarlas (NOR-10).</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S-15. </w:t>
            </w:r>
            <w:r>
              <w:rPr>
                <w:rFonts w:ascii="Calibri" w:hAnsi="Calibri" w:cs="Calibri" w:eastAsia="Calibri"/>
                <w:color w:val="1A1A1A"/>
                <w:spacing w:val="0"/>
                <w:position w:val="0"/>
                <w:sz w:val="20"/>
                <w:shd w:fill="auto" w:val="clear"/>
              </w:rPr>
              <w:t xml:space="preserve">La documentación de uso y la formación las realiza el departamento de formación de Taracea mediante un encargo que se emite después de que el patrocinador apruebe el plan y TuSuper acepte el calendario y el alcance (NOR-26 y NOR-07).</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20"/>
                <w:shd w:fill="auto" w:val="clear"/>
              </w:rPr>
              <w:t xml:space="preserve">S-16. </w:t>
            </w:r>
            <w:r>
              <w:rPr>
                <w:rFonts w:ascii="Calibri" w:hAnsi="Calibri" w:cs="Calibri" w:eastAsia="Calibri"/>
                <w:color w:val="1A1A1A"/>
                <w:spacing w:val="0"/>
                <w:position w:val="0"/>
                <w:sz w:val="20"/>
                <w:shd w:fill="auto" w:val="clear"/>
              </w:rPr>
              <w:t xml:space="preserve">La auditoría de comercio de la pasarela de pago se resuelve en quince días hábiles desde que TuSuper la solicita, una vez Taracea le comunica por escrito que el entorno de preproducción está listo. Sin credenciales de producción no hay cobro real, y el piloto puede empezar con la pasarela en modo de pruebas (TS-DED-06).</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both"/>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CRITERIOS DE ACEPTACIÓN</w:t>
      </w:r>
    </w:p>
    <w:tbl>
      <w:tblPr/>
      <w:tblGrid>
        <w:gridCol w:w="9638"/>
      </w:tblGrid>
      <w:tr>
        <w:trPr>
          <w:trHeight w:val="1635" w:hRule="auto"/>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Referencia de aceptación: el documento de talleres TSL-2627-PAT-CRI-01 v1.0 determina el detalle funcional de RF-01 a RF-08 y se incorpora completo al alcance propuesto, también en los puntos no explicitados en el anexo I. Se complementa con CA-01 a CA-03 y RT-01 a RT-03 del contrato. En cada cierre comercial firma la Dirección de Expansión Digital (RF-01 a RF-04), o conjuntamente el Responsable de tiendas y el Jefe de Sistemas de TI (RF-05 a RF-08). El detalle verificable función por función permanece en el documento de talleres, aquí resumido. Los valores de 5 minutos para la sincronización ERP, medición mensual de disponibilidad y prueba práctica de formación se fijan aquí como parámetros de verificación del proyecto, sin atribuirlos al documento de talleres.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Criterios comunes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Verificación y accesibilidad. </w:t>
            </w:r>
            <w:r>
              <w:rPr>
                <w:rFonts w:ascii="Calibri" w:hAnsi="Calibri" w:cs="Calibri" w:eastAsia="Calibri"/>
                <w:color w:val="1A1A1A"/>
                <w:spacing w:val="0"/>
                <w:position w:val="0"/>
                <w:sz w:val="19"/>
                <w:shd w:fill="auto" w:val="clear"/>
              </w:rPr>
              <w:t xml:space="preserve">Todas las funciones se prueban sobre la última carga disponible del entorno de TuSuper (RT-01). La experiencia del comprador es equivalente en web y móvil; las pantallas cumplen WCAG 2.1 AA y permiten uso por teclado y lector de pantalla.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Criterios contractuales (anexo II)</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CA-01 · Informes. </w:t>
            </w:r>
            <w:r>
              <w:rPr>
                <w:rFonts w:ascii="Calibri" w:hAnsi="Calibri" w:cs="Calibri" w:eastAsia="Calibri"/>
                <w:color w:val="1A1A1A"/>
                <w:spacing w:val="0"/>
                <w:position w:val="0"/>
                <w:sz w:val="19"/>
                <w:shd w:fill="auto" w:val="clear"/>
              </w:rPr>
              <w:t xml:space="preserve">Agregación por periodo comercial de TuSuper (no por mes natural), con cifras que cuadran con la venta en línea del ERP (RF-08).</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CA-02 · Datos reales. </w:t>
            </w:r>
            <w:r>
              <w:rPr>
                <w:rFonts w:ascii="Calibri" w:hAnsi="Calibri" w:cs="Calibri" w:eastAsia="Calibri"/>
                <w:color w:val="1A1A1A"/>
                <w:spacing w:val="0"/>
                <w:position w:val="0"/>
                <w:sz w:val="19"/>
                <w:shd w:fill="auto" w:val="clear"/>
              </w:rPr>
              <w:t xml:space="preserve">RF-06 y RF-08 se verifican con datos reales sincronizados del ERP, sin muestras, sobre una carga posterior a la inicial (RT-02).</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CA-03 · Piloto. </w:t>
            </w:r>
            <w:r>
              <w:rPr>
                <w:rFonts w:ascii="Calibri" w:hAnsi="Calibri" w:cs="Calibri" w:eastAsia="Calibri"/>
                <w:color w:val="1A1A1A"/>
                <w:spacing w:val="0"/>
                <w:position w:val="0"/>
                <w:sz w:val="19"/>
                <w:shd w:fill="auto" w:val="clear"/>
              </w:rPr>
              <w:t xml:space="preserve">Tres tiendas, al menos dos ciclos completos de reposición semanal y conector ERP operativo; no puede haber incidencias que impidan cursar pedidos (RF-01 a RF-06).</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ENT-01 · Criterios funcionales de los talleres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RF-01 · Acceso y área personal. </w:t>
            </w:r>
            <w:r>
              <w:rPr>
                <w:rFonts w:ascii="Calibri" w:hAnsi="Calibri" w:cs="Calibri" w:eastAsia="Calibri"/>
                <w:color w:val="1A1A1A"/>
                <w:spacing w:val="0"/>
                <w:position w:val="0"/>
                <w:sz w:val="19"/>
                <w:shd w:fill="auto" w:val="clear"/>
              </w:rPr>
              <w:t xml:space="preserve">Correo confirmado antes de comprar; entrada y salida seguras, con error de credenciales no revelador; recuperación por correo o SMS; edición de datos y direcciones y consulta de pedidos y estados.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RF-02 · Catálogo. </w:t>
            </w:r>
            <w:r>
              <w:rPr>
                <w:rFonts w:ascii="Calibri" w:hAnsi="Calibri" w:cs="Calibri" w:eastAsia="Calibri"/>
                <w:color w:val="1A1A1A"/>
                <w:spacing w:val="0"/>
                <w:position w:val="0"/>
                <w:sz w:val="19"/>
                <w:shd w:fill="auto" w:val="clear"/>
              </w:rPr>
              <w:t xml:space="preserve">Navegación por categorías y ficha con marca, formato, precio y precio unitario; búsqueda por nombre/marca con sugerencias desde la tercera letra; filtros de marcas y formatos, ordenación ascendente/descendente por precio unitario y existencias ERP por tienda.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RF-03 · Carrito. </w:t>
            </w:r>
            <w:r>
              <w:rPr>
                <w:rFonts w:ascii="Calibri" w:hAnsi="Calibri" w:cs="Calibri" w:eastAsia="Calibri"/>
                <w:color w:val="1A1A1A"/>
                <w:spacing w:val="0"/>
                <w:position w:val="0"/>
                <w:sz w:val="19"/>
                <w:shd w:fill="auto" w:val="clear"/>
              </w:rPr>
              <w:t xml:space="preserve">Añadir, modificar y retirar artículos recalcula importes; cesta persistente entre sesiones y dispositivos, recuperable, con aviso y aplicación de precios actualizados.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RF-04 · Pago. </w:t>
            </w:r>
            <w:r>
              <w:rPr>
                <w:rFonts w:ascii="Calibri" w:hAnsi="Calibri" w:cs="Calibri" w:eastAsia="Calibri"/>
                <w:color w:val="1A1A1A"/>
                <w:spacing w:val="0"/>
                <w:position w:val="0"/>
                <w:sz w:val="19"/>
                <w:shd w:fill="auto" w:val="clear"/>
              </w:rPr>
              <w:t xml:space="preserve">Pago con tarjeta por pasarela externa, registro del resultado y referencia; ante rechazo, aviso y reintento sin cursar el pedido; sin almacenar datos de tarjeta. Se verifica con credenciales de producción tras la auditoría; antes, con las de pruebas.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RF-05 · Entrega. </w:t>
            </w:r>
            <w:r>
              <w:rPr>
                <w:rFonts w:ascii="Calibri" w:hAnsi="Calibri" w:cs="Calibri" w:eastAsia="Calibri"/>
                <w:color w:val="1A1A1A"/>
                <w:spacing w:val="0"/>
                <w:position w:val="0"/>
                <w:sz w:val="19"/>
                <w:shd w:fill="auto" w:val="clear"/>
              </w:rPr>
              <w:t xml:space="preserve">Código postal dentro de la zona atendida; elección solo de franjas de la tienda con capacidad libre, reserva y reducción de capacidad al confirmar; asignación de repartidor con los datos facilitados por TuSuper.</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RF-06 · Panel de tienda. </w:t>
            </w:r>
            <w:r>
              <w:rPr>
                <w:rFonts w:ascii="Calibri" w:hAnsi="Calibri" w:cs="Calibri" w:eastAsia="Calibri"/>
                <w:color w:val="1A1A1A"/>
                <w:spacing w:val="0"/>
                <w:position w:val="0"/>
                <w:sz w:val="19"/>
                <w:shd w:fill="auto" w:val="clear"/>
              </w:rPr>
              <w:t xml:space="preserve">Cada tienda ve sus pedidos ordenados por franja, con detalle y estado; permite los estados recibido, en preparación, preparado y entregado al repartidor, además de anulación y registro del repartidor asignado.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RF-07 · Avisos. </w:t>
            </w:r>
            <w:r>
              <w:rPr>
                <w:rFonts w:ascii="Calibri" w:hAnsi="Calibri" w:cs="Calibri" w:eastAsia="Calibri"/>
                <w:color w:val="1A1A1A"/>
                <w:spacing w:val="0"/>
                <w:position w:val="0"/>
                <w:sz w:val="19"/>
                <w:shd w:fill="auto" w:val="clear"/>
              </w:rPr>
              <w:t xml:space="preserve">Cada cambio de estado, incluida la anulación, genera correo y notificación móvil Android/iOS cuando corresponda; recepción en menos de cinco minutos.</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RF-08 · Informes. </w:t>
            </w:r>
            <w:r>
              <w:rPr>
                <w:rFonts w:ascii="Calibri" w:hAnsi="Calibri" w:cs="Calibri" w:eastAsia="Calibri"/>
                <w:color w:val="1A1A1A"/>
                <w:spacing w:val="0"/>
                <w:position w:val="0"/>
                <w:sz w:val="19"/>
                <w:shd w:fill="auto" w:val="clear"/>
              </w:rPr>
              <w:t xml:space="preserve">Cuatro informes (ventas por tienda y día, cesta media, productos más vendidos y franjas más demandadas), filtrables por una tienda o todas y descargables como hoja de cálculo (CA-01).</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ENT-01 · Calidades de la plataforma</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RNF-01 · Rendimiento. </w:t>
            </w:r>
            <w:r>
              <w:rPr>
                <w:rFonts w:ascii="Calibri" w:hAnsi="Calibri" w:cs="Calibri" w:eastAsia="Calibri"/>
                <w:color w:val="1A1A1A"/>
                <w:spacing w:val="0"/>
                <w:position w:val="0"/>
                <w:sz w:val="19"/>
                <w:shd w:fill="auto" w:val="clear"/>
              </w:rPr>
              <w:t xml:space="preserve">2.000 compradores simultáneos; menos de 2 segundos en el 95 % de peticiones.</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RNF-02 · Disponibilidad. </w:t>
            </w:r>
            <w:r>
              <w:rPr>
                <w:rFonts w:ascii="Calibri" w:hAnsi="Calibri" w:cs="Calibri" w:eastAsia="Calibri"/>
                <w:color w:val="1A1A1A"/>
                <w:spacing w:val="0"/>
                <w:position w:val="0"/>
                <w:sz w:val="19"/>
                <w:shd w:fill="auto" w:val="clear"/>
              </w:rPr>
              <w:t xml:space="preserve">99,5 % en servicio 24/7, medido por mes natural.</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RNF-03 · Seguridad. </w:t>
            </w:r>
            <w:r>
              <w:rPr>
                <w:rFonts w:ascii="Calibri" w:hAnsi="Calibri" w:cs="Calibri" w:eastAsia="Calibri"/>
                <w:color w:val="1A1A1A"/>
                <w:spacing w:val="0"/>
                <w:position w:val="0"/>
                <w:sz w:val="19"/>
                <w:shd w:fill="auto" w:val="clear"/>
              </w:rPr>
              <w:t xml:space="preserve">Comunicaciones cifradas y acceso al ERP conforme a Sistemas de TI.</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RNF-04 · Protección de datos. </w:t>
            </w:r>
            <w:r>
              <w:rPr>
                <w:rFonts w:ascii="Calibri" w:hAnsi="Calibri" w:cs="Calibri" w:eastAsia="Calibri"/>
                <w:color w:val="1A1A1A"/>
                <w:spacing w:val="0"/>
                <w:position w:val="0"/>
                <w:sz w:val="19"/>
                <w:shd w:fill="auto" w:val="clear"/>
              </w:rPr>
              <w:t xml:space="preserve">RGPD y ningún dato de tarjeta almacenado.</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RNF-05 · Accesibilidad. </w:t>
            </w:r>
            <w:r>
              <w:rPr>
                <w:rFonts w:ascii="Calibri" w:hAnsi="Calibri" w:cs="Calibri" w:eastAsia="Calibri"/>
                <w:color w:val="1A1A1A"/>
                <w:spacing w:val="0"/>
                <w:position w:val="0"/>
                <w:sz w:val="19"/>
                <w:shd w:fill="auto" w:val="clear"/>
              </w:rPr>
              <w:t xml:space="preserve">WCAG 2.1 AA; uso por teclado y lector de pantalla.</w:t>
            </w:r>
          </w:p>
          <w:p>
            <w:pPr>
              <w:keepLines w:val="true"/>
              <w:spacing w:before="0" w:after="0" w:line="240"/>
              <w:ind w:right="0" w:left="0" w:firstLine="0"/>
              <w:jc w:val="left"/>
              <w:rPr>
                <w:rFonts w:ascii="Calibri" w:hAnsi="Calibri" w:cs="Calibri" w:eastAsia="Calibri"/>
                <w:color w:val="1A1A1A"/>
                <w:spacing w:val="0"/>
                <w:position w:val="0"/>
                <w:sz w:val="21"/>
                <w:shd w:fill="auto" w:val="clear"/>
              </w:rPr>
            </w:pPr>
            <w:r>
              <w:rPr>
                <w:rFonts w:ascii="Calibri" w:hAnsi="Calibri" w:cs="Calibri" w:eastAsia="Calibri"/>
                <w:b/>
                <w:color w:val="1A1A1A"/>
                <w:spacing w:val="0"/>
                <w:position w:val="0"/>
                <w:sz w:val="19"/>
                <w:shd w:fill="auto" w:val="clear"/>
              </w:rPr>
              <w:t xml:space="preserve">RNF-06 · Compatibilidad. </w:t>
            </w:r>
            <w:r>
              <w:rPr>
                <w:rFonts w:ascii="Calibri" w:hAnsi="Calibri" w:cs="Calibri" w:eastAsia="Calibri"/>
                <w:color w:val="1A1A1A"/>
                <w:spacing w:val="0"/>
                <w:position w:val="0"/>
                <w:sz w:val="19"/>
                <w:shd w:fill="auto" w:val="clear"/>
              </w:rPr>
              <w:t xml:space="preserve">Dos últimas versiones de navegadores comunes, Android e iOS.</w:t>
            </w:r>
          </w:p>
          <w:p>
            <w:pPr>
              <w:keepLines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RNF-07 · Idioma. </w:t>
            </w:r>
            <w:r>
              <w:rPr>
                <w:rFonts w:ascii="Calibri" w:hAnsi="Calibri" w:cs="Calibri" w:eastAsia="Calibri"/>
                <w:color w:val="1A1A1A"/>
                <w:spacing w:val="0"/>
                <w:position w:val="0"/>
                <w:sz w:val="19"/>
                <w:shd w:fill="auto" w:val="clear"/>
              </w:rPr>
              <w:t xml:space="preserve">Castellano.</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top"/>
          </w:tcPr>
          <w:p>
            <w:pPr>
              <w:keepNext w:val="true"/>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Criterios de los demás entregables y cierre</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ENT-02 · ERP. </w:t>
            </w:r>
            <w:r>
              <w:rPr>
                <w:rFonts w:ascii="Calibri" w:hAnsi="Calibri" w:cs="Calibri" w:eastAsia="Calibri"/>
                <w:color w:val="1A1A1A"/>
                <w:spacing w:val="0"/>
                <w:position w:val="0"/>
                <w:sz w:val="19"/>
                <w:shd w:fill="auto" w:val="clear"/>
              </w:rPr>
              <w:t xml:space="preserve">Sincronización automática de precios y existencias en un máximo operativo de 5 minutos; pedidos y devoluciones íntegros y conciliados con el ERP. Carga inicial real de las 32 tiendas y único conector homologado (RT-03).</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ENT-03 · Despliegue. </w:t>
            </w:r>
            <w:r>
              <w:rPr>
                <w:rFonts w:ascii="Calibri" w:hAnsi="Calibri" w:cs="Calibri" w:eastAsia="Calibri"/>
                <w:color w:val="1A1A1A"/>
                <w:spacing w:val="0"/>
                <w:position w:val="0"/>
                <w:sz w:val="19"/>
                <w:shd w:fill="auto" w:val="clear"/>
              </w:rPr>
              <w:t xml:space="preserve">Tras superar CA-03, plataforma disponible para las 32 tiendas antes del 15/03/2027, con margen de estabilización.</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ENT-04 · Formación. </w:t>
            </w:r>
            <w:r>
              <w:rPr>
                <w:rFonts w:ascii="Calibri" w:hAnsi="Calibri" w:cs="Calibri" w:eastAsia="Calibri"/>
                <w:color w:val="1A1A1A"/>
                <w:spacing w:val="0"/>
                <w:position w:val="0"/>
                <w:sz w:val="19"/>
                <w:shd w:fill="auto" w:val="clear"/>
              </w:rPr>
              <w:t xml:space="preserve">Manual para tiendas y guía para repartidores entregados y utilizables; asistencia documentada del personal de las tres tiendas piloto y práctica completa de preparación, actualización y entrega de un pedido en el panel.</w:t>
            </w:r>
          </w:p>
        </w:tc>
      </w:tr>
      <w:tr>
        <w:trPr>
          <w:trHeight w:val="1" w:hRule="atLeast"/>
          <w:jc w:val="left"/>
          <w:cantSplit w:val="1"/>
        </w:trPr>
        <w:tc>
          <w:tcPr>
            <w:tcW w:w="963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40" w:after="40" w:line="240"/>
              <w:ind w:right="0" w:left="0" w:firstLine="0"/>
              <w:jc w:val="both"/>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Cierre del proyecto. </w:t>
            </w:r>
            <w:r>
              <w:rPr>
                <w:rFonts w:ascii="Calibri" w:hAnsi="Calibri" w:cs="Calibri" w:eastAsia="Calibri"/>
                <w:color w:val="1A1A1A"/>
                <w:spacing w:val="0"/>
                <w:position w:val="0"/>
                <w:sz w:val="19"/>
                <w:shd w:fill="auto" w:val="clear"/>
              </w:rPr>
              <w:t xml:space="preserve">Cumplimiento de OBJ-01 a OBJ-04: puesta en servicio en plazo, requisitos aceptados, integración ERP operativa sin intervención manual y coste dentro de la línea base (acta de constitución).</w:t>
            </w:r>
          </w:p>
        </w:tc>
      </w:tr>
    </w:tbl>
    <w:p>
      <w:pPr>
        <w:spacing w:before="0" w:after="0" w:line="259"/>
        <w:ind w:right="0" w:left="0" w:firstLine="0"/>
        <w:jc w:val="both"/>
        <w:rPr>
          <w:rFonts w:ascii="Calibri" w:hAnsi="Calibri" w:cs="Calibri" w:eastAsia="Calibri"/>
          <w:color w:val="1A1A1A"/>
          <w:spacing w:val="0"/>
          <w:position w:val="0"/>
          <w:sz w:val="21"/>
          <w:shd w:fill="auto" w:val="clear"/>
        </w:rPr>
      </w:pPr>
    </w:p>
    <w:p>
      <w:pPr>
        <w:keepNext w:val="true"/>
        <w:spacing w:before="0" w:after="0" w:line="259"/>
        <w:ind w:right="0" w:left="0" w:firstLine="0"/>
        <w:jc w:val="left"/>
        <w:rPr>
          <w:rFonts w:ascii="Calibri" w:hAnsi="Calibri" w:cs="Calibri" w:eastAsia="Calibri"/>
          <w:b/>
          <w:color w:val="1F4E5A"/>
          <w:spacing w:val="0"/>
          <w:position w:val="0"/>
          <w:sz w:val="21"/>
          <w:shd w:fill="DCE6E8" w:val="clear"/>
        </w:rPr>
      </w:pPr>
      <w:r>
        <w:rPr>
          <w:rFonts w:ascii="Calibri" w:hAnsi="Calibri" w:cs="Calibri" w:eastAsia="Calibri"/>
          <w:b/>
          <w:color w:val="1F4E5A"/>
          <w:spacing w:val="0"/>
          <w:position w:val="0"/>
          <w:sz w:val="21"/>
          <w:shd w:fill="DCE6E8" w:val="clear"/>
        </w:rPr>
        <w:t xml:space="preserve">PESO DE CADA REQUISITO EN LAS CERTIFICACIONES</w:t>
      </w:r>
    </w:p>
    <w:tbl>
      <w:tblPr/>
      <w:tblGrid>
        <w:gridCol w:w="1247"/>
        <w:gridCol w:w="6803"/>
        <w:gridCol w:w="1588"/>
      </w:tblGrid>
      <w:tr>
        <w:trPr>
          <w:trHeight w:val="1" w:hRule="atLeast"/>
          <w:jc w:val="left"/>
          <w:cantSplit w:val="1"/>
        </w:trPr>
        <w:tc>
          <w:tcPr>
            <w:tcW w:w="1247"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CÓDIGO</w:t>
            </w:r>
          </w:p>
        </w:tc>
        <w:tc>
          <w:tcPr>
            <w:tcW w:w="6803"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REQUISITO</w:t>
            </w:r>
          </w:p>
        </w:tc>
        <w:tc>
          <w:tcPr>
            <w:tcW w:w="1588" w:type="dxa"/>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keepNext w:val="true"/>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PESO (%)</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RF-01</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Autenticación de clientes con área personal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13</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RF-02</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Catálogo de productos con búsqueda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16</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RF-03</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Carrito de la compra persistente entre sesiones</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10</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RF-04</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Pago mediante pasarela externa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11</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RF-05</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Logística de entrega: franjas horarias y validación por código postal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12</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RF-06</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Panel de gestión de pedidos para cada tienda</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15</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RF-07</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Notificaciones al cliente por correo electrónico y aviso móvil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8</w:t>
            </w:r>
          </w:p>
        </w:tc>
      </w:tr>
      <w:tr>
        <w:trPr>
          <w:trHeight w:val="340" w:hRule="auto"/>
          <w:jc w:val="left"/>
          <w:cantSplit w:val="1"/>
        </w:trPr>
        <w:tc>
          <w:tcPr>
            <w:tcW w:w="124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RF-08</w:t>
            </w:r>
          </w:p>
        </w:tc>
        <w:tc>
          <w:tcPr>
            <w:tcW w:w="6803"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Informes básicos de ventas para la dirección</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keepNext w:val="true"/>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1A1A1A"/>
                <w:spacing w:val="0"/>
                <w:position w:val="0"/>
                <w:sz w:val="19"/>
                <w:shd w:fill="auto" w:val="clear"/>
              </w:rPr>
              <w:t xml:space="preserve">15</w:t>
            </w:r>
          </w:p>
        </w:tc>
      </w:tr>
      <w:tr>
        <w:trPr>
          <w:trHeight w:val="340" w:hRule="auto"/>
          <w:jc w:val="left"/>
          <w:cantSplit w:val="1"/>
        </w:trPr>
        <w:tc>
          <w:tcPr>
            <w:tcW w:w="8050" w:type="dxa"/>
            <w:gridSpan w:val="2"/>
            <w:tcBorders>
              <w:top w:val="single" w:color="bfbfbf" w:sz="4"/>
              <w:left w:val="single" w:color="bfbfbf" w:sz="4"/>
              <w:bottom w:val="single" w:color="bfbfbf" w:sz="4"/>
              <w:right w:val="single" w:color="bfbfbf" w:sz="4"/>
            </w:tcBorders>
            <w:shd w:color="auto" w:fill="dce6e8"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F4E5A"/>
                <w:spacing w:val="0"/>
                <w:position w:val="0"/>
                <w:sz w:val="19"/>
                <w:shd w:fill="auto" w:val="clear"/>
              </w:rPr>
              <w:t xml:space="preserve">TOTAL</w:t>
            </w:r>
          </w:p>
        </w:tc>
        <w:tc>
          <w:tcPr>
            <w:tcW w:w="1588"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1A1A"/>
                <w:spacing w:val="0"/>
                <w:position w:val="0"/>
                <w:sz w:val="19"/>
                <w:shd w:fill="auto" w:val="clear"/>
              </w:rPr>
              <w:t xml:space="preserve">100</w:t>
            </w:r>
          </w:p>
        </w:tc>
      </w:tr>
    </w:tbl>
    <w:p>
      <w:pPr>
        <w:spacing w:before="0" w:after="0" w:line="240"/>
        <w:ind w:right="0" w:left="0" w:firstLine="0"/>
        <w:jc w:val="left"/>
        <w:rPr>
          <w:rFonts w:ascii="Calibri" w:hAnsi="Calibri" w:cs="Calibri" w:eastAsia="Calibri"/>
          <w:color w:val="1A1A1A"/>
          <w:spacing w:val="0"/>
          <w:position w:val="0"/>
          <w:sz w:val="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