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CD44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11E34111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41B07BE6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2A8E0A5C" w14:textId="77777777" w:rsidR="00796EAD" w:rsidRPr="00796EAD" w:rsidRDefault="00796EAD" w:rsidP="00796EAD">
            <w:pPr>
              <w:spacing w:before="120" w:after="120"/>
              <w:rPr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TuSuper en línea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630432A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248D70A3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TSL-2627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6126D08A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91B283C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03/10/2026</w:t>
            </w:r>
          </w:p>
        </w:tc>
      </w:tr>
    </w:tbl>
    <w:p w14:paraId="5643F6A7" w14:textId="77777777" w:rsidR="0023613A" w:rsidRDefault="0023613A">
      <w:pPr>
        <w:spacing w:after="120"/>
      </w:pPr>
    </w:p>
    <w:p w14:paraId="085A3778" w14:textId="77777777" w:rsidR="0023613A" w:rsidRDefault="00000000">
      <w:pPr>
        <w:spacing w:after="60"/>
      </w:pPr>
      <w:r>
        <w:rPr>
          <w:b/>
          <w:sz w:val="20"/>
          <w:szCs w:val="20"/>
          <w:lang w:val="es-ES"/>
        </w:rPr>
        <w:t>HISTÓRICO DE MODIFICACIONES DEL DOCUMENTO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00"/>
        <w:gridCol w:w="1800"/>
        <w:gridCol w:w="2300"/>
        <w:gridCol w:w="9000"/>
      </w:tblGrid>
      <w:tr w:rsidR="0023613A" w14:paraId="479EBA27" w14:textId="77777777">
        <w:tc>
          <w:tcPr>
            <w:tcW w:w="1300" w:type="dxa"/>
            <w:shd w:val="clear" w:color="auto" w:fill="D9D9D9"/>
            <w:vAlign w:val="center"/>
          </w:tcPr>
          <w:p w14:paraId="080E9F0F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33F8B939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67E69114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Realizada por</w:t>
            </w:r>
          </w:p>
        </w:tc>
        <w:tc>
          <w:tcPr>
            <w:tcW w:w="9000" w:type="dxa"/>
            <w:shd w:val="clear" w:color="auto" w:fill="D9D9D9"/>
            <w:vAlign w:val="center"/>
          </w:tcPr>
          <w:p w14:paraId="13589026" w14:textId="77777777" w:rsidR="0023613A" w:rsidRDefault="00000000">
            <w:pPr>
              <w:spacing w:before="40" w:after="40"/>
              <w:jc w:val="center"/>
            </w:pPr>
            <w:r>
              <w:rPr>
                <w:b/>
                <w:sz w:val="20"/>
                <w:szCs w:val="20"/>
                <w:lang w:val="es-ES"/>
              </w:rPr>
              <w:t>Breve descripción de los cambios</w:t>
            </w:r>
          </w:p>
        </w:tc>
      </w:tr>
      <w:tr w:rsidR="0023613A" w14:paraId="1951A595" w14:textId="77777777">
        <w:tc>
          <w:tcPr>
            <w:tcW w:w="1300" w:type="dxa"/>
            <w:vAlign w:val="center"/>
          </w:tcPr>
          <w:p w14:paraId="2F58346C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v1.0</w:t>
            </w:r>
          </w:p>
        </w:tc>
        <w:tc>
          <w:tcPr>
            <w:tcW w:w="1800" w:type="dxa"/>
            <w:vAlign w:val="center"/>
          </w:tcPr>
          <w:p w14:paraId="65DFED4C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03/10/2026</w:t>
            </w:r>
          </w:p>
        </w:tc>
        <w:tc>
          <w:tcPr>
            <w:tcW w:w="2300" w:type="dxa"/>
            <w:vAlign w:val="center"/>
          </w:tcPr>
          <w:p w14:paraId="5A9F632F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DSH</w:t>
            </w:r>
          </w:p>
        </w:tc>
        <w:tc>
          <w:tcPr>
            <w:tcW w:w="9000" w:type="dxa"/>
            <w:vAlign w:val="center"/>
          </w:tcPr>
          <w:p w14:paraId="2FACF577" w14:textId="77777777" w:rsidR="0023613A" w:rsidRDefault="00000000">
            <w:pPr>
              <w:spacing w:before="40" w:after="40"/>
            </w:pPr>
            <w:r>
              <w:rPr>
                <w:sz w:val="18"/>
                <w:szCs w:val="18"/>
                <w:lang w:val="es-ES"/>
              </w:rPr>
              <w:t>Primera versión del documento. Se parte del contrato TS-CTR-0112 (anexos I y II), del acta de constitución y del informe de requisitos TSL-2627-REQ-01. Los criterios de aceptación que no fija el contrato son propuesta, pendientes de acordar con el interlocutor que firma cada aceptación.</w:t>
            </w:r>
          </w:p>
        </w:tc>
      </w:tr>
    </w:tbl>
    <w:p w14:paraId="6C4A0650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206"/>
        <w:gridCol w:w="4748"/>
        <w:gridCol w:w="1276"/>
        <w:gridCol w:w="3260"/>
        <w:gridCol w:w="2693"/>
      </w:tblGrid>
      <w:tr w:rsidR="00F97A20" w14:paraId="46C97DEA" w14:textId="77777777" w:rsidTr="00F97A20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6EE12C50" w14:textId="777777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REQUISITO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4F6DDFA4" w14:textId="777777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748" w:type="dxa"/>
            <w:shd w:val="clear" w:color="auto" w:fill="D9D9D9" w:themeFill="background1" w:themeFillShade="D9"/>
            <w:vAlign w:val="center"/>
          </w:tcPr>
          <w:p w14:paraId="452963AE" w14:textId="777777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FE1E087" w14:textId="777777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56B736A9" w14:textId="605032AC" w:rsidR="00A3146B" w:rsidRPr="007D2C1A" w:rsidRDefault="00F97A20" w:rsidP="007D2C1A">
            <w:pPr>
              <w:spacing w:after="0" w:line="360" w:lineRule="auto"/>
              <w:contextualSpacing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CRITERIO</w:t>
            </w:r>
            <w:r w:rsidR="00B94E9B">
              <w:rPr>
                <w:b/>
                <w:sz w:val="20"/>
                <w:lang w:val="es-PA"/>
              </w:rPr>
              <w:t>S</w:t>
            </w:r>
            <w:r>
              <w:rPr>
                <w:b/>
                <w:sz w:val="20"/>
                <w:lang w:val="es-PA"/>
              </w:rPr>
              <w:t xml:space="preserve">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DB8D4D3" w14:textId="777777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</w:t>
            </w:r>
          </w:p>
        </w:tc>
      </w:tr>
      <w:tr w:rsidR="0023613A" w14:paraId="322C2DBA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3AF05CFD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RF-01 · Autenticación de clientes con área personal (contrato, anexo I, apartado 1.1)</w:t>
            </w:r>
          </w:p>
        </w:tc>
      </w:tr>
      <w:tr w:rsidR="0023613A" w14:paraId="4FA5323C" w14:textId="77777777">
        <w:trPr>
          <w:cantSplit/>
        </w:trPr>
        <w:tc>
          <w:tcPr>
            <w:tcW w:w="1242" w:type="dxa"/>
            <w:vAlign w:val="center"/>
          </w:tcPr>
          <w:p w14:paraId="63E30DE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RF-01.1</w:t>
            </w:r>
          </w:p>
        </w:tc>
        <w:tc>
          <w:tcPr>
            <w:tcW w:w="1206" w:type="dxa"/>
            <w:vAlign w:val="center"/>
          </w:tcPr>
          <w:p w14:paraId="18999F9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588BB4E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Registro con verificación del correo: el comprador se registra con su correo electrónico y la plataforma verifica que la dirección le pertenece.</w:t>
            </w:r>
          </w:p>
        </w:tc>
        <w:tc>
          <w:tcPr>
            <w:tcW w:w="1276" w:type="dxa"/>
            <w:vAlign w:val="center"/>
          </w:tcPr>
          <w:p w14:paraId="02A6D37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550C1B4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comprador crea su cuenta con un correo válido y la plataforma comprueba que le pertenece mediante un enlace o código enviado a esa dirección. Un correo ya registrado o inválido se rechaza con un mensaje de error.</w:t>
            </w:r>
          </w:p>
        </w:tc>
        <w:tc>
          <w:tcPr>
            <w:tcW w:w="2693" w:type="dxa"/>
            <w:vAlign w:val="center"/>
          </w:tcPr>
          <w:p w14:paraId="4C7F6DD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64EEFE57" w14:textId="77777777">
        <w:trPr>
          <w:cantSplit/>
        </w:trPr>
        <w:tc>
          <w:tcPr>
            <w:tcW w:w="1242" w:type="dxa"/>
            <w:vAlign w:val="center"/>
          </w:tcPr>
          <w:p w14:paraId="0F8507E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RF-01.2</w:t>
            </w:r>
          </w:p>
        </w:tc>
        <w:tc>
          <w:tcPr>
            <w:tcW w:w="1206" w:type="dxa"/>
            <w:vAlign w:val="center"/>
          </w:tcPr>
          <w:p w14:paraId="7D8E110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E2FEBA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Inicio y cierre de sesión: el comprador accede con su correo y su contraseña y puede cerrar la sesión.</w:t>
            </w:r>
          </w:p>
        </w:tc>
        <w:tc>
          <w:tcPr>
            <w:tcW w:w="1276" w:type="dxa"/>
            <w:vAlign w:val="center"/>
          </w:tcPr>
          <w:p w14:paraId="1F70ECE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4A3CC4A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comprador con cuenta verificada accede con correo y contraseña y puede cerrar sesión. Con credenciales incorrectas no se abre sesión y se muestra un mensaje de error.</w:t>
            </w:r>
          </w:p>
        </w:tc>
        <w:tc>
          <w:tcPr>
            <w:tcW w:w="2693" w:type="dxa"/>
            <w:vAlign w:val="center"/>
          </w:tcPr>
          <w:p w14:paraId="18508AF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4A9495A5" w14:textId="77777777">
        <w:trPr>
          <w:cantSplit/>
        </w:trPr>
        <w:tc>
          <w:tcPr>
            <w:tcW w:w="1242" w:type="dxa"/>
            <w:vAlign w:val="center"/>
          </w:tcPr>
          <w:p w14:paraId="3FA031B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RF-01.3</w:t>
            </w:r>
          </w:p>
        </w:tc>
        <w:tc>
          <w:tcPr>
            <w:tcW w:w="1206" w:type="dxa"/>
            <w:vAlign w:val="center"/>
          </w:tcPr>
          <w:p w14:paraId="7F9EFDD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117DC15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Recuperación de la contraseña: quien olvida la contraseña puede recuperar el acceso a su cuenta.</w:t>
            </w:r>
          </w:p>
        </w:tc>
        <w:tc>
          <w:tcPr>
            <w:tcW w:w="1276" w:type="dxa"/>
            <w:vAlign w:val="center"/>
          </w:tcPr>
          <w:p w14:paraId="206F913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73226D3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Quien olvida su contraseña recibe un aviso en el correo verificado de su cuenta y restablece el acceso con él. El enlace de restablecimiento caduca y solo sirve una vez.</w:t>
            </w:r>
          </w:p>
        </w:tc>
        <w:tc>
          <w:tcPr>
            <w:tcW w:w="2693" w:type="dxa"/>
            <w:vAlign w:val="center"/>
          </w:tcPr>
          <w:p w14:paraId="0AC5352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60B91EAD" w14:textId="77777777">
        <w:trPr>
          <w:cantSplit/>
        </w:trPr>
        <w:tc>
          <w:tcPr>
            <w:tcW w:w="1242" w:type="dxa"/>
            <w:vAlign w:val="center"/>
          </w:tcPr>
          <w:p w14:paraId="413DC68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RF-01.4</w:t>
            </w:r>
          </w:p>
        </w:tc>
        <w:tc>
          <w:tcPr>
            <w:tcW w:w="1206" w:type="dxa"/>
            <w:vAlign w:val="center"/>
          </w:tcPr>
          <w:p w14:paraId="79F66FA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7E272DF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Perfil del comprador: consulta y modificación de sus datos personales en el área personal.</w:t>
            </w:r>
          </w:p>
        </w:tc>
        <w:tc>
          <w:tcPr>
            <w:tcW w:w="1276" w:type="dxa"/>
            <w:vAlign w:val="center"/>
          </w:tcPr>
          <w:p w14:paraId="401C43B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175E804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comprador ve sus datos personales en el área personal y puede modificarlos. El cambio guardado se muestra en la consulta siguiente.</w:t>
            </w:r>
          </w:p>
        </w:tc>
        <w:tc>
          <w:tcPr>
            <w:tcW w:w="2693" w:type="dxa"/>
            <w:vAlign w:val="center"/>
          </w:tcPr>
          <w:p w14:paraId="1F6AD6A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6FC5D47F" w14:textId="77777777">
        <w:trPr>
          <w:cantSplit/>
        </w:trPr>
        <w:tc>
          <w:tcPr>
            <w:tcW w:w="1242" w:type="dxa"/>
            <w:vAlign w:val="center"/>
          </w:tcPr>
          <w:p w14:paraId="38DACF8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lastRenderedPageBreak/>
              <w:t>RF-01.5</w:t>
            </w:r>
          </w:p>
        </w:tc>
        <w:tc>
          <w:tcPr>
            <w:tcW w:w="1206" w:type="dxa"/>
            <w:vAlign w:val="center"/>
          </w:tcPr>
          <w:p w14:paraId="3D58517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003A6A3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Libreta de direcciones de entrega: consulta, alta, cambio y baja de las direcciones donde el comprador recibe sus pedidos.</w:t>
            </w:r>
          </w:p>
        </w:tc>
        <w:tc>
          <w:tcPr>
            <w:tcW w:w="1276" w:type="dxa"/>
            <w:vAlign w:val="center"/>
          </w:tcPr>
          <w:p w14:paraId="5C09C95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7E7D4CF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comprador consulta sus direcciones y puede dar de alta, cambiar y borrar direcciones. La dirección que elige al comprar es la guardada en su libreta.</w:t>
            </w:r>
          </w:p>
        </w:tc>
        <w:tc>
          <w:tcPr>
            <w:tcW w:w="2693" w:type="dxa"/>
            <w:vAlign w:val="center"/>
          </w:tcPr>
          <w:p w14:paraId="27FEA9D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62F8B1C8" w14:textId="77777777">
        <w:trPr>
          <w:cantSplit/>
        </w:trPr>
        <w:tc>
          <w:tcPr>
            <w:tcW w:w="1242" w:type="dxa"/>
            <w:vAlign w:val="center"/>
          </w:tcPr>
          <w:p w14:paraId="13760BF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RF-01.6</w:t>
            </w:r>
          </w:p>
        </w:tc>
        <w:tc>
          <w:tcPr>
            <w:tcW w:w="1206" w:type="dxa"/>
            <w:vAlign w:val="center"/>
          </w:tcPr>
          <w:p w14:paraId="32B5D81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052F267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Historial de pedidos: consulta de los pedidos hechos y de su estado.</w:t>
            </w:r>
          </w:p>
        </w:tc>
        <w:tc>
          <w:tcPr>
            <w:tcW w:w="1276" w:type="dxa"/>
            <w:vAlign w:val="center"/>
          </w:tcPr>
          <w:p w14:paraId="7CE3B41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467FCE4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historial lista todos los pedidos del comprador con su estado actual, que coincide con el que registra el panel de la tienda (RF-06.3).</w:t>
            </w:r>
          </w:p>
        </w:tc>
        <w:tc>
          <w:tcPr>
            <w:tcW w:w="2693" w:type="dxa"/>
            <w:vAlign w:val="center"/>
          </w:tcPr>
          <w:p w14:paraId="3019A5C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353FCBFF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79C9293C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RF-02 · Catálogo de productos con búsqueda (anexo I, apartado 1.2)</w:t>
            </w:r>
          </w:p>
        </w:tc>
      </w:tr>
      <w:tr w:rsidR="0023613A" w14:paraId="6A42D5D8" w14:textId="77777777">
        <w:trPr>
          <w:cantSplit/>
        </w:trPr>
        <w:tc>
          <w:tcPr>
            <w:tcW w:w="1242" w:type="dxa"/>
            <w:vAlign w:val="center"/>
          </w:tcPr>
          <w:p w14:paraId="6B81D05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RF-02.1</w:t>
            </w:r>
          </w:p>
        </w:tc>
        <w:tc>
          <w:tcPr>
            <w:tcW w:w="1206" w:type="dxa"/>
            <w:vAlign w:val="center"/>
          </w:tcPr>
          <w:p w14:paraId="6E23CB7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6E407C8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Listado por categorías: el catálogo se organiza y se navega por categorías de producto.</w:t>
            </w:r>
          </w:p>
        </w:tc>
        <w:tc>
          <w:tcPr>
            <w:tcW w:w="1276" w:type="dxa"/>
            <w:vAlign w:val="center"/>
          </w:tcPr>
          <w:p w14:paraId="3AF51B3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822937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producto aparece en su categoría y los listados se muestran sin errores con la carga inicial de datos de las 32 tiendas (RTR-01).</w:t>
            </w:r>
          </w:p>
        </w:tc>
        <w:tc>
          <w:tcPr>
            <w:tcW w:w="2693" w:type="dxa"/>
            <w:vAlign w:val="center"/>
          </w:tcPr>
          <w:p w14:paraId="117FADF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1AB56A74" w14:textId="77777777">
        <w:trPr>
          <w:cantSplit/>
        </w:trPr>
        <w:tc>
          <w:tcPr>
            <w:tcW w:w="1242" w:type="dxa"/>
            <w:vAlign w:val="center"/>
          </w:tcPr>
          <w:p w14:paraId="2112A0E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RF-02.2</w:t>
            </w:r>
          </w:p>
        </w:tc>
        <w:tc>
          <w:tcPr>
            <w:tcW w:w="1206" w:type="dxa"/>
            <w:vAlign w:val="center"/>
          </w:tcPr>
          <w:p w14:paraId="62B2904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775705D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Ficha de producto: cada producto tiene una ficha con su precio y su precio por unidad de medida.</w:t>
            </w:r>
          </w:p>
        </w:tc>
        <w:tc>
          <w:tcPr>
            <w:tcW w:w="1276" w:type="dxa"/>
            <w:vAlign w:val="center"/>
          </w:tcPr>
          <w:p w14:paraId="6088969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7307398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La ficha muestra el precio y el precio por unidad de medida, que coinciden con los del ERP.</w:t>
            </w:r>
          </w:p>
        </w:tc>
        <w:tc>
          <w:tcPr>
            <w:tcW w:w="2693" w:type="dxa"/>
            <w:vAlign w:val="center"/>
          </w:tcPr>
          <w:p w14:paraId="77372C8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03B3AFA9" w14:textId="77777777">
        <w:trPr>
          <w:cantSplit/>
        </w:trPr>
        <w:tc>
          <w:tcPr>
            <w:tcW w:w="1242" w:type="dxa"/>
            <w:vAlign w:val="center"/>
          </w:tcPr>
          <w:p w14:paraId="3CC1AB6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RF-02.3</w:t>
            </w:r>
          </w:p>
        </w:tc>
        <w:tc>
          <w:tcPr>
            <w:tcW w:w="1206" w:type="dxa"/>
            <w:vAlign w:val="center"/>
          </w:tcPr>
          <w:p w14:paraId="6CD937E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6443711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Buscador por texto: búsqueda libre de productos por texto.</w:t>
            </w:r>
          </w:p>
        </w:tc>
        <w:tc>
          <w:tcPr>
            <w:tcW w:w="1276" w:type="dxa"/>
            <w:vAlign w:val="center"/>
          </w:tcPr>
          <w:p w14:paraId="0A55574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0702A1F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La búsqueda devuelve los productos que coinciden con el texto introducido. Si no hay coincidencias, muestra un aviso.</w:t>
            </w:r>
          </w:p>
        </w:tc>
        <w:tc>
          <w:tcPr>
            <w:tcW w:w="2693" w:type="dxa"/>
            <w:vAlign w:val="center"/>
          </w:tcPr>
          <w:p w14:paraId="0B0CC37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34059F35" w14:textId="77777777">
        <w:trPr>
          <w:cantSplit/>
        </w:trPr>
        <w:tc>
          <w:tcPr>
            <w:tcW w:w="1242" w:type="dxa"/>
            <w:vAlign w:val="center"/>
          </w:tcPr>
          <w:p w14:paraId="1F668A7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RF-02.4</w:t>
            </w:r>
          </w:p>
        </w:tc>
        <w:tc>
          <w:tcPr>
            <w:tcW w:w="1206" w:type="dxa"/>
            <w:vAlign w:val="center"/>
          </w:tcPr>
          <w:p w14:paraId="3BD9AC5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28B4CA7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Filtros por marca y formato: reducción de un listado a una o varias marcas o formatos.</w:t>
            </w:r>
          </w:p>
        </w:tc>
        <w:tc>
          <w:tcPr>
            <w:tcW w:w="1276" w:type="dxa"/>
            <w:vAlign w:val="center"/>
          </w:tcPr>
          <w:p w14:paraId="3AC8EB3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48F358B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listado filtrado contiene solo productos de las marcas o formatos elegidos, y el filtro se puede quitar.</w:t>
            </w:r>
          </w:p>
        </w:tc>
        <w:tc>
          <w:tcPr>
            <w:tcW w:w="2693" w:type="dxa"/>
            <w:vAlign w:val="center"/>
          </w:tcPr>
          <w:p w14:paraId="3AA055B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22777A1A" w14:textId="77777777">
        <w:trPr>
          <w:cantSplit/>
        </w:trPr>
        <w:tc>
          <w:tcPr>
            <w:tcW w:w="1242" w:type="dxa"/>
            <w:vAlign w:val="center"/>
          </w:tcPr>
          <w:p w14:paraId="56B9778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RF-02.6</w:t>
            </w:r>
          </w:p>
        </w:tc>
        <w:tc>
          <w:tcPr>
            <w:tcW w:w="1206" w:type="dxa"/>
            <w:vAlign w:val="center"/>
          </w:tcPr>
          <w:p w14:paraId="242BC75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3E8A54A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Disponibilidad por tienda con datos del ERP: cada producto indica si está disponible en la tienda que sirve al comprador, según las existencias del ERP.</w:t>
            </w:r>
          </w:p>
        </w:tc>
        <w:tc>
          <w:tcPr>
            <w:tcW w:w="1276" w:type="dxa"/>
            <w:vAlign w:val="center"/>
          </w:tcPr>
          <w:p w14:paraId="5BDD750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59DFBE3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Con una existencia modificada en el ERP, la indicación de disponibilidad cambia en la plataforma sin intervención manual (RI-01).</w:t>
            </w:r>
          </w:p>
        </w:tc>
        <w:tc>
          <w:tcPr>
            <w:tcW w:w="2693" w:type="dxa"/>
            <w:vAlign w:val="center"/>
          </w:tcPr>
          <w:p w14:paraId="7791766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31BF305F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5C93EB85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RF-03 · Carrito de la compra persistente entre sesiones (anexo I, apartado 1.3)</w:t>
            </w:r>
          </w:p>
        </w:tc>
      </w:tr>
      <w:tr w:rsidR="0023613A" w14:paraId="7B88216E" w14:textId="77777777">
        <w:trPr>
          <w:cantSplit/>
        </w:trPr>
        <w:tc>
          <w:tcPr>
            <w:tcW w:w="1242" w:type="dxa"/>
            <w:vAlign w:val="center"/>
          </w:tcPr>
          <w:p w14:paraId="0EAF8B4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RF-03.1</w:t>
            </w:r>
          </w:p>
        </w:tc>
        <w:tc>
          <w:tcPr>
            <w:tcW w:w="1206" w:type="dxa"/>
            <w:vAlign w:val="center"/>
          </w:tcPr>
          <w:p w14:paraId="7F7FB3D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6122C85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 de la cesta y de sus líneas: la cesta se crea con el primer producto y cada producto se añade como una línea.</w:t>
            </w:r>
          </w:p>
        </w:tc>
        <w:tc>
          <w:tcPr>
            <w:tcW w:w="1276" w:type="dxa"/>
            <w:vAlign w:val="center"/>
          </w:tcPr>
          <w:p w14:paraId="0E6BD8D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5A699A6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 añadir el primer producto se crea la cesta, y cada producto añadido figura como una línea de ella.</w:t>
            </w:r>
          </w:p>
        </w:tc>
        <w:tc>
          <w:tcPr>
            <w:tcW w:w="2693" w:type="dxa"/>
            <w:vAlign w:val="center"/>
          </w:tcPr>
          <w:p w14:paraId="2055180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5A0D7701" w14:textId="77777777">
        <w:trPr>
          <w:cantSplit/>
        </w:trPr>
        <w:tc>
          <w:tcPr>
            <w:tcW w:w="1242" w:type="dxa"/>
            <w:vAlign w:val="center"/>
          </w:tcPr>
          <w:p w14:paraId="3077651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RF-03.2</w:t>
            </w:r>
          </w:p>
        </w:tc>
        <w:tc>
          <w:tcPr>
            <w:tcW w:w="1206" w:type="dxa"/>
            <w:vAlign w:val="center"/>
          </w:tcPr>
          <w:p w14:paraId="6F6DB4A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5EB8B60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Modificación y baja de líneas: cambio de la cantidad de una línea y retirada de productos.</w:t>
            </w:r>
          </w:p>
        </w:tc>
        <w:tc>
          <w:tcPr>
            <w:tcW w:w="1276" w:type="dxa"/>
            <w:vAlign w:val="center"/>
          </w:tcPr>
          <w:p w14:paraId="6F2BDD1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00CEB90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comprador cambia la cantidad de una línea y retira productos, y la cesta refleja cada cambio.</w:t>
            </w:r>
          </w:p>
        </w:tc>
        <w:tc>
          <w:tcPr>
            <w:tcW w:w="2693" w:type="dxa"/>
            <w:vAlign w:val="center"/>
          </w:tcPr>
          <w:p w14:paraId="159D994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4ACE1292" w14:textId="77777777">
        <w:trPr>
          <w:cantSplit/>
        </w:trPr>
        <w:tc>
          <w:tcPr>
            <w:tcW w:w="1242" w:type="dxa"/>
            <w:vAlign w:val="center"/>
          </w:tcPr>
          <w:p w14:paraId="519B5AA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lastRenderedPageBreak/>
              <w:t>RF-03.3</w:t>
            </w:r>
          </w:p>
        </w:tc>
        <w:tc>
          <w:tcPr>
            <w:tcW w:w="1206" w:type="dxa"/>
            <w:vAlign w:val="center"/>
          </w:tcPr>
          <w:p w14:paraId="4FF0E55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679B61C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Cálculo del importe: importe de cada línea y total de la cesta con los precios vigentes.</w:t>
            </w:r>
          </w:p>
        </w:tc>
        <w:tc>
          <w:tcPr>
            <w:tcW w:w="1276" w:type="dxa"/>
            <w:vAlign w:val="center"/>
          </w:tcPr>
          <w:p w14:paraId="4F02A59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3398A38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importe de cada línea y el total se recalculan en cada cambio con los precios vigentes y coinciden con el cálculo manual de los casos de prueba.</w:t>
            </w:r>
          </w:p>
        </w:tc>
        <w:tc>
          <w:tcPr>
            <w:tcW w:w="2693" w:type="dxa"/>
            <w:vAlign w:val="center"/>
          </w:tcPr>
          <w:p w14:paraId="01C7031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208679CE" w14:textId="77777777">
        <w:trPr>
          <w:cantSplit/>
        </w:trPr>
        <w:tc>
          <w:tcPr>
            <w:tcW w:w="1242" w:type="dxa"/>
            <w:vAlign w:val="center"/>
          </w:tcPr>
          <w:p w14:paraId="5EAB51F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RF-03.4</w:t>
            </w:r>
          </w:p>
        </w:tc>
        <w:tc>
          <w:tcPr>
            <w:tcW w:w="1206" w:type="dxa"/>
            <w:vAlign w:val="center"/>
          </w:tcPr>
          <w:p w14:paraId="6D755DC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A9B99B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Persistencia entre sesiones y dispositivos: la cesta conserva su contenido al cerrar sesión y al entrar desde otro dispositivo.</w:t>
            </w:r>
          </w:p>
        </w:tc>
        <w:tc>
          <w:tcPr>
            <w:tcW w:w="1276" w:type="dxa"/>
            <w:vAlign w:val="center"/>
          </w:tcPr>
          <w:p w14:paraId="4E642BF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73F8591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Tras cerrar sesión, y al entrar con la misma cuenta desde otro dispositivo, la cesta muestra el mismo contenido.</w:t>
            </w:r>
          </w:p>
        </w:tc>
        <w:tc>
          <w:tcPr>
            <w:tcW w:w="2693" w:type="dxa"/>
            <w:vAlign w:val="center"/>
          </w:tcPr>
          <w:p w14:paraId="197E621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10963006" w14:textId="77777777">
        <w:trPr>
          <w:cantSplit/>
        </w:trPr>
        <w:tc>
          <w:tcPr>
            <w:tcW w:w="1242" w:type="dxa"/>
            <w:vAlign w:val="center"/>
          </w:tcPr>
          <w:p w14:paraId="61FB9F1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RF-03.5</w:t>
            </w:r>
          </w:p>
        </w:tc>
        <w:tc>
          <w:tcPr>
            <w:tcW w:w="1206" w:type="dxa"/>
            <w:vAlign w:val="center"/>
          </w:tcPr>
          <w:p w14:paraId="0D1210B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0918FA0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Cesta guardada para más tarde: conservación de una cesta sin terminar la compra para completarla después.</w:t>
            </w:r>
          </w:p>
        </w:tc>
        <w:tc>
          <w:tcPr>
            <w:tcW w:w="1276" w:type="dxa"/>
            <w:vAlign w:val="center"/>
          </w:tcPr>
          <w:p w14:paraId="1E3CB07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1949A6F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comprador guarda una cesta sin comprar y la recupera más tarde con su contenido intacto.</w:t>
            </w:r>
          </w:p>
        </w:tc>
        <w:tc>
          <w:tcPr>
            <w:tcW w:w="2693" w:type="dxa"/>
            <w:vAlign w:val="center"/>
          </w:tcPr>
          <w:p w14:paraId="3997D36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2D3EEBA6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6CBD1797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RF-04 · Pago mediante pasarela externa (anexo I, apartado 1.4)</w:t>
            </w:r>
          </w:p>
        </w:tc>
      </w:tr>
      <w:tr w:rsidR="0023613A" w14:paraId="37FA8D7A" w14:textId="77777777">
        <w:trPr>
          <w:cantSplit/>
        </w:trPr>
        <w:tc>
          <w:tcPr>
            <w:tcW w:w="1242" w:type="dxa"/>
            <w:vAlign w:val="center"/>
          </w:tcPr>
          <w:p w14:paraId="61E3197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RF-04.1</w:t>
            </w:r>
          </w:p>
        </w:tc>
        <w:tc>
          <w:tcPr>
            <w:tcW w:w="1206" w:type="dxa"/>
            <w:vAlign w:val="center"/>
          </w:tcPr>
          <w:p w14:paraId="6053F19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0F68437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Flujo de pago con tarjeta: paso del comprador a la pasarela del proveedor para pagar la cesta y regreso a la plataforma con el resultado.</w:t>
            </w:r>
          </w:p>
        </w:tc>
        <w:tc>
          <w:tcPr>
            <w:tcW w:w="1276" w:type="dxa"/>
            <w:vAlign w:val="center"/>
          </w:tcPr>
          <w:p w14:paraId="2DF1E22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337D166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comprador paga con tarjeta en la pasarela y vuelve a la plataforma con el resultado. La plataforma no recibe ni guarda ningún dato de la tarjeta. Con la pasarela en modo de pruebas, las transacciones de prueba se completan.</w:t>
            </w:r>
          </w:p>
        </w:tc>
        <w:tc>
          <w:tcPr>
            <w:tcW w:w="2693" w:type="dxa"/>
            <w:vAlign w:val="center"/>
          </w:tcPr>
          <w:p w14:paraId="60D073E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320A0155" w14:textId="77777777">
        <w:trPr>
          <w:cantSplit/>
        </w:trPr>
        <w:tc>
          <w:tcPr>
            <w:tcW w:w="1242" w:type="dxa"/>
            <w:vAlign w:val="center"/>
          </w:tcPr>
          <w:p w14:paraId="22125C2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RF-04.2</w:t>
            </w:r>
          </w:p>
        </w:tc>
        <w:tc>
          <w:tcPr>
            <w:tcW w:w="1206" w:type="dxa"/>
            <w:vAlign w:val="center"/>
          </w:tcPr>
          <w:p w14:paraId="356563E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0DB5C5A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Registro del pago en el pedido: anotación del resultado del pago y de la referencia que devuelve la pasarela.</w:t>
            </w:r>
          </w:p>
        </w:tc>
        <w:tc>
          <w:tcPr>
            <w:tcW w:w="1276" w:type="dxa"/>
            <w:vAlign w:val="center"/>
          </w:tcPr>
          <w:p w14:paraId="116C1E0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7BC929F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pedido guarda el resultado del pago, aceptado o rechazado, y la referencia de la pasarela.</w:t>
            </w:r>
          </w:p>
        </w:tc>
        <w:tc>
          <w:tcPr>
            <w:tcW w:w="2693" w:type="dxa"/>
            <w:vAlign w:val="center"/>
          </w:tcPr>
          <w:p w14:paraId="6F5BDBB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75BF5B64" w14:textId="77777777">
        <w:trPr>
          <w:cantSplit/>
        </w:trPr>
        <w:tc>
          <w:tcPr>
            <w:tcW w:w="1242" w:type="dxa"/>
            <w:vAlign w:val="center"/>
          </w:tcPr>
          <w:p w14:paraId="44E1F6B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RF-04.3</w:t>
            </w:r>
          </w:p>
        </w:tc>
        <w:tc>
          <w:tcPr>
            <w:tcW w:w="1206" w:type="dxa"/>
            <w:vAlign w:val="center"/>
          </w:tcPr>
          <w:p w14:paraId="2BC2A65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65744BF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Tratamiento de los pagos rechazados: aviso al comprador y registro del rechazo en el pedido.</w:t>
            </w:r>
          </w:p>
        </w:tc>
        <w:tc>
          <w:tcPr>
            <w:tcW w:w="1276" w:type="dxa"/>
            <w:vAlign w:val="center"/>
          </w:tcPr>
          <w:p w14:paraId="3993464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1FCF6A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Ante un pago rechazado el comprador recibe un aviso y el rechazo queda anotado en el pedido, que no pasa a la tienda.</w:t>
            </w:r>
          </w:p>
        </w:tc>
        <w:tc>
          <w:tcPr>
            <w:tcW w:w="2693" w:type="dxa"/>
            <w:vAlign w:val="center"/>
          </w:tcPr>
          <w:p w14:paraId="40902A9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3D814124" w14:textId="77777777">
        <w:trPr>
          <w:cantSplit/>
        </w:trPr>
        <w:tc>
          <w:tcPr>
            <w:tcW w:w="1242" w:type="dxa"/>
            <w:vAlign w:val="center"/>
          </w:tcPr>
          <w:p w14:paraId="4921F86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RF-04.4</w:t>
            </w:r>
          </w:p>
        </w:tc>
        <w:tc>
          <w:tcPr>
            <w:tcW w:w="1206" w:type="dxa"/>
            <w:vAlign w:val="center"/>
          </w:tcPr>
          <w:p w14:paraId="3744330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E67888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Paso a las credenciales de producción: configuración de la plataforma con las credenciales que el proveedor emite a TuSuper tras la auditoría de comercio.</w:t>
            </w:r>
          </w:p>
        </w:tc>
        <w:tc>
          <w:tcPr>
            <w:tcW w:w="1276" w:type="dxa"/>
            <w:vAlign w:val="center"/>
          </w:tcPr>
          <w:p w14:paraId="74EDD18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28CE9A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La plataforma funciona con las credenciales de producción emitidas tras superar TuSuper la auditoría de comercio, y un cobro real de prueba se completa.</w:t>
            </w:r>
          </w:p>
        </w:tc>
        <w:tc>
          <w:tcPr>
            <w:tcW w:w="2693" w:type="dxa"/>
            <w:vAlign w:val="center"/>
          </w:tcPr>
          <w:p w14:paraId="52EBDCC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(I-02); proveedor de la pasarela (I-13)</w:t>
            </w:r>
          </w:p>
        </w:tc>
      </w:tr>
      <w:tr w:rsidR="0023613A" w14:paraId="5BEDDE82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22ACD82C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RF-05 · Logística de entrega: franjas horarias y validación por código postal (anexo I, apartado 1.5)</w:t>
            </w:r>
          </w:p>
        </w:tc>
      </w:tr>
      <w:tr w:rsidR="0023613A" w14:paraId="3DDD797A" w14:textId="77777777">
        <w:trPr>
          <w:cantSplit/>
        </w:trPr>
        <w:tc>
          <w:tcPr>
            <w:tcW w:w="1242" w:type="dxa"/>
            <w:vAlign w:val="center"/>
          </w:tcPr>
          <w:p w14:paraId="4F7E08D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RF-05.1</w:t>
            </w:r>
          </w:p>
        </w:tc>
        <w:tc>
          <w:tcPr>
            <w:tcW w:w="1206" w:type="dxa"/>
            <w:vAlign w:val="center"/>
          </w:tcPr>
          <w:p w14:paraId="3126750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2B65561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Franjas con capacidad por tienda: franjas de entrega que ofrece cada tienda, con el número de pedidos que admite cada una.</w:t>
            </w:r>
          </w:p>
        </w:tc>
        <w:tc>
          <w:tcPr>
            <w:tcW w:w="1276" w:type="dxa"/>
            <w:vAlign w:val="center"/>
          </w:tcPr>
          <w:p w14:paraId="69A5103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7C6CEA7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tienda ofrece las franjas y capacidades que facilita TuSuper, y el comprador solo ve las de la tienda que le corresponde.</w:t>
            </w:r>
          </w:p>
        </w:tc>
        <w:tc>
          <w:tcPr>
            <w:tcW w:w="2693" w:type="dxa"/>
            <w:vAlign w:val="center"/>
          </w:tcPr>
          <w:p w14:paraId="796BF68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3F949F46" w14:textId="77777777">
        <w:trPr>
          <w:cantSplit/>
        </w:trPr>
        <w:tc>
          <w:tcPr>
            <w:tcW w:w="1242" w:type="dxa"/>
            <w:vAlign w:val="center"/>
          </w:tcPr>
          <w:p w14:paraId="748A0E7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lastRenderedPageBreak/>
              <w:t>RF-05.2</w:t>
            </w:r>
          </w:p>
        </w:tc>
        <w:tc>
          <w:tcPr>
            <w:tcW w:w="1206" w:type="dxa"/>
            <w:vAlign w:val="center"/>
          </w:tcPr>
          <w:p w14:paraId="6F59E09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660905E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Validación del código postal contra la zona de reparto: comprobación de que la dirección pertenece a la zona de la tienda.</w:t>
            </w:r>
          </w:p>
        </w:tc>
        <w:tc>
          <w:tcPr>
            <w:tcW w:w="1276" w:type="dxa"/>
            <w:vAlign w:val="center"/>
          </w:tcPr>
          <w:p w14:paraId="03341FB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01B0D30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Una dirección con código postal dentro de la zona de reparto de la tienda se acepta, y una fuera de ella se rechaza con aviso.</w:t>
            </w:r>
          </w:p>
        </w:tc>
        <w:tc>
          <w:tcPr>
            <w:tcW w:w="2693" w:type="dxa"/>
            <w:vAlign w:val="center"/>
          </w:tcPr>
          <w:p w14:paraId="779C3B1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108701C1" w14:textId="77777777">
        <w:trPr>
          <w:cantSplit/>
        </w:trPr>
        <w:tc>
          <w:tcPr>
            <w:tcW w:w="1242" w:type="dxa"/>
            <w:vAlign w:val="center"/>
          </w:tcPr>
          <w:p w14:paraId="43AF073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RF-05.3</w:t>
            </w:r>
          </w:p>
        </w:tc>
        <w:tc>
          <w:tcPr>
            <w:tcW w:w="1206" w:type="dxa"/>
            <w:vAlign w:val="center"/>
          </w:tcPr>
          <w:p w14:paraId="2CB57B9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9530DD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Reserva de la franja en el pedido: asignación al pedido de la franja elegida, que consume una unidad de su capacidad.</w:t>
            </w:r>
          </w:p>
        </w:tc>
        <w:tc>
          <w:tcPr>
            <w:tcW w:w="1276" w:type="dxa"/>
            <w:vAlign w:val="center"/>
          </w:tcPr>
          <w:p w14:paraId="1246137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2564D44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pedido queda asignado a la franja elegida, que descuenta una unidad de capacidad. Una franja completa deja de ofrecerse.</w:t>
            </w:r>
          </w:p>
        </w:tc>
        <w:tc>
          <w:tcPr>
            <w:tcW w:w="2693" w:type="dxa"/>
            <w:vAlign w:val="center"/>
          </w:tcPr>
          <w:p w14:paraId="283190A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09C9C622" w14:textId="77777777">
        <w:trPr>
          <w:cantSplit/>
        </w:trPr>
        <w:tc>
          <w:tcPr>
            <w:tcW w:w="1242" w:type="dxa"/>
            <w:vAlign w:val="center"/>
          </w:tcPr>
          <w:p w14:paraId="265B0D9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RF-05.4</w:t>
            </w:r>
          </w:p>
        </w:tc>
        <w:tc>
          <w:tcPr>
            <w:tcW w:w="1206" w:type="dxa"/>
            <w:vAlign w:val="center"/>
          </w:tcPr>
          <w:p w14:paraId="0E25812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FD93F9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Asignación del pedido a un repartidor: atribución de cada pedido a un repartidor para su entrega.</w:t>
            </w:r>
          </w:p>
        </w:tc>
        <w:tc>
          <w:tcPr>
            <w:tcW w:w="1276" w:type="dxa"/>
            <w:vAlign w:val="center"/>
          </w:tcPr>
          <w:p w14:paraId="5C6A409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733C3FB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pedido queda asignado a uno de los repartidores de los datos que facilita TuSuper.</w:t>
            </w:r>
          </w:p>
        </w:tc>
        <w:tc>
          <w:tcPr>
            <w:tcW w:w="2693" w:type="dxa"/>
            <w:vAlign w:val="center"/>
          </w:tcPr>
          <w:p w14:paraId="6966048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74883562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1CC2B436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RF-06 · Panel de gestión de pedidos para cada tienda (anexo I, apartado 1.6)</w:t>
            </w:r>
          </w:p>
        </w:tc>
      </w:tr>
      <w:tr w:rsidR="0023613A" w14:paraId="0595B5BB" w14:textId="77777777">
        <w:trPr>
          <w:cantSplit/>
        </w:trPr>
        <w:tc>
          <w:tcPr>
            <w:tcW w:w="1242" w:type="dxa"/>
            <w:vAlign w:val="center"/>
          </w:tcPr>
          <w:p w14:paraId="2874F28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RF-06.1</w:t>
            </w:r>
          </w:p>
        </w:tc>
        <w:tc>
          <w:tcPr>
            <w:tcW w:w="1206" w:type="dxa"/>
            <w:vAlign w:val="center"/>
          </w:tcPr>
          <w:p w14:paraId="2988FDA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0778F7D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Lista de pedidos de la tienda: pedidos asignados a la tienda, con su franja de entrega y su estado.</w:t>
            </w:r>
          </w:p>
        </w:tc>
        <w:tc>
          <w:tcPr>
            <w:tcW w:w="1276" w:type="dxa"/>
            <w:vAlign w:val="center"/>
          </w:tcPr>
          <w:p w14:paraId="46C8E81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247BC2C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tienda ve solo los pedidos que debe preparar, con su franja y su estado. Se demuestra con datos reales de las tiendas cargados desde el ERP (CA-02).</w:t>
            </w:r>
          </w:p>
        </w:tc>
        <w:tc>
          <w:tcPr>
            <w:tcW w:w="2693" w:type="dxa"/>
            <w:vAlign w:val="center"/>
          </w:tcPr>
          <w:p w14:paraId="3AEBDD4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1F26FC44" w14:textId="77777777">
        <w:trPr>
          <w:cantSplit/>
        </w:trPr>
        <w:tc>
          <w:tcPr>
            <w:tcW w:w="1242" w:type="dxa"/>
            <w:vAlign w:val="center"/>
          </w:tcPr>
          <w:p w14:paraId="5B6989D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RF-06.2</w:t>
            </w:r>
          </w:p>
        </w:tc>
        <w:tc>
          <w:tcPr>
            <w:tcW w:w="1206" w:type="dxa"/>
            <w:vAlign w:val="center"/>
          </w:tcPr>
          <w:p w14:paraId="7ADA052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190563C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Detalle del pedido para prepararlo: productos y cantidades, con su franja y su dirección de entrega.</w:t>
            </w:r>
          </w:p>
        </w:tc>
        <w:tc>
          <w:tcPr>
            <w:tcW w:w="1276" w:type="dxa"/>
            <w:vAlign w:val="center"/>
          </w:tcPr>
          <w:p w14:paraId="7ED2317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0C1AB4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detalle muestra los productos, las cantidades, la franja y la dirección de entrega del pedido (CA-02).</w:t>
            </w:r>
          </w:p>
        </w:tc>
        <w:tc>
          <w:tcPr>
            <w:tcW w:w="2693" w:type="dxa"/>
            <w:vAlign w:val="center"/>
          </w:tcPr>
          <w:p w14:paraId="00D5A4F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107B8F81" w14:textId="77777777">
        <w:trPr>
          <w:cantSplit/>
        </w:trPr>
        <w:tc>
          <w:tcPr>
            <w:tcW w:w="1242" w:type="dxa"/>
            <w:vAlign w:val="center"/>
          </w:tcPr>
          <w:p w14:paraId="35A8705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RF-06.3</w:t>
            </w:r>
          </w:p>
        </w:tc>
        <w:tc>
          <w:tcPr>
            <w:tcW w:w="1206" w:type="dxa"/>
            <w:vAlign w:val="center"/>
          </w:tcPr>
          <w:p w14:paraId="19EA31A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87EA6E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Cambio de estado: paso del pedido por sus estados desde que llega a la tienda hasta que sale de ella.</w:t>
            </w:r>
          </w:p>
        </w:tc>
        <w:tc>
          <w:tcPr>
            <w:tcW w:w="1276" w:type="dxa"/>
            <w:vAlign w:val="center"/>
          </w:tcPr>
          <w:p w14:paraId="3DD50B3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311AF72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personal cambia el estado del pedido hasta que sale de la tienda. Cada cambio queda registrado y lo ve el comprador en su historial (CA-02).</w:t>
            </w:r>
          </w:p>
        </w:tc>
        <w:tc>
          <w:tcPr>
            <w:tcW w:w="2693" w:type="dxa"/>
            <w:vAlign w:val="center"/>
          </w:tcPr>
          <w:p w14:paraId="7289187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53C0D6F1" w14:textId="77777777">
        <w:trPr>
          <w:cantSplit/>
        </w:trPr>
        <w:tc>
          <w:tcPr>
            <w:tcW w:w="1242" w:type="dxa"/>
            <w:vAlign w:val="center"/>
          </w:tcPr>
          <w:p w14:paraId="6F3D036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RF-06.4</w:t>
            </w:r>
          </w:p>
        </w:tc>
        <w:tc>
          <w:tcPr>
            <w:tcW w:w="1206" w:type="dxa"/>
            <w:vAlign w:val="center"/>
          </w:tcPr>
          <w:p w14:paraId="12B97C5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70E2CB8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Entrega al repartidor: registro de la entrega del pedido preparado al repartidor que tiene asignado.</w:t>
            </w:r>
          </w:p>
        </w:tc>
        <w:tc>
          <w:tcPr>
            <w:tcW w:w="1276" w:type="dxa"/>
            <w:vAlign w:val="center"/>
          </w:tcPr>
          <w:p w14:paraId="47A6B1F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105318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personal registra la entrega del pedido al repartidor asignado y el pedido pasa a su estado final de tienda (CA-02).</w:t>
            </w:r>
          </w:p>
        </w:tc>
        <w:tc>
          <w:tcPr>
            <w:tcW w:w="2693" w:type="dxa"/>
            <w:vAlign w:val="center"/>
          </w:tcPr>
          <w:p w14:paraId="1F49229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0C515F5B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2802BE75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RF-07 · Notificaciones al cliente por correo electrónico y aviso móvil (anexo I, apartado 1.7)</w:t>
            </w:r>
          </w:p>
        </w:tc>
      </w:tr>
      <w:tr w:rsidR="0023613A" w14:paraId="1077D5DB" w14:textId="77777777">
        <w:trPr>
          <w:cantSplit/>
        </w:trPr>
        <w:tc>
          <w:tcPr>
            <w:tcW w:w="1242" w:type="dxa"/>
            <w:vAlign w:val="center"/>
          </w:tcPr>
          <w:p w14:paraId="28C3D92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RF-07.1</w:t>
            </w:r>
          </w:p>
        </w:tc>
        <w:tc>
          <w:tcPr>
            <w:tcW w:w="1206" w:type="dxa"/>
            <w:vAlign w:val="center"/>
          </w:tcPr>
          <w:p w14:paraId="7C6ECF1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20B6CF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Correo por cambio de estado: mensaje al correo del comprador con el nuevo estado del pedido.</w:t>
            </w:r>
          </w:p>
        </w:tc>
        <w:tc>
          <w:tcPr>
            <w:tcW w:w="1276" w:type="dxa"/>
            <w:vAlign w:val="center"/>
          </w:tcPr>
          <w:p w14:paraId="4B60F24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613AD1B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Con cada cambio de estado del pedido, el comprador recibe un correo con el estado nuevo.</w:t>
            </w:r>
          </w:p>
        </w:tc>
        <w:tc>
          <w:tcPr>
            <w:tcW w:w="2693" w:type="dxa"/>
            <w:vAlign w:val="center"/>
          </w:tcPr>
          <w:p w14:paraId="288BA64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6414DB7B" w14:textId="77777777">
        <w:trPr>
          <w:cantSplit/>
        </w:trPr>
        <w:tc>
          <w:tcPr>
            <w:tcW w:w="1242" w:type="dxa"/>
            <w:vAlign w:val="center"/>
          </w:tcPr>
          <w:p w14:paraId="6053EC0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RF-07.2</w:t>
            </w:r>
          </w:p>
        </w:tc>
        <w:tc>
          <w:tcPr>
            <w:tcW w:w="1206" w:type="dxa"/>
            <w:vAlign w:val="center"/>
          </w:tcPr>
          <w:p w14:paraId="0E92AE9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2C40E63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Notificación en Android: aviso del cambio de estado en la aplicación para Android.</w:t>
            </w:r>
          </w:p>
        </w:tc>
        <w:tc>
          <w:tcPr>
            <w:tcW w:w="1276" w:type="dxa"/>
            <w:vAlign w:val="center"/>
          </w:tcPr>
          <w:p w14:paraId="50CBD1F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3644089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Con cada cambio de estado, la aplicación para Android muestra una notificación con el estado nuevo.</w:t>
            </w:r>
          </w:p>
        </w:tc>
        <w:tc>
          <w:tcPr>
            <w:tcW w:w="2693" w:type="dxa"/>
            <w:vAlign w:val="center"/>
          </w:tcPr>
          <w:p w14:paraId="6B096FD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6F02D009" w14:textId="77777777">
        <w:trPr>
          <w:cantSplit/>
        </w:trPr>
        <w:tc>
          <w:tcPr>
            <w:tcW w:w="1242" w:type="dxa"/>
            <w:vAlign w:val="center"/>
          </w:tcPr>
          <w:p w14:paraId="0F34DD1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lastRenderedPageBreak/>
              <w:t>RF-07.3</w:t>
            </w:r>
          </w:p>
        </w:tc>
        <w:tc>
          <w:tcPr>
            <w:tcW w:w="1206" w:type="dxa"/>
            <w:vAlign w:val="center"/>
          </w:tcPr>
          <w:p w14:paraId="7A11B7C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14C44EF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Notificación en iOS: aviso del cambio de estado en la aplicación para iOS.</w:t>
            </w:r>
          </w:p>
        </w:tc>
        <w:tc>
          <w:tcPr>
            <w:tcW w:w="1276" w:type="dxa"/>
            <w:vAlign w:val="center"/>
          </w:tcPr>
          <w:p w14:paraId="4A17504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7B704E4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Con cada cambio de estado, la aplicación para iOS muestra una notificación con el estado nuevo.</w:t>
            </w:r>
          </w:p>
        </w:tc>
        <w:tc>
          <w:tcPr>
            <w:tcW w:w="2693" w:type="dxa"/>
            <w:vAlign w:val="center"/>
          </w:tcPr>
          <w:p w14:paraId="1E77A50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7D3C7988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59F3E8F2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RF-08 · Informes básicos de ventas para la dirección (anexo I, apartado 1.8)</w:t>
            </w:r>
          </w:p>
        </w:tc>
      </w:tr>
      <w:tr w:rsidR="0023613A" w14:paraId="05C1EEC2" w14:textId="77777777">
        <w:trPr>
          <w:cantSplit/>
        </w:trPr>
        <w:tc>
          <w:tcPr>
            <w:tcW w:w="1242" w:type="dxa"/>
            <w:vAlign w:val="center"/>
          </w:tcPr>
          <w:p w14:paraId="140F4CA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RF-08.1</w:t>
            </w:r>
          </w:p>
        </w:tc>
        <w:tc>
          <w:tcPr>
            <w:tcW w:w="1206" w:type="dxa"/>
            <w:vAlign w:val="center"/>
          </w:tcPr>
          <w:p w14:paraId="29FC21B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8A575A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Ventas por tienda y día: venta en línea de cada tienda, día a día.</w:t>
            </w:r>
          </w:p>
        </w:tc>
        <w:tc>
          <w:tcPr>
            <w:tcW w:w="1276" w:type="dxa"/>
            <w:vAlign w:val="center"/>
          </w:tcPr>
          <w:p w14:paraId="0E9EF57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033B846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Agrega la venta por periodo comercial de TuSuper, nunca por mes natural, y sus cifras cuadran con la venta en línea que registra el ERP (CA-01). Se demuestra con datos reales de las tiendas (CA-02).</w:t>
            </w:r>
          </w:p>
        </w:tc>
        <w:tc>
          <w:tcPr>
            <w:tcW w:w="2693" w:type="dxa"/>
            <w:vAlign w:val="center"/>
          </w:tcPr>
          <w:p w14:paraId="1D529F9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4D5AAB08" w14:textId="77777777">
        <w:trPr>
          <w:cantSplit/>
        </w:trPr>
        <w:tc>
          <w:tcPr>
            <w:tcW w:w="1242" w:type="dxa"/>
            <w:vAlign w:val="center"/>
          </w:tcPr>
          <w:p w14:paraId="7BF12CB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RF-08.2</w:t>
            </w:r>
          </w:p>
        </w:tc>
        <w:tc>
          <w:tcPr>
            <w:tcW w:w="1206" w:type="dxa"/>
            <w:vAlign w:val="center"/>
          </w:tcPr>
          <w:p w14:paraId="6E4E4B9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CB5CBB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Cesta media: valor medio de los pedidos cursados.</w:t>
            </w:r>
          </w:p>
        </w:tc>
        <w:tc>
          <w:tcPr>
            <w:tcW w:w="1276" w:type="dxa"/>
            <w:vAlign w:val="center"/>
          </w:tcPr>
          <w:p w14:paraId="75554E2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64A3EEC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Agrega la venta por periodo comercial de TuSuper, nunca por mes natural, y sus cifras cuadran con la venta en línea que registra el ERP (CA-01). Se demuestra con datos reales de las tiendas (CA-02).</w:t>
            </w:r>
          </w:p>
        </w:tc>
        <w:tc>
          <w:tcPr>
            <w:tcW w:w="2693" w:type="dxa"/>
            <w:vAlign w:val="center"/>
          </w:tcPr>
          <w:p w14:paraId="000B522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77A57DE0" w14:textId="77777777">
        <w:trPr>
          <w:cantSplit/>
        </w:trPr>
        <w:tc>
          <w:tcPr>
            <w:tcW w:w="1242" w:type="dxa"/>
            <w:vAlign w:val="center"/>
          </w:tcPr>
          <w:p w14:paraId="2A60331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RF-08.3</w:t>
            </w:r>
          </w:p>
        </w:tc>
        <w:tc>
          <w:tcPr>
            <w:tcW w:w="1206" w:type="dxa"/>
            <w:vAlign w:val="center"/>
          </w:tcPr>
          <w:p w14:paraId="4794D10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33239A9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Productos más vendidos: relación de los productos con más venta en línea.</w:t>
            </w:r>
          </w:p>
        </w:tc>
        <w:tc>
          <w:tcPr>
            <w:tcW w:w="1276" w:type="dxa"/>
            <w:vAlign w:val="center"/>
          </w:tcPr>
          <w:p w14:paraId="77EE4A4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0BA555B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Agrega la venta por periodo comercial de TuSuper, nunca por mes natural, y sus cifras cuadran con la venta en línea que registra el ERP (CA-01). Se demuestra con datos reales de las tiendas (CA-02).</w:t>
            </w:r>
          </w:p>
        </w:tc>
        <w:tc>
          <w:tcPr>
            <w:tcW w:w="2693" w:type="dxa"/>
            <w:vAlign w:val="center"/>
          </w:tcPr>
          <w:p w14:paraId="60D572E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3DFD68BB" w14:textId="77777777">
        <w:trPr>
          <w:cantSplit/>
        </w:trPr>
        <w:tc>
          <w:tcPr>
            <w:tcW w:w="1242" w:type="dxa"/>
            <w:vAlign w:val="center"/>
          </w:tcPr>
          <w:p w14:paraId="22DAED8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RF-08.4</w:t>
            </w:r>
          </w:p>
        </w:tc>
        <w:tc>
          <w:tcPr>
            <w:tcW w:w="1206" w:type="dxa"/>
            <w:vAlign w:val="center"/>
          </w:tcPr>
          <w:p w14:paraId="43D7A80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4748" w:type="dxa"/>
            <w:vAlign w:val="center"/>
          </w:tcPr>
          <w:p w14:paraId="435575F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Franjas más demandadas: relación de las franjas de entrega con más pedidos.</w:t>
            </w:r>
          </w:p>
        </w:tc>
        <w:tc>
          <w:tcPr>
            <w:tcW w:w="1276" w:type="dxa"/>
            <w:vAlign w:val="center"/>
          </w:tcPr>
          <w:p w14:paraId="409BA71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2E665B8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Agrega la venta por periodo comercial de TuSuper, nunca por mes natural, y sus cifras cuadran con la venta en línea que registra el ERP (CA-01). Se demuestra con datos reales de las tiendas (CA-02).</w:t>
            </w:r>
          </w:p>
        </w:tc>
        <w:tc>
          <w:tcPr>
            <w:tcW w:w="2693" w:type="dxa"/>
            <w:vAlign w:val="center"/>
          </w:tcPr>
          <w:p w14:paraId="27D1FDA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628EB79A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3DA79F15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Requisitos no funcionales (anexo I, apartado 2; cláusula decimoséptima para RNF-04)</w:t>
            </w:r>
          </w:p>
        </w:tc>
      </w:tr>
      <w:tr w:rsidR="0023613A" w14:paraId="6DC83766" w14:textId="77777777">
        <w:trPr>
          <w:cantSplit/>
        </w:trPr>
        <w:tc>
          <w:tcPr>
            <w:tcW w:w="1242" w:type="dxa"/>
            <w:vAlign w:val="center"/>
          </w:tcPr>
          <w:p w14:paraId="18267A0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RNF-01</w:t>
            </w:r>
          </w:p>
        </w:tc>
        <w:tc>
          <w:tcPr>
            <w:tcW w:w="1206" w:type="dxa"/>
            <w:vAlign w:val="center"/>
          </w:tcPr>
          <w:p w14:paraId="1723DAF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 funcionales - Rendimiento</w:t>
            </w:r>
          </w:p>
        </w:tc>
        <w:tc>
          <w:tcPr>
            <w:tcW w:w="4748" w:type="dxa"/>
            <w:vAlign w:val="center"/>
          </w:tcPr>
          <w:p w14:paraId="55935A8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Rendimiento: la plataforma atiende al menos a 2.000 compradores a la vez y responde en menos de dos segundos en el 95 % de las peticiones.</w:t>
            </w:r>
          </w:p>
        </w:tc>
        <w:tc>
          <w:tcPr>
            <w:tcW w:w="1276" w:type="dxa"/>
            <w:vAlign w:val="center"/>
          </w:tcPr>
          <w:p w14:paraId="11055E2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15FA38A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En una prueba de carga con 2.000 compradores simultáneos, el 95 % de las peticiones responde en menos de 2 segundos.</w:t>
            </w:r>
          </w:p>
        </w:tc>
        <w:tc>
          <w:tcPr>
            <w:tcW w:w="2693" w:type="dxa"/>
            <w:vAlign w:val="center"/>
          </w:tcPr>
          <w:p w14:paraId="3B5CAF9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3F54E0BF" w14:textId="77777777">
        <w:trPr>
          <w:cantSplit/>
        </w:trPr>
        <w:tc>
          <w:tcPr>
            <w:tcW w:w="1242" w:type="dxa"/>
            <w:vAlign w:val="center"/>
          </w:tcPr>
          <w:p w14:paraId="3502293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RNF-02</w:t>
            </w:r>
          </w:p>
        </w:tc>
        <w:tc>
          <w:tcPr>
            <w:tcW w:w="1206" w:type="dxa"/>
            <w:vAlign w:val="center"/>
          </w:tcPr>
          <w:p w14:paraId="2EF3B87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 funcionales - Disponibilidad</w:t>
            </w:r>
          </w:p>
        </w:tc>
        <w:tc>
          <w:tcPr>
            <w:tcW w:w="4748" w:type="dxa"/>
            <w:vAlign w:val="center"/>
          </w:tcPr>
          <w:p w14:paraId="56F94BE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Disponibilidad: 99,5 % en el horario de servicio, que es continuo: las 24 horas de todos los días del año.</w:t>
            </w:r>
          </w:p>
        </w:tc>
        <w:tc>
          <w:tcPr>
            <w:tcW w:w="1276" w:type="dxa"/>
            <w:vAlign w:val="center"/>
          </w:tcPr>
          <w:p w14:paraId="34E1DB7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57AD82C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La disponibilidad medida es igual o superior al 99,5 % del tiempo, contando las 24 horas de todos los días, en el periodo de medición que se acuerde con TuSuper.</w:t>
            </w:r>
          </w:p>
        </w:tc>
        <w:tc>
          <w:tcPr>
            <w:tcW w:w="2693" w:type="dxa"/>
            <w:vAlign w:val="center"/>
          </w:tcPr>
          <w:p w14:paraId="367EF39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072CA34A" w14:textId="77777777">
        <w:trPr>
          <w:cantSplit/>
        </w:trPr>
        <w:tc>
          <w:tcPr>
            <w:tcW w:w="1242" w:type="dxa"/>
            <w:vAlign w:val="center"/>
          </w:tcPr>
          <w:p w14:paraId="363ECBE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lastRenderedPageBreak/>
              <w:t>RNF-03</w:t>
            </w:r>
          </w:p>
        </w:tc>
        <w:tc>
          <w:tcPr>
            <w:tcW w:w="1206" w:type="dxa"/>
            <w:vAlign w:val="center"/>
          </w:tcPr>
          <w:p w14:paraId="2220AEC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 funcionales - Seguridad</w:t>
            </w:r>
          </w:p>
        </w:tc>
        <w:tc>
          <w:tcPr>
            <w:tcW w:w="4748" w:type="dxa"/>
            <w:vAlign w:val="center"/>
          </w:tcPr>
          <w:p w14:paraId="5ADD4CE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Seguridad: las comunicaciones van cifradas y el acceso al ERP sigue las normas de seguridad de Sistemas de TI de TuSuper.</w:t>
            </w:r>
          </w:p>
        </w:tc>
        <w:tc>
          <w:tcPr>
            <w:tcW w:w="1276" w:type="dxa"/>
            <w:vAlign w:val="center"/>
          </w:tcPr>
          <w:p w14:paraId="76DB05A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4B743D5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Todo el tráfico de la plataforma va por canal cifrado y no hay acceso en claro. Las pruebas de seguridad no dejan vulnerabilidades críticas abiertas, y Sistemas de TI da su conformidad al acceso al ERP.</w:t>
            </w:r>
          </w:p>
        </w:tc>
        <w:tc>
          <w:tcPr>
            <w:tcW w:w="2693" w:type="dxa"/>
            <w:vAlign w:val="center"/>
          </w:tcPr>
          <w:p w14:paraId="4563226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Jefe de Sistemas de TI (I-06)</w:t>
            </w:r>
          </w:p>
        </w:tc>
      </w:tr>
      <w:tr w:rsidR="0023613A" w14:paraId="7F210E0F" w14:textId="77777777">
        <w:trPr>
          <w:cantSplit/>
        </w:trPr>
        <w:tc>
          <w:tcPr>
            <w:tcW w:w="1242" w:type="dxa"/>
            <w:vAlign w:val="center"/>
          </w:tcPr>
          <w:p w14:paraId="568112B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RNF-04</w:t>
            </w:r>
          </w:p>
        </w:tc>
        <w:tc>
          <w:tcPr>
            <w:tcW w:w="1206" w:type="dxa"/>
            <w:vAlign w:val="center"/>
          </w:tcPr>
          <w:p w14:paraId="30B8DA1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 funcionales - Protección de datos</w:t>
            </w:r>
          </w:p>
        </w:tc>
        <w:tc>
          <w:tcPr>
            <w:tcW w:w="4748" w:type="dxa"/>
            <w:vAlign w:val="center"/>
          </w:tcPr>
          <w:p w14:paraId="3E9380B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Protección de datos: los datos personales de los compradores se tratan conforme al RGPD, con Taracea como encargada del tratamiento. La plataforma no almacena datos de tarjetas.</w:t>
            </w:r>
          </w:p>
        </w:tc>
        <w:tc>
          <w:tcPr>
            <w:tcW w:w="1276" w:type="dxa"/>
            <w:vAlign w:val="center"/>
          </w:tcPr>
          <w:p w14:paraId="3BBED17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22759C6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Los datos personales se tratan por cuenta de TuSuper conforme al RGPD. La revisión de la base de datos y de los registros confirma que no se almacenan datos de tarjetas.</w:t>
            </w:r>
          </w:p>
        </w:tc>
        <w:tc>
          <w:tcPr>
            <w:tcW w:w="2693" w:type="dxa"/>
            <w:vAlign w:val="center"/>
          </w:tcPr>
          <w:p w14:paraId="14FE697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4577F35D" w14:textId="77777777">
        <w:trPr>
          <w:cantSplit/>
        </w:trPr>
        <w:tc>
          <w:tcPr>
            <w:tcW w:w="1242" w:type="dxa"/>
            <w:vAlign w:val="center"/>
          </w:tcPr>
          <w:p w14:paraId="3225641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RNF-05</w:t>
            </w:r>
          </w:p>
        </w:tc>
        <w:tc>
          <w:tcPr>
            <w:tcW w:w="1206" w:type="dxa"/>
            <w:vAlign w:val="center"/>
          </w:tcPr>
          <w:p w14:paraId="5F7E806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 funcionales - Accesibilidad</w:t>
            </w:r>
          </w:p>
        </w:tc>
        <w:tc>
          <w:tcPr>
            <w:tcW w:w="4748" w:type="dxa"/>
            <w:vAlign w:val="center"/>
          </w:tcPr>
          <w:p w14:paraId="130FECE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Accesibilidad: la web y la aplicación móvil cumplen el nivel AA de las pautas WCAG 2.1.</w:t>
            </w:r>
          </w:p>
        </w:tc>
        <w:tc>
          <w:tcPr>
            <w:tcW w:w="1276" w:type="dxa"/>
            <w:vAlign w:val="center"/>
          </w:tcPr>
          <w:p w14:paraId="64FFD6F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45E7CB4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Una auditoría de accesibilidad de los flujos de registro, búsqueda, compra y pago no encuentra incumplimientos del nivel AA de WCAG 2.1 en la web ni en la aplicación.</w:t>
            </w:r>
          </w:p>
        </w:tc>
        <w:tc>
          <w:tcPr>
            <w:tcW w:w="2693" w:type="dxa"/>
            <w:vAlign w:val="center"/>
          </w:tcPr>
          <w:p w14:paraId="686D558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2E461196" w14:textId="77777777">
        <w:trPr>
          <w:cantSplit/>
        </w:trPr>
        <w:tc>
          <w:tcPr>
            <w:tcW w:w="1242" w:type="dxa"/>
            <w:vAlign w:val="center"/>
          </w:tcPr>
          <w:p w14:paraId="25C01B4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RNF-06</w:t>
            </w:r>
          </w:p>
        </w:tc>
        <w:tc>
          <w:tcPr>
            <w:tcW w:w="1206" w:type="dxa"/>
            <w:vAlign w:val="center"/>
          </w:tcPr>
          <w:p w14:paraId="55E2C96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 funcionales - Compatibilidad</w:t>
            </w:r>
          </w:p>
        </w:tc>
        <w:tc>
          <w:tcPr>
            <w:tcW w:w="4748" w:type="dxa"/>
            <w:vAlign w:val="center"/>
          </w:tcPr>
          <w:p w14:paraId="785676F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Compatibilidad: la web funciona en los navegadores de uso común en sus dos últimas versiones, y la aplicación móvil, en Android y en iOS.</w:t>
            </w:r>
          </w:p>
        </w:tc>
        <w:tc>
          <w:tcPr>
            <w:tcW w:w="1276" w:type="dxa"/>
            <w:vAlign w:val="center"/>
          </w:tcPr>
          <w:p w14:paraId="281F0B8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4A09B7D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Los flujos principales de compra superan las pruebas en cada navegador de uso común, en sus dos últimas versiones, y en la aplicación para Android y para iOS.</w:t>
            </w:r>
          </w:p>
        </w:tc>
        <w:tc>
          <w:tcPr>
            <w:tcW w:w="2693" w:type="dxa"/>
            <w:vAlign w:val="center"/>
          </w:tcPr>
          <w:p w14:paraId="71DFB59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63167294" w14:textId="77777777">
        <w:trPr>
          <w:cantSplit/>
        </w:trPr>
        <w:tc>
          <w:tcPr>
            <w:tcW w:w="1242" w:type="dxa"/>
            <w:vAlign w:val="center"/>
          </w:tcPr>
          <w:p w14:paraId="511D761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RNF-07</w:t>
            </w:r>
          </w:p>
        </w:tc>
        <w:tc>
          <w:tcPr>
            <w:tcW w:w="1206" w:type="dxa"/>
            <w:vAlign w:val="center"/>
          </w:tcPr>
          <w:p w14:paraId="72483EF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No funcionales - Idioma</w:t>
            </w:r>
          </w:p>
        </w:tc>
        <w:tc>
          <w:tcPr>
            <w:tcW w:w="4748" w:type="dxa"/>
            <w:vAlign w:val="center"/>
          </w:tcPr>
          <w:p w14:paraId="58A3CE0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Idioma: la plataforma está en castellano.</w:t>
            </w:r>
          </w:p>
        </w:tc>
        <w:tc>
          <w:tcPr>
            <w:tcW w:w="1276" w:type="dxa"/>
            <w:vAlign w:val="center"/>
          </w:tcPr>
          <w:p w14:paraId="1F232BE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2358C69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Los textos de la web, de la aplicación, de las notificaciones y de los informes están en castellano, sin cadenas en otro idioma.</w:t>
            </w:r>
          </w:p>
        </w:tc>
        <w:tc>
          <w:tcPr>
            <w:tcW w:w="2693" w:type="dxa"/>
            <w:vAlign w:val="center"/>
          </w:tcPr>
          <w:p w14:paraId="1FC8529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1A3D701E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6F368948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Integración con el ERP (anexo I, apartado 3). Códigos RI de este registro</w:t>
            </w:r>
          </w:p>
        </w:tc>
      </w:tr>
      <w:tr w:rsidR="0023613A" w14:paraId="1BDB2754" w14:textId="77777777">
        <w:trPr>
          <w:cantSplit/>
        </w:trPr>
        <w:tc>
          <w:tcPr>
            <w:tcW w:w="1242" w:type="dxa"/>
            <w:vAlign w:val="center"/>
          </w:tcPr>
          <w:p w14:paraId="4202E42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RI-01</w:t>
            </w:r>
          </w:p>
        </w:tc>
        <w:tc>
          <w:tcPr>
            <w:tcW w:w="1206" w:type="dxa"/>
            <w:vAlign w:val="center"/>
          </w:tcPr>
          <w:p w14:paraId="03F84B7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Integración con el ERP</w:t>
            </w:r>
          </w:p>
        </w:tc>
        <w:tc>
          <w:tcPr>
            <w:tcW w:w="4748" w:type="dxa"/>
            <w:vAlign w:val="center"/>
          </w:tcPr>
          <w:p w14:paraId="6773179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Sincronización con el ERP: el catálogo, los precios y las existencias proceden del ERP y la plataforma se mantiene sincronizada con él en tiempo real, sin modificar el ERP.</w:t>
            </w:r>
          </w:p>
        </w:tc>
        <w:tc>
          <w:tcPr>
            <w:tcW w:w="1276" w:type="dxa"/>
            <w:vAlign w:val="center"/>
          </w:tcPr>
          <w:p w14:paraId="455E2C5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48D7EFE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Un cambio de precio o de existencias hecho en el ERP se refleja en la plataforma sin intervención manual, con un retardo máximo de 5 minutos (umbral propuesto, a acordar con Sistemas de TI). El ERP no se modifica.</w:t>
            </w:r>
          </w:p>
        </w:tc>
        <w:tc>
          <w:tcPr>
            <w:tcW w:w="2693" w:type="dxa"/>
            <w:vAlign w:val="center"/>
          </w:tcPr>
          <w:p w14:paraId="1F1C4DA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Jefe de Sistemas de TI (I-06)</w:t>
            </w:r>
          </w:p>
        </w:tc>
      </w:tr>
      <w:tr w:rsidR="0023613A" w14:paraId="55147869" w14:textId="77777777">
        <w:trPr>
          <w:cantSplit/>
        </w:trPr>
        <w:tc>
          <w:tcPr>
            <w:tcW w:w="1242" w:type="dxa"/>
            <w:vAlign w:val="center"/>
          </w:tcPr>
          <w:p w14:paraId="4180956F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RI-02</w:t>
            </w:r>
          </w:p>
        </w:tc>
        <w:tc>
          <w:tcPr>
            <w:tcW w:w="1206" w:type="dxa"/>
            <w:vAlign w:val="center"/>
          </w:tcPr>
          <w:p w14:paraId="7CF1ADF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Integración con el ERP</w:t>
            </w:r>
          </w:p>
        </w:tc>
        <w:tc>
          <w:tcPr>
            <w:tcW w:w="4748" w:type="dxa"/>
            <w:vAlign w:val="center"/>
          </w:tcPr>
          <w:p w14:paraId="5EAB08F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Volcado de pedidos y devoluciones al ERP: los pedidos y las devoluciones se vuelcan al ERP.</w:t>
            </w:r>
          </w:p>
        </w:tc>
        <w:tc>
          <w:tcPr>
            <w:tcW w:w="1276" w:type="dxa"/>
            <w:vAlign w:val="center"/>
          </w:tcPr>
          <w:p w14:paraId="62839C8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E180A9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pedido cursado y cada devolución figura en el ERP con sus datos completos. El total de venta en línea coincide entre la plataforma y el ERP.</w:t>
            </w:r>
          </w:p>
        </w:tc>
        <w:tc>
          <w:tcPr>
            <w:tcW w:w="2693" w:type="dxa"/>
            <w:vAlign w:val="center"/>
          </w:tcPr>
          <w:p w14:paraId="2B5ACA6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Jefe de Sistemas de TI (I-06)</w:t>
            </w:r>
          </w:p>
        </w:tc>
      </w:tr>
      <w:tr w:rsidR="0023613A" w14:paraId="250C4655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0D5C328F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lastRenderedPageBreak/>
              <w:t>Requisitos de transición (anexo I, apartado 4). Códigos RTR de este registro</w:t>
            </w:r>
          </w:p>
        </w:tc>
      </w:tr>
      <w:tr w:rsidR="0023613A" w14:paraId="6A94D151" w14:textId="77777777">
        <w:trPr>
          <w:cantSplit/>
        </w:trPr>
        <w:tc>
          <w:tcPr>
            <w:tcW w:w="1242" w:type="dxa"/>
            <w:vAlign w:val="center"/>
          </w:tcPr>
          <w:p w14:paraId="62F2EF1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RTR-01</w:t>
            </w:r>
          </w:p>
        </w:tc>
        <w:tc>
          <w:tcPr>
            <w:tcW w:w="1206" w:type="dxa"/>
            <w:vAlign w:val="center"/>
          </w:tcPr>
          <w:p w14:paraId="1CCA1DE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4748" w:type="dxa"/>
            <w:vAlign w:val="center"/>
          </w:tcPr>
          <w:p w14:paraId="10E98EF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Carga inicial de datos: catálogo, precios y existencias de las 32 tiendas, cargados desde el ERP antes de que la plataforma los use.</w:t>
            </w:r>
          </w:p>
        </w:tc>
        <w:tc>
          <w:tcPr>
            <w:tcW w:w="1276" w:type="dxa"/>
            <w:vAlign w:val="center"/>
          </w:tcPr>
          <w:p w14:paraId="6B1D889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70E0F4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Los datos de las 32 tiendas están cargados desde el ERP, con datos reales y no de muestra (CA-02), y el número de productos cargados coincide con el del ERP.</w:t>
            </w:r>
          </w:p>
        </w:tc>
        <w:tc>
          <w:tcPr>
            <w:tcW w:w="2693" w:type="dxa"/>
            <w:vAlign w:val="center"/>
          </w:tcPr>
          <w:p w14:paraId="216CEB8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Jefe de Sistemas de TI (I-06)</w:t>
            </w:r>
          </w:p>
        </w:tc>
      </w:tr>
      <w:tr w:rsidR="0023613A" w14:paraId="2C3BC00E" w14:textId="77777777">
        <w:trPr>
          <w:cantSplit/>
        </w:trPr>
        <w:tc>
          <w:tcPr>
            <w:tcW w:w="1242" w:type="dxa"/>
            <w:vAlign w:val="center"/>
          </w:tcPr>
          <w:p w14:paraId="6A2EF58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RTR-02</w:t>
            </w:r>
          </w:p>
        </w:tc>
        <w:tc>
          <w:tcPr>
            <w:tcW w:w="1206" w:type="dxa"/>
            <w:vAlign w:val="center"/>
          </w:tcPr>
          <w:p w14:paraId="268D30F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4748" w:type="dxa"/>
            <w:vAlign w:val="center"/>
          </w:tcPr>
          <w:p w14:paraId="119CBBD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Piloto en tres tiendas: funcionamiento de la plataforma en tres tiendas antes de la entrada en explotación en toda la cadena.</w:t>
            </w:r>
          </w:p>
        </w:tc>
        <w:tc>
          <w:tcPr>
            <w:tcW w:w="1276" w:type="dxa"/>
            <w:vAlign w:val="center"/>
          </w:tcPr>
          <w:p w14:paraId="44DFED5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5DA11D9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Se cumple el criterio CA-03: el piloto cubre los apartados 1.1 a 1.6 con el conector con el ERP en funcionamiento y al menos dos ciclos completos de reposición de las tiendas participantes, sin incidencia que impida cursar pedidos.</w:t>
            </w:r>
          </w:p>
        </w:tc>
        <w:tc>
          <w:tcPr>
            <w:tcW w:w="2693" w:type="dxa"/>
            <w:vAlign w:val="center"/>
          </w:tcPr>
          <w:p w14:paraId="08F7F9E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Director de Operaciones (I-07); Responsable de tiendas (I-05); las tiendas las designa la dirección de TuSuper</w:t>
            </w:r>
          </w:p>
        </w:tc>
      </w:tr>
      <w:tr w:rsidR="0023613A" w14:paraId="75825278" w14:textId="77777777">
        <w:trPr>
          <w:cantSplit/>
        </w:trPr>
        <w:tc>
          <w:tcPr>
            <w:tcW w:w="1242" w:type="dxa"/>
            <w:vAlign w:val="center"/>
          </w:tcPr>
          <w:p w14:paraId="0B43B37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RTR-03</w:t>
            </w:r>
          </w:p>
        </w:tc>
        <w:tc>
          <w:tcPr>
            <w:tcW w:w="1206" w:type="dxa"/>
            <w:vAlign w:val="center"/>
          </w:tcPr>
          <w:p w14:paraId="3F481ED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4748" w:type="dxa"/>
            <w:vAlign w:val="center"/>
          </w:tcPr>
          <w:p w14:paraId="4CD4E73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Documentación de uso: manual de uso para el personal de las tiendas y guía para los repartidores, entregados a TuSuper.</w:t>
            </w:r>
          </w:p>
        </w:tc>
        <w:tc>
          <w:tcPr>
            <w:tcW w:w="1276" w:type="dxa"/>
            <w:vAlign w:val="center"/>
          </w:tcPr>
          <w:p w14:paraId="1EB613A7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3260" w:type="dxa"/>
            <w:vAlign w:val="center"/>
          </w:tcPr>
          <w:p w14:paraId="4A1CA0C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Los dos documentos se entregan a TuSuper, cubren las funciones que usan el personal de tienda y los repartidores, y TuSuper los acepta según los criterios que se acuerden con la oferta del departamento de formación.</w:t>
            </w:r>
          </w:p>
        </w:tc>
        <w:tc>
          <w:tcPr>
            <w:tcW w:w="2693" w:type="dxa"/>
            <w:vAlign w:val="center"/>
          </w:tcPr>
          <w:p w14:paraId="47507AC2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 y Jefe de Sistemas de TI (I-06), conjuntamente</w:t>
            </w:r>
          </w:p>
        </w:tc>
      </w:tr>
      <w:tr w:rsidR="0023613A" w14:paraId="7BABB891" w14:textId="77777777">
        <w:trPr>
          <w:cantSplit/>
        </w:trPr>
        <w:tc>
          <w:tcPr>
            <w:tcW w:w="1242" w:type="dxa"/>
            <w:vAlign w:val="center"/>
          </w:tcPr>
          <w:p w14:paraId="23A2B85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RTR-04</w:t>
            </w:r>
          </w:p>
        </w:tc>
        <w:tc>
          <w:tcPr>
            <w:tcW w:w="1206" w:type="dxa"/>
            <w:vAlign w:val="center"/>
          </w:tcPr>
          <w:p w14:paraId="34858C2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4748" w:type="dxa"/>
            <w:vAlign w:val="center"/>
          </w:tcPr>
          <w:p w14:paraId="025DE19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Formación: formación en el uso de la plataforma del personal de las tres tiendas del piloto.</w:t>
            </w:r>
          </w:p>
        </w:tc>
        <w:tc>
          <w:tcPr>
            <w:tcW w:w="1276" w:type="dxa"/>
            <w:vAlign w:val="center"/>
          </w:tcPr>
          <w:p w14:paraId="66A47DF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4F81C00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Se imparte la formación al personal de las tres tiendas del piloto, con asistencia registrada, y el personal formado completa en una prueba práctica el ciclo del pedido en el panel.</w:t>
            </w:r>
          </w:p>
        </w:tc>
        <w:tc>
          <w:tcPr>
            <w:tcW w:w="2693" w:type="dxa"/>
            <w:vAlign w:val="center"/>
          </w:tcPr>
          <w:p w14:paraId="3FB0C61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Responsable de tiendas (I-05); Departamento de formación (I-10)</w:t>
            </w:r>
          </w:p>
        </w:tc>
      </w:tr>
      <w:tr w:rsidR="0023613A" w14:paraId="0017CC8B" w14:textId="77777777">
        <w:trPr>
          <w:cantSplit/>
        </w:trPr>
        <w:tc>
          <w:tcPr>
            <w:tcW w:w="1242" w:type="dxa"/>
            <w:vAlign w:val="center"/>
          </w:tcPr>
          <w:p w14:paraId="05D4819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RTR-05</w:t>
            </w:r>
          </w:p>
        </w:tc>
        <w:tc>
          <w:tcPr>
            <w:tcW w:w="1206" w:type="dxa"/>
            <w:vAlign w:val="center"/>
          </w:tcPr>
          <w:p w14:paraId="447B914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4748" w:type="dxa"/>
            <w:vAlign w:val="center"/>
          </w:tcPr>
          <w:p w14:paraId="53816FCA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Puesta en producción en toda la cadena: despliegue de la plataforma y apertura a los compradores de las 32 tiendas.</w:t>
            </w:r>
          </w:p>
        </w:tc>
        <w:tc>
          <w:tcPr>
            <w:tcW w:w="1276" w:type="dxa"/>
            <w:vAlign w:val="center"/>
          </w:tcPr>
          <w:p w14:paraId="27AA832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53766926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Tras superar el piloto, la plataforma está desplegada y abierta a los compradores de las 32 tiendas en la fecha del calendario aceptado por TuSuper, que es anterior al 15/03/2027, con margen para estabilizarla.</w:t>
            </w:r>
          </w:p>
        </w:tc>
        <w:tc>
          <w:tcPr>
            <w:tcW w:w="2693" w:type="dxa"/>
            <w:vAlign w:val="center"/>
          </w:tcPr>
          <w:p w14:paraId="00ACCBE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Dirección de Expansión Digital (I-02)</w:t>
            </w:r>
          </w:p>
        </w:tc>
      </w:tr>
      <w:tr w:rsidR="0023613A" w14:paraId="480EAC21" w14:textId="77777777">
        <w:trPr>
          <w:cantSplit/>
        </w:trPr>
        <w:tc>
          <w:tcPr>
            <w:tcW w:w="14425" w:type="dxa"/>
            <w:gridSpan w:val="6"/>
            <w:shd w:val="clear" w:color="auto" w:fill="F2F2F2"/>
            <w:vAlign w:val="center"/>
          </w:tcPr>
          <w:p w14:paraId="2C0E9FA1" w14:textId="77777777" w:rsidR="0023613A" w:rsidRDefault="00000000">
            <w:pPr>
              <w:keepNext/>
              <w:spacing w:before="60" w:after="60"/>
            </w:pPr>
            <w:r>
              <w:rPr>
                <w:b/>
                <w:sz w:val="18"/>
                <w:szCs w:val="18"/>
                <w:lang w:val="es-ES"/>
              </w:rPr>
              <w:t>Restricciones técnicas del contrato (anexo II, apartado 3)</w:t>
            </w:r>
          </w:p>
        </w:tc>
      </w:tr>
      <w:tr w:rsidR="0023613A" w14:paraId="6BF140B2" w14:textId="77777777">
        <w:trPr>
          <w:cantSplit/>
        </w:trPr>
        <w:tc>
          <w:tcPr>
            <w:tcW w:w="1242" w:type="dxa"/>
            <w:vAlign w:val="center"/>
          </w:tcPr>
          <w:p w14:paraId="75EE4A0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RT-01</w:t>
            </w:r>
          </w:p>
        </w:tc>
        <w:tc>
          <w:tcPr>
            <w:tcW w:w="1206" w:type="dxa"/>
            <w:vAlign w:val="center"/>
          </w:tcPr>
          <w:p w14:paraId="519B2DE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Restricciones técnicas</w:t>
            </w:r>
          </w:p>
        </w:tc>
        <w:tc>
          <w:tcPr>
            <w:tcW w:w="4748" w:type="dxa"/>
            <w:vAlign w:val="center"/>
          </w:tcPr>
          <w:p w14:paraId="493D1A30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Entorno de verificación: toda versión de la plataforma se prueba en el entorno de verificación de TuSuper antes de darse por terminada.</w:t>
            </w:r>
          </w:p>
        </w:tc>
        <w:tc>
          <w:tcPr>
            <w:tcW w:w="1276" w:type="dxa"/>
            <w:vAlign w:val="center"/>
          </w:tcPr>
          <w:p w14:paraId="48227569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6CFF0C0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versión tiene constancia de su prueba en ese entorno, sobre la última carga de datos que haya en él cuando se prueba.</w:t>
            </w:r>
          </w:p>
        </w:tc>
        <w:tc>
          <w:tcPr>
            <w:tcW w:w="2693" w:type="dxa"/>
            <w:vAlign w:val="center"/>
          </w:tcPr>
          <w:p w14:paraId="0F7DE61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Jefe de Sistemas de TI (I-06)</w:t>
            </w:r>
          </w:p>
        </w:tc>
      </w:tr>
      <w:tr w:rsidR="0023613A" w14:paraId="447A004B" w14:textId="77777777">
        <w:trPr>
          <w:cantSplit/>
        </w:trPr>
        <w:tc>
          <w:tcPr>
            <w:tcW w:w="1242" w:type="dxa"/>
            <w:vAlign w:val="center"/>
          </w:tcPr>
          <w:p w14:paraId="214BD0E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lastRenderedPageBreak/>
              <w:t>RT-02</w:t>
            </w:r>
          </w:p>
        </w:tc>
        <w:tc>
          <w:tcPr>
            <w:tcW w:w="1206" w:type="dxa"/>
            <w:vAlign w:val="center"/>
          </w:tcPr>
          <w:p w14:paraId="749AA2B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Restricciones técnicas</w:t>
            </w:r>
          </w:p>
        </w:tc>
        <w:tc>
          <w:tcPr>
            <w:tcW w:w="4748" w:type="dxa"/>
            <w:vAlign w:val="center"/>
          </w:tcPr>
          <w:p w14:paraId="6B60E3B3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Carga de datos del entorno: TuSuper carga en el entorno de verificación los datos reales de su sistema de gestión cada vez que Taracea lo pide por escrito.</w:t>
            </w:r>
          </w:p>
        </w:tc>
        <w:tc>
          <w:tcPr>
            <w:tcW w:w="1276" w:type="dxa"/>
            <w:vAlign w:val="center"/>
          </w:tcPr>
          <w:p w14:paraId="7F0C443B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14A29588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Cada carga pedida por escrito se efectúa en los tres días hábiles siguientes. La evidencia de aceptación de los requisitos que exigen datos reales se obtiene sobre una carga posterior a la primera que la plataforma lee del sistema de gestión.</w:t>
            </w:r>
          </w:p>
        </w:tc>
        <w:tc>
          <w:tcPr>
            <w:tcW w:w="2693" w:type="dxa"/>
            <w:vAlign w:val="center"/>
          </w:tcPr>
          <w:p w14:paraId="3C4F2CE4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Jefe de Sistemas de TI (I-06)</w:t>
            </w:r>
          </w:p>
        </w:tc>
      </w:tr>
      <w:tr w:rsidR="0023613A" w14:paraId="3BE85378" w14:textId="77777777">
        <w:trPr>
          <w:cantSplit/>
        </w:trPr>
        <w:tc>
          <w:tcPr>
            <w:tcW w:w="1242" w:type="dxa"/>
            <w:vAlign w:val="center"/>
          </w:tcPr>
          <w:p w14:paraId="176A1271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RT-03</w:t>
            </w:r>
          </w:p>
        </w:tc>
        <w:tc>
          <w:tcPr>
            <w:tcW w:w="1206" w:type="dxa"/>
            <w:vAlign w:val="center"/>
          </w:tcPr>
          <w:p w14:paraId="5B5240A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Restricciones técnicas</w:t>
            </w:r>
          </w:p>
        </w:tc>
        <w:tc>
          <w:tcPr>
            <w:tcW w:w="4748" w:type="dxa"/>
            <w:vAlign w:val="center"/>
          </w:tcPr>
          <w:p w14:paraId="7D8845EC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Conector con el ERP: la plataforma se comunica con el ERP solo a través de un conector de un proveedor homologado por el fabricante del ERP.</w:t>
            </w:r>
          </w:p>
        </w:tc>
        <w:tc>
          <w:tcPr>
            <w:tcW w:w="1276" w:type="dxa"/>
            <w:vAlign w:val="center"/>
          </w:tcPr>
          <w:p w14:paraId="6FEF7275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3260" w:type="dxa"/>
            <w:vAlign w:val="center"/>
          </w:tcPr>
          <w:p w14:paraId="5006D8EE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El conector instalado es de un proveedor homologado por el fabricante, y consta por escrito. No hay ningún otro conector en ningún entorno.</w:t>
            </w:r>
          </w:p>
        </w:tc>
        <w:tc>
          <w:tcPr>
            <w:tcW w:w="2693" w:type="dxa"/>
            <w:vAlign w:val="center"/>
          </w:tcPr>
          <w:p w14:paraId="31BD07FD" w14:textId="77777777" w:rsidR="0023613A" w:rsidRDefault="00000000">
            <w:pPr>
              <w:spacing w:before="80" w:after="80"/>
            </w:pPr>
            <w:r>
              <w:rPr>
                <w:sz w:val="18"/>
                <w:szCs w:val="18"/>
                <w:lang w:val="es-ES"/>
              </w:rPr>
              <w:t>Fabricante del ERP (I-03); Jefe de Sistemas de TI (I-06)</w:t>
            </w:r>
          </w:p>
        </w:tc>
      </w:tr>
    </w:tbl>
    <w:p w14:paraId="5AD70546" w14:textId="77777777" w:rsidR="0023613A" w:rsidRDefault="0023613A">
      <w:pPr>
        <w:spacing w:after="0"/>
      </w:pPr>
    </w:p>
    <w:p w14:paraId="05F230BD" w14:textId="77777777" w:rsidR="0023613A" w:rsidRDefault="00000000">
      <w:pPr>
        <w:spacing w:before="60" w:after="40"/>
      </w:pPr>
      <w:r>
        <w:rPr>
          <w:b/>
          <w:sz w:val="20"/>
          <w:szCs w:val="20"/>
          <w:lang w:val="es-ES"/>
        </w:rPr>
        <w:t>Notas</w:t>
      </w:r>
    </w:p>
    <w:p w14:paraId="37448220" w14:textId="77777777" w:rsidR="0023613A" w:rsidRDefault="00000000">
      <w:pPr>
        <w:spacing w:before="60" w:after="40"/>
      </w:pPr>
      <w:r>
        <w:rPr>
          <w:sz w:val="18"/>
          <w:szCs w:val="18"/>
          <w:lang w:val="es-ES"/>
        </w:rPr>
        <w:t>1. Toda versión de la plataforma se prueba en el entorno de verificación de TuSuper, con los datos cargados según RT-01 y RT-02, antes de darse por terminada. Este criterio vale para todos los requisitos y no se repite en cada fila.</w:t>
      </w:r>
    </w:p>
    <w:p w14:paraId="5A40D9B1" w14:textId="77777777" w:rsidR="0023613A" w:rsidRDefault="00000000">
      <w:pPr>
        <w:spacing w:before="60" w:after="40"/>
      </w:pPr>
      <w:r>
        <w:rPr>
          <w:sz w:val="18"/>
          <w:szCs w:val="18"/>
          <w:lang w:val="es-ES"/>
        </w:rPr>
        <w:t>2. Los criterios de aceptación que no citan un criterio del contrato (CA-01 a CA-03, RT-01 a RT-03) son propuesta del director del proyecto. Se acuerdan con el interlocutor que firma cada aceptación y TuSuper los aprueba con el alcance detallado (contrato, cláusula 7.3).</w:t>
      </w:r>
    </w:p>
    <w:p w14:paraId="04EC53DD" w14:textId="77777777" w:rsidR="0023613A" w:rsidRDefault="00000000">
      <w:pPr>
        <w:spacing w:before="60" w:after="40"/>
      </w:pPr>
      <w:r>
        <w:rPr>
          <w:sz w:val="18"/>
          <w:szCs w:val="18"/>
          <w:lang w:val="es-ES"/>
        </w:rPr>
        <w:t>3. Los códigos RF, RNF y los de sus funciones son los del informe de requisitos TSL-2627-REQ-01 y no se renumeran. Los códigos RI y RTR son de este registro. No se registran tres elementos que describe el informe pero que no constan en el anexo I del contrato: la ordenación por precio unitario (RF-02.5, que por eso queda sin asignar), las sugerencias del buscador (RF-02.3) y la recuperación de la contraseña por SMS (RF-01.3). Añadirlos exige una adenda (cláusula 13.2).</w:t>
      </w:r>
    </w:p>
    <w:p w14:paraId="795A02B9" w14:textId="77777777" w:rsidR="0023613A" w:rsidRDefault="00000000">
      <w:pPr>
        <w:spacing w:before="60" w:after="40"/>
      </w:pPr>
      <w:r>
        <w:rPr>
          <w:sz w:val="18"/>
          <w:szCs w:val="18"/>
          <w:lang w:val="es-ES"/>
        </w:rPr>
        <w:t>4. Prioridad. Alta: necesario para el piloto (CA-03 abarca los apartados 1.1 a 1.6 del anexo I) o condiciona la integración con el ERP, el entorno de verificación, el cobro o la fecha de entrada en explotación. Media: obligación del contrato que no condiciona el piloto. Es provisional hasta conocer el orden de entregas que TuSuper y Taracea acordaron en el contrato.</w:t>
      </w:r>
    </w:p>
    <w:p w14:paraId="0D277151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FF0AB" w14:textId="77777777" w:rsidR="004D4B0D" w:rsidRDefault="004D4B0D" w:rsidP="00837F2F">
      <w:pPr>
        <w:spacing w:after="0" w:line="240" w:lineRule="auto"/>
      </w:pPr>
      <w:r>
        <w:separator/>
      </w:r>
    </w:p>
  </w:endnote>
  <w:endnote w:type="continuationSeparator" w:id="0">
    <w:p w14:paraId="77EC99C8" w14:textId="77777777" w:rsidR="004D4B0D" w:rsidRDefault="004D4B0D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435EC" w14:textId="77777777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6DF554C1" w14:textId="77777777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5D85B" w14:textId="77777777" w:rsidR="004D4B0D" w:rsidRDefault="004D4B0D" w:rsidP="00837F2F">
      <w:pPr>
        <w:spacing w:after="0" w:line="240" w:lineRule="auto"/>
      </w:pPr>
      <w:r>
        <w:separator/>
      </w:r>
    </w:p>
  </w:footnote>
  <w:footnote w:type="continuationSeparator" w:id="0">
    <w:p w14:paraId="7863406D" w14:textId="77777777" w:rsidR="004D4B0D" w:rsidRDefault="004D4B0D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ED08" w14:textId="77777777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FD3"/>
    <w:multiLevelType w:val="multilevel"/>
    <w:tmpl w:val="77B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F5D89"/>
    <w:multiLevelType w:val="hybridMultilevel"/>
    <w:tmpl w:val="A6A456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7A7350"/>
    <w:multiLevelType w:val="hybridMultilevel"/>
    <w:tmpl w:val="0AA00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339774">
    <w:abstractNumId w:val="2"/>
  </w:num>
  <w:num w:numId="2" w16cid:durableId="1184324524">
    <w:abstractNumId w:val="0"/>
  </w:num>
  <w:num w:numId="3" w16cid:durableId="122730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6155"/>
    <w:rsid w:val="00105DAE"/>
    <w:rsid w:val="00131E1D"/>
    <w:rsid w:val="00142C73"/>
    <w:rsid w:val="00162139"/>
    <w:rsid w:val="001879E2"/>
    <w:rsid w:val="00204A21"/>
    <w:rsid w:val="002064D6"/>
    <w:rsid w:val="00217C94"/>
    <w:rsid w:val="0023613A"/>
    <w:rsid w:val="00261721"/>
    <w:rsid w:val="0028298D"/>
    <w:rsid w:val="00296934"/>
    <w:rsid w:val="002E2219"/>
    <w:rsid w:val="00355532"/>
    <w:rsid w:val="00387B0B"/>
    <w:rsid w:val="003D218D"/>
    <w:rsid w:val="003E16E9"/>
    <w:rsid w:val="004078F5"/>
    <w:rsid w:val="00456964"/>
    <w:rsid w:val="00462333"/>
    <w:rsid w:val="00476230"/>
    <w:rsid w:val="00495156"/>
    <w:rsid w:val="004B1F41"/>
    <w:rsid w:val="004D078B"/>
    <w:rsid w:val="004D4B0D"/>
    <w:rsid w:val="0051331B"/>
    <w:rsid w:val="0055087B"/>
    <w:rsid w:val="00557815"/>
    <w:rsid w:val="005910C2"/>
    <w:rsid w:val="005C6798"/>
    <w:rsid w:val="005E08FB"/>
    <w:rsid w:val="00617076"/>
    <w:rsid w:val="0064503C"/>
    <w:rsid w:val="00684048"/>
    <w:rsid w:val="006A4329"/>
    <w:rsid w:val="006B191B"/>
    <w:rsid w:val="006B2A51"/>
    <w:rsid w:val="006C6B81"/>
    <w:rsid w:val="006F2844"/>
    <w:rsid w:val="0070486A"/>
    <w:rsid w:val="0071790F"/>
    <w:rsid w:val="00751950"/>
    <w:rsid w:val="0075554B"/>
    <w:rsid w:val="0079596E"/>
    <w:rsid w:val="00796E26"/>
    <w:rsid w:val="00796EAD"/>
    <w:rsid w:val="007C620A"/>
    <w:rsid w:val="007D2C1A"/>
    <w:rsid w:val="007E4C58"/>
    <w:rsid w:val="00833AAB"/>
    <w:rsid w:val="00837F2F"/>
    <w:rsid w:val="00891B24"/>
    <w:rsid w:val="008958E4"/>
    <w:rsid w:val="008A55CB"/>
    <w:rsid w:val="008A6DAB"/>
    <w:rsid w:val="008B708A"/>
    <w:rsid w:val="00921038"/>
    <w:rsid w:val="00924DFE"/>
    <w:rsid w:val="0095401D"/>
    <w:rsid w:val="00954EB8"/>
    <w:rsid w:val="00993060"/>
    <w:rsid w:val="0099587A"/>
    <w:rsid w:val="009B57BF"/>
    <w:rsid w:val="00A3146B"/>
    <w:rsid w:val="00A45DF9"/>
    <w:rsid w:val="00A579A3"/>
    <w:rsid w:val="00A95442"/>
    <w:rsid w:val="00AA2C51"/>
    <w:rsid w:val="00AB56D0"/>
    <w:rsid w:val="00AD5DD1"/>
    <w:rsid w:val="00AE409B"/>
    <w:rsid w:val="00B57964"/>
    <w:rsid w:val="00B729F6"/>
    <w:rsid w:val="00B94E9B"/>
    <w:rsid w:val="00B95FB6"/>
    <w:rsid w:val="00BD4FA7"/>
    <w:rsid w:val="00BE3CDA"/>
    <w:rsid w:val="00BF037F"/>
    <w:rsid w:val="00C441A8"/>
    <w:rsid w:val="00C532BA"/>
    <w:rsid w:val="00CF46C3"/>
    <w:rsid w:val="00CF78D0"/>
    <w:rsid w:val="00D00C17"/>
    <w:rsid w:val="00D22DE6"/>
    <w:rsid w:val="00D37C41"/>
    <w:rsid w:val="00D815D5"/>
    <w:rsid w:val="00DE7D9A"/>
    <w:rsid w:val="00DF09F4"/>
    <w:rsid w:val="00E247D6"/>
    <w:rsid w:val="00E566F8"/>
    <w:rsid w:val="00EA25E4"/>
    <w:rsid w:val="00EA4A2A"/>
    <w:rsid w:val="00EF1A26"/>
    <w:rsid w:val="00F10776"/>
    <w:rsid w:val="00F17693"/>
    <w:rsid w:val="00F76F0A"/>
    <w:rsid w:val="00F90956"/>
    <w:rsid w:val="00F96C66"/>
    <w:rsid w:val="00F97A20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FA133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2219"/>
    <w:pPr>
      <w:ind w:left="720"/>
      <w:contextualSpacing/>
    </w:pPr>
  </w:style>
  <w:style w:type="paragraph" w:styleId="Sinespaciado">
    <w:name w:val="No Spacing"/>
    <w:uiPriority w:val="1"/>
    <w:qFormat/>
    <w:rsid w:val="00A3146B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3155</Words>
  <Characters>17354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Daniel</cp:lastModifiedBy>
  <cp:revision>14</cp:revision>
  <dcterms:created xsi:type="dcterms:W3CDTF">2025-10-06T11:08:00Z</dcterms:created>
  <dcterms:modified xsi:type="dcterms:W3CDTF">2026-10-03T12:56:00Z</dcterms:modified>
</cp:coreProperties>
</file>